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59" w:val="left" w:leader="none"/>
        </w:tabs>
        <w:spacing w:line="242" w:lineRule="auto" w:before="35"/>
        <w:ind w:left="120" w:right="0" w:firstLine="0"/>
        <w:jc w:val="left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51.236198pt;margin-top:13.527172pt;width:.1pt;height:.1pt;mso-position-horizontal-relative:page;mso-position-vertical-relative:paragraph;z-index:-5272" coordorigin="1025,271" coordsize="2,2">
            <v:shape style="position:absolute;left:1025;top:271;width:2;height:2" coordorigin="1025,271" coordsize="0,0" path="m1025,271l1025,271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3.409195pt;margin-top:13.527172pt;width:.1pt;height:.1pt;mso-position-horizontal-relative:page;mso-position-vertical-relative:paragraph;z-index:1120" coordorigin="3468,271" coordsize="2,2">
            <v:shape style="position:absolute;left:3468;top:271;width:2;height:2" coordorigin="3468,271" coordsize="0,0" path="m3468,271l3468,271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51.236198pt;margin-top:25.527172pt;width:.1pt;height:.1pt;mso-position-horizontal-relative:page;mso-position-vertical-relative:paragraph;z-index:-5224" coordorigin="1025,511" coordsize="2,2">
            <v:shape style="position:absolute;left:1025;top:511;width:2;height:2" coordorigin="1025,511" coordsize="0,0" path="m1025,511l1025,511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3.409195pt;margin-top:25.527172pt;width:.1pt;height:.1pt;mso-position-horizontal-relative:page;mso-position-vertical-relative:paragraph;z-index:1168" coordorigin="3468,511" coordsize="2,2">
            <v:shape style="position:absolute;left:3468;top:511;width:2;height:2" coordorigin="3468,511" coordsize="0,0" path="m3468,511l3468,511e" filled="false" stroked="true" strokeweight=".425pt" strokecolor="#231f20">
              <v:path arrowok="t"/>
            </v:shape>
            <w10:wrap type="none"/>
          </v:group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w w:val="95"/>
          <w:sz w:val="18"/>
          <w:u w:val="dotted" w:color="231F20"/>
        </w:rPr>
        <w:t>Gebäude: </w:t>
      </w:r>
      <w:r>
        <w:rPr>
          <w:rFonts w:ascii="Theinhardt Black" w:hAnsi="Theinhardt Black"/>
          <w:b/>
          <w:color w:val="231F20"/>
          <w:spacing w:val="4"/>
          <w:w w:val="95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Sanierungen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Schweizer</w:t>
      </w:r>
      <w:r>
        <w:rPr>
          <w:rFonts w:ascii="Theinhardt Regular" w:hAnsi="Theinhardt Regular"/>
          <w:color w:val="231F20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Solarpreis-Diplom</w:t>
      </w:r>
      <w:r>
        <w:rPr>
          <w:rFonts w:ascii="Theinhardt Regular" w:hAnsi="Theinhardt Regular"/>
          <w:color w:val="231F20"/>
          <w:spacing w:val="30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2018</w:t>
      </w:r>
      <w:r>
        <w:rPr>
          <w:rFonts w:ascii="Theinhardt Regular" w:hAnsi="Theinhardt Regular"/>
          <w:sz w:val="18"/>
        </w:rPr>
      </w:r>
    </w:p>
    <w:p>
      <w:pPr>
        <w:spacing w:line="242" w:lineRule="auto" w:before="35"/>
        <w:ind w:left="120" w:right="114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1964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erstellte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im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kantonalen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Bauinventar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BILU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erfasste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Einfamilienhaus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(EFH)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Keller</w:t>
      </w:r>
      <w:r>
        <w:rPr>
          <w:rFonts w:ascii="Theinhardt Bold" w:hAnsi="Theinhardt Bold" w:cs="Theinhardt Bold" w:eastAsia="Theinhardt Bold"/>
          <w:b/>
          <w:bCs/>
          <w:color w:val="231F20"/>
          <w:spacing w:val="7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Ammann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an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Dreilindenstrasse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Luzern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wurde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2017/2018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saniert.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Gesamtenergiebe-</w:t>
      </w:r>
      <w:r>
        <w:rPr>
          <w:rFonts w:ascii="Theinhardt Bold" w:hAnsi="Theinhardt Bold" w:cs="Theinhardt Bold" w:eastAsia="Theinhardt Bold"/>
          <w:b/>
          <w:bCs/>
          <w:color w:val="231F20"/>
          <w:spacing w:val="9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darf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81’000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reduzierte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sich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einen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Viertel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oder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20’510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15.1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color w:val="231F20"/>
          <w:spacing w:val="4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PV-Dachanlage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erzeugt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13’800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Zur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Warmwasseraufbereitung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für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Hei-</w:t>
      </w:r>
      <w:r>
        <w:rPr>
          <w:rFonts w:ascii="Theinhardt Bold" w:hAnsi="Theinhardt Bold" w:cs="Theinhardt Bold" w:eastAsia="Theinhardt Bold"/>
          <w:b/>
          <w:bCs/>
          <w:color w:val="231F20"/>
          <w:spacing w:val="9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zungsunterstützung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dient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6.9m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position w:val="6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23"/>
          <w:position w:val="6"/>
          <w:sz w:val="10"/>
          <w:szCs w:val="10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grosse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solarthermische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Anlage.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Im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Winter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deckt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gas-</w:t>
      </w:r>
      <w:r>
        <w:rPr>
          <w:rFonts w:ascii="Theinhardt Bold" w:hAnsi="Theinhardt Bold" w:cs="Theinhardt Bold" w:eastAsia="Theinhardt Bold"/>
          <w:b/>
          <w:bCs/>
          <w:color w:val="231F20"/>
          <w:spacing w:val="6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betriebene</w:t>
      </w:r>
      <w:r>
        <w:rPr>
          <w:rFonts w:ascii="Theinhardt Bold" w:hAnsi="Theinhardt Bold" w:cs="Theinhardt Bold" w:eastAsia="Theinhardt Bold"/>
          <w:b/>
          <w:bCs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Brennstoffzellenheizung</w:t>
      </w:r>
      <w:r>
        <w:rPr>
          <w:rFonts w:ascii="Theinhardt Bold" w:hAnsi="Theinhardt Bold" w:cs="Theinhardt Bold" w:eastAsia="Theinhardt Bold"/>
          <w:b/>
          <w:bCs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Wärmeversorgung.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sorgfältige</w:t>
      </w:r>
      <w:r>
        <w:rPr>
          <w:rFonts w:ascii="Theinhardt Bold" w:hAnsi="Theinhardt Bold" w:cs="Theinhardt Bold" w:eastAsia="Theinhardt Bold"/>
          <w:b/>
          <w:bCs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Integration</w:t>
      </w:r>
      <w:r>
        <w:rPr>
          <w:rFonts w:ascii="Theinhardt Bold" w:hAnsi="Theinhardt Bold" w:cs="Theinhardt Bold" w:eastAsia="Theinhardt Bold"/>
          <w:b/>
          <w:bCs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PV-</w:t>
      </w:r>
      <w:r>
        <w:rPr>
          <w:rFonts w:ascii="Theinhardt Bold" w:hAnsi="Theinhardt Bold" w:cs="Theinhardt Bold" w:eastAsia="Theinhardt Bold"/>
          <w:b/>
          <w:bCs/>
          <w:color w:val="231F20"/>
          <w:spacing w:val="9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Dachanlage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architektonisch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überzeugend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gelöst.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42" w:lineRule="auto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20" w:bottom="280" w:left="900" w:right="620"/>
          <w:cols w:num="2" w:equalWidth="0">
            <w:col w:w="2560" w:space="119"/>
            <w:col w:w="805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4"/>
        <w:rPr>
          <w:rFonts w:ascii="Theinhardt Bold" w:hAnsi="Theinhardt Bold" w:cs="Theinhardt Bold" w:eastAsia="Theinhardt Bold"/>
          <w:b/>
          <w:bCs/>
          <w:sz w:val="14"/>
          <w:szCs w:val="14"/>
        </w:rPr>
      </w:pPr>
    </w:p>
    <w:p>
      <w:pPr>
        <w:spacing w:before="5"/>
        <w:ind w:left="12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-2"/>
          <w:sz w:val="40"/>
        </w:rPr>
        <w:t>EFH</w:t>
      </w:r>
      <w:r>
        <w:rPr>
          <w:rFonts w:ascii="Theinhardt Black"/>
          <w:b/>
          <w:color w:val="0067B1"/>
          <w:sz w:val="40"/>
        </w:rPr>
        <w:t> Keller </w:t>
      </w:r>
      <w:r>
        <w:rPr>
          <w:rFonts w:ascii="Theinhardt Black"/>
          <w:b/>
          <w:color w:val="0067B1"/>
          <w:spacing w:val="4"/>
          <w:sz w:val="40"/>
        </w:rPr>
        <w:t>Ammann,</w:t>
      </w:r>
      <w:r>
        <w:rPr>
          <w:rFonts w:ascii="Theinhardt Black"/>
          <w:b/>
          <w:color w:val="0067B1"/>
          <w:spacing w:val="-24"/>
          <w:sz w:val="40"/>
        </w:rPr>
        <w:t> </w:t>
      </w:r>
      <w:r>
        <w:rPr>
          <w:rFonts w:ascii="Theinhardt Black"/>
          <w:b/>
          <w:color w:val="0067B1"/>
          <w:spacing w:val="-1"/>
          <w:sz w:val="40"/>
        </w:rPr>
        <w:t>6006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2"/>
          <w:sz w:val="40"/>
        </w:rPr>
        <w:t>Luzern/LU</w:t>
      </w:r>
      <w:r>
        <w:rPr>
          <w:rFonts w:asci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20" w:bottom="280" w:left="900" w:right="620"/>
        </w:sectPr>
      </w:pPr>
    </w:p>
    <w:p>
      <w:pPr>
        <w:pStyle w:val="BodyText"/>
        <w:spacing w:line="230" w:lineRule="exact" w:before="52"/>
        <w:ind w:right="8"/>
        <w:jc w:val="both"/>
      </w:pPr>
      <w:r>
        <w:rPr>
          <w:color w:val="231F20"/>
          <w:spacing w:val="-4"/>
        </w:rPr>
        <w:t>Vor</w:t>
      </w:r>
      <w:r>
        <w:rPr>
          <w:color w:val="231F20"/>
          <w:spacing w:val="-10"/>
        </w:rPr>
        <w:t> </w:t>
      </w:r>
      <w:r>
        <w:rPr>
          <w:color w:val="231F20"/>
        </w:rPr>
        <w:t>der</w:t>
      </w:r>
      <w:r>
        <w:rPr>
          <w:color w:val="231F20"/>
          <w:spacing w:val="-10"/>
        </w:rPr>
        <w:t> </w:t>
      </w:r>
      <w:r>
        <w:rPr>
          <w:color w:val="231F20"/>
        </w:rPr>
        <w:t>Renovation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konsumierte</w:t>
      </w:r>
      <w:r>
        <w:rPr>
          <w:color w:val="231F20"/>
          <w:spacing w:val="-10"/>
        </w:rPr>
        <w:t> </w:t>
      </w:r>
      <w:r>
        <w:rPr>
          <w:color w:val="231F20"/>
        </w:rPr>
        <w:t>das</w:t>
      </w:r>
      <w:r>
        <w:rPr>
          <w:color w:val="231F20"/>
          <w:spacing w:val="-10"/>
        </w:rPr>
        <w:t> </w:t>
      </w:r>
      <w:r>
        <w:rPr>
          <w:color w:val="231F20"/>
        </w:rPr>
        <w:t>im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kan-</w:t>
      </w:r>
      <w:r>
        <w:rPr>
          <w:color w:val="231F20"/>
          <w:spacing w:val="27"/>
        </w:rPr>
        <w:t> </w:t>
      </w:r>
      <w:r>
        <w:rPr>
          <w:color w:val="231F20"/>
        </w:rPr>
        <w:t>tonalen</w:t>
      </w:r>
      <w:r>
        <w:rPr>
          <w:color w:val="231F20"/>
          <w:spacing w:val="8"/>
        </w:rPr>
        <w:t> </w:t>
      </w:r>
      <w:r>
        <w:rPr>
          <w:color w:val="231F20"/>
        </w:rPr>
        <w:t>Bauinventar</w:t>
      </w:r>
      <w:r>
        <w:rPr>
          <w:color w:val="231F20"/>
          <w:spacing w:val="8"/>
        </w:rPr>
        <w:t> </w:t>
      </w:r>
      <w:r>
        <w:rPr>
          <w:color w:val="231F20"/>
          <w:spacing w:val="-2"/>
        </w:rPr>
        <w:t>BILU</w:t>
      </w:r>
      <w:r>
        <w:rPr>
          <w:color w:val="231F20"/>
          <w:spacing w:val="8"/>
        </w:rPr>
        <w:t> </w:t>
      </w:r>
      <w:r>
        <w:rPr>
          <w:color w:val="231F20"/>
        </w:rPr>
        <w:t>als</w:t>
      </w:r>
      <w:r>
        <w:rPr>
          <w:color w:val="231F20"/>
          <w:spacing w:val="8"/>
        </w:rPr>
        <w:t> </w:t>
      </w:r>
      <w:r>
        <w:rPr>
          <w:color w:val="231F20"/>
        </w:rPr>
        <w:t>erhaltenswert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eingetragene</w:t>
      </w:r>
      <w:r>
        <w:rPr>
          <w:color w:val="231F20"/>
          <w:spacing w:val="18"/>
        </w:rPr>
        <w:t> </w:t>
      </w:r>
      <w:r>
        <w:rPr>
          <w:color w:val="231F20"/>
        </w:rPr>
        <w:t>Einfamilienhaus</w:t>
      </w:r>
      <w:r>
        <w:rPr>
          <w:color w:val="231F20"/>
          <w:spacing w:val="18"/>
        </w:rPr>
        <w:t> </w:t>
      </w:r>
      <w:r>
        <w:rPr>
          <w:color w:val="231F20"/>
          <w:spacing w:val="-1"/>
        </w:rPr>
        <w:t>Keller</w:t>
      </w:r>
      <w:r>
        <w:rPr>
          <w:color w:val="231F20"/>
          <w:spacing w:val="18"/>
        </w:rPr>
        <w:t> </w:t>
      </w:r>
      <w:r>
        <w:rPr>
          <w:color w:val="231F20"/>
        </w:rPr>
        <w:t>Am-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mann</w:t>
      </w:r>
      <w:r>
        <w:rPr>
          <w:color w:val="231F20"/>
          <w:spacing w:val="-4"/>
        </w:rPr>
        <w:t> </w:t>
      </w:r>
      <w:r>
        <w:rPr>
          <w:color w:val="231F20"/>
        </w:rPr>
        <w:t>rund</w:t>
      </w:r>
      <w:r>
        <w:rPr>
          <w:color w:val="231F20"/>
          <w:spacing w:val="-4"/>
        </w:rPr>
        <w:t> </w:t>
      </w:r>
      <w:r>
        <w:rPr>
          <w:color w:val="231F20"/>
        </w:rPr>
        <w:t>81’000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4"/>
        </w:rPr>
        <w:t> </w:t>
      </w:r>
      <w:r>
        <w:rPr>
          <w:color w:val="231F20"/>
        </w:rPr>
        <w:t>innenliegen-</w:t>
      </w:r>
      <w:r>
        <w:rPr>
          <w:color w:val="231F20"/>
          <w:spacing w:val="27"/>
        </w:rPr>
        <w:t> </w:t>
      </w:r>
      <w:r>
        <w:rPr>
          <w:color w:val="231F20"/>
        </w:rPr>
        <w:t>de</w:t>
      </w:r>
      <w:r>
        <w:rPr>
          <w:color w:val="231F20"/>
          <w:spacing w:val="39"/>
        </w:rPr>
        <w:t> </w:t>
      </w:r>
      <w:r>
        <w:rPr>
          <w:color w:val="231F20"/>
        </w:rPr>
        <w:t>Dämmung</w:t>
      </w:r>
      <w:r>
        <w:rPr>
          <w:color w:val="231F20"/>
          <w:spacing w:val="40"/>
        </w:rPr>
        <w:t> </w:t>
      </w:r>
      <w:r>
        <w:rPr>
          <w:color w:val="231F20"/>
        </w:rPr>
        <w:t>und</w:t>
      </w:r>
      <w:r>
        <w:rPr>
          <w:color w:val="231F20"/>
          <w:spacing w:val="39"/>
        </w:rPr>
        <w:t> </w:t>
      </w:r>
      <w:r>
        <w:rPr>
          <w:color w:val="231F20"/>
        </w:rPr>
        <w:t>der</w:t>
      </w:r>
      <w:r>
        <w:rPr>
          <w:color w:val="231F20"/>
          <w:spacing w:val="40"/>
        </w:rPr>
        <w:t> </w:t>
      </w:r>
      <w:r>
        <w:rPr>
          <w:color w:val="231F20"/>
        </w:rPr>
        <w:t>Einsatz</w:t>
      </w:r>
      <w:r>
        <w:rPr>
          <w:color w:val="231F20"/>
          <w:spacing w:val="40"/>
        </w:rPr>
        <w:t> </w:t>
      </w:r>
      <w:r>
        <w:rPr>
          <w:color w:val="231F20"/>
          <w:spacing w:val="-1"/>
        </w:rPr>
        <w:t>sparsamer</w:t>
      </w:r>
      <w:r>
        <w:rPr>
          <w:color w:val="231F20"/>
          <w:spacing w:val="29"/>
        </w:rPr>
        <w:t> </w:t>
      </w:r>
      <w:r>
        <w:rPr>
          <w:color w:val="231F20"/>
        </w:rPr>
        <w:t>Beleuchtung</w:t>
      </w:r>
      <w:r>
        <w:rPr>
          <w:color w:val="231F20"/>
          <w:spacing w:val="45"/>
        </w:rPr>
        <w:t> </w:t>
      </w:r>
      <w:r>
        <w:rPr>
          <w:color w:val="231F20"/>
        </w:rPr>
        <w:t>und</w:t>
      </w:r>
      <w:r>
        <w:rPr>
          <w:color w:val="231F20"/>
          <w:spacing w:val="46"/>
        </w:rPr>
        <w:t> </w:t>
      </w:r>
      <w:r>
        <w:rPr>
          <w:color w:val="231F20"/>
        </w:rPr>
        <w:t>Haushaltgeräte</w:t>
      </w:r>
      <w:r>
        <w:rPr>
          <w:color w:val="231F20"/>
          <w:spacing w:val="45"/>
        </w:rPr>
        <w:t> </w:t>
      </w:r>
      <w:r>
        <w:rPr>
          <w:color w:val="231F20"/>
          <w:spacing w:val="-1"/>
        </w:rPr>
        <w:t>reduzie-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ren</w:t>
      </w:r>
      <w:r>
        <w:rPr>
          <w:color w:val="231F20"/>
          <w:spacing w:val="27"/>
        </w:rPr>
        <w:t> </w:t>
      </w:r>
      <w:r>
        <w:rPr>
          <w:color w:val="231F20"/>
        </w:rPr>
        <w:t>den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Gesamtenergiebedarf</w:t>
      </w:r>
      <w:r>
        <w:rPr>
          <w:color w:val="231F20"/>
          <w:spacing w:val="27"/>
        </w:rPr>
        <w:t> </w:t>
      </w:r>
      <w:r>
        <w:rPr>
          <w:color w:val="231F20"/>
        </w:rPr>
        <w:t>auf</w:t>
      </w:r>
      <w:r>
        <w:rPr>
          <w:color w:val="231F20"/>
          <w:spacing w:val="28"/>
        </w:rPr>
        <w:t> </w:t>
      </w:r>
      <w:r>
        <w:rPr>
          <w:color w:val="231F20"/>
        </w:rPr>
        <w:t>20’510</w:t>
      </w:r>
      <w:r>
        <w:rPr>
          <w:color w:val="231F20"/>
          <w:spacing w:val="35"/>
        </w:rPr>
        <w:t> </w:t>
      </w:r>
      <w:r>
        <w:rPr>
          <w:color w:val="231F20"/>
          <w:spacing w:val="-2"/>
        </w:rPr>
        <w:t>kWh/a.</w:t>
      </w:r>
      <w:r>
        <w:rPr/>
      </w:r>
    </w:p>
    <w:p>
      <w:pPr>
        <w:pStyle w:val="BodyText"/>
        <w:spacing w:line="230" w:lineRule="exact"/>
        <w:ind w:right="8" w:firstLine="226"/>
        <w:jc w:val="both"/>
      </w:pPr>
      <w:r>
        <w:rPr>
          <w:color w:val="231F20"/>
          <w:spacing w:val="1"/>
        </w:rPr>
        <w:t>Das</w:t>
      </w:r>
      <w:r>
        <w:rPr>
          <w:color w:val="231F20"/>
          <w:spacing w:val="-12"/>
        </w:rPr>
        <w:t> </w:t>
      </w:r>
      <w:r>
        <w:rPr>
          <w:color w:val="231F20"/>
        </w:rPr>
        <w:t>Ziel</w:t>
      </w:r>
      <w:r>
        <w:rPr>
          <w:color w:val="231F20"/>
          <w:spacing w:val="-12"/>
        </w:rPr>
        <w:t> </w:t>
      </w:r>
      <w:r>
        <w:rPr>
          <w:color w:val="231F20"/>
        </w:rPr>
        <w:t>der</w:t>
      </w:r>
      <w:r>
        <w:rPr>
          <w:color w:val="231F20"/>
          <w:spacing w:val="-12"/>
        </w:rPr>
        <w:t> </w:t>
      </w:r>
      <w:r>
        <w:rPr>
          <w:color w:val="231F20"/>
        </w:rPr>
        <w:t>Bauherrschaft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war,</w:t>
      </w:r>
      <w:r>
        <w:rPr>
          <w:color w:val="231F20"/>
          <w:spacing w:val="-23"/>
        </w:rPr>
        <w:t> </w:t>
      </w:r>
      <w:r>
        <w:rPr>
          <w:color w:val="231F20"/>
          <w:spacing w:val="-1"/>
        </w:rPr>
        <w:t>trotz</w:t>
      </w:r>
      <w:r>
        <w:rPr>
          <w:color w:val="231F20"/>
          <w:spacing w:val="-12"/>
        </w:rPr>
        <w:t> </w:t>
      </w:r>
      <w:r>
        <w:rPr>
          <w:color w:val="231F20"/>
        </w:rPr>
        <w:t>alter</w:t>
      </w:r>
      <w:r>
        <w:rPr>
          <w:color w:val="231F20"/>
          <w:spacing w:val="28"/>
        </w:rPr>
        <w:t> </w:t>
      </w:r>
      <w:r>
        <w:rPr>
          <w:color w:val="231F20"/>
        </w:rPr>
        <w:t>Bausubstanz</w:t>
      </w:r>
      <w:r>
        <w:rPr>
          <w:color w:val="231F20"/>
          <w:spacing w:val="35"/>
        </w:rPr>
        <w:t> </w:t>
      </w:r>
      <w:r>
        <w:rPr>
          <w:color w:val="231F20"/>
        </w:rPr>
        <w:t>eine</w:t>
      </w:r>
      <w:r>
        <w:rPr>
          <w:color w:val="231F20"/>
          <w:spacing w:val="36"/>
        </w:rPr>
        <w:t> </w:t>
      </w:r>
      <w:r>
        <w:rPr>
          <w:color w:val="231F20"/>
        </w:rPr>
        <w:t>hohe</w:t>
      </w:r>
      <w:r>
        <w:rPr>
          <w:color w:val="231F20"/>
          <w:spacing w:val="35"/>
        </w:rPr>
        <w:t> </w:t>
      </w:r>
      <w:r>
        <w:rPr>
          <w:color w:val="231F20"/>
          <w:spacing w:val="-2"/>
        </w:rPr>
        <w:t>solare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Eigenener-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gieversorgung</w:t>
      </w:r>
      <w:r>
        <w:rPr>
          <w:color w:val="231F20"/>
          <w:spacing w:val="-4"/>
        </w:rPr>
        <w:t> </w:t>
      </w:r>
      <w:r>
        <w:rPr>
          <w:color w:val="231F20"/>
        </w:rPr>
        <w:t>zu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erlangen.</w:t>
      </w:r>
      <w:r>
        <w:rPr>
          <w:color w:val="231F20"/>
          <w:spacing w:val="-14"/>
        </w:rPr>
        <w:t> </w:t>
      </w:r>
      <w:r>
        <w:rPr>
          <w:color w:val="231F20"/>
        </w:rPr>
        <w:t>Dafür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wurde</w:t>
      </w:r>
      <w:r>
        <w:rPr>
          <w:color w:val="231F20"/>
          <w:spacing w:val="-4"/>
        </w:rPr>
        <w:t> </w:t>
      </w:r>
      <w:r>
        <w:rPr>
          <w:color w:val="231F20"/>
        </w:rPr>
        <w:t>die</w:t>
      </w:r>
      <w:r>
        <w:rPr/>
      </w:r>
    </w:p>
    <w:p>
      <w:pPr>
        <w:pStyle w:val="BodyText"/>
        <w:spacing w:line="230" w:lineRule="exact"/>
        <w:ind w:right="0"/>
        <w:jc w:val="both"/>
      </w:pPr>
      <w:r>
        <w:rPr/>
        <w:pict>
          <v:shape style="position:absolute;margin-left:51.023998pt;margin-top:113.590706pt;width:345.827pt;height:234.113pt;mso-position-horizontal-relative:page;mso-position-vertical-relative:paragraph;z-index:1192" type="#_x0000_t75" stroked="false">
            <v:imagedata r:id="rId5" o:title=""/>
          </v:shape>
        </w:pict>
      </w:r>
      <w:r>
        <w:rPr>
          <w:color w:val="231F20"/>
        </w:rPr>
        <w:t>15.1</w:t>
      </w:r>
      <w:r>
        <w:rPr>
          <w:color w:val="231F20"/>
          <w:spacing w:val="27"/>
        </w:rPr>
        <w:t> </w:t>
      </w:r>
      <w:r>
        <w:rPr>
          <w:color w:val="231F20"/>
        </w:rPr>
        <w:t>kW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starke</w:t>
      </w:r>
      <w:r>
        <w:rPr>
          <w:color w:val="231F20"/>
          <w:spacing w:val="28"/>
        </w:rPr>
        <w:t> </w:t>
      </w:r>
      <w:r>
        <w:rPr>
          <w:color w:val="231F20"/>
        </w:rPr>
        <w:t>und</w:t>
      </w:r>
      <w:r>
        <w:rPr>
          <w:color w:val="231F20"/>
          <w:spacing w:val="28"/>
        </w:rPr>
        <w:t> </w:t>
      </w:r>
      <w:r>
        <w:rPr>
          <w:color w:val="231F20"/>
        </w:rPr>
        <w:t>90</w:t>
      </w:r>
      <w:r>
        <w:rPr>
          <w:color w:val="231F20"/>
          <w:spacing w:val="28"/>
        </w:rPr>
        <w:t> </w:t>
      </w:r>
      <w:r>
        <w:rPr>
          <w:color w:val="231F20"/>
        </w:rPr>
        <w:t>m</w:t>
      </w:r>
      <w:r>
        <w:rPr>
          <w:color w:val="231F20"/>
          <w:position w:val="6"/>
          <w:sz w:val="10"/>
          <w:szCs w:val="10"/>
        </w:rPr>
        <w:t>2</w:t>
      </w:r>
      <w:r>
        <w:rPr>
          <w:color w:val="231F20"/>
          <w:spacing w:val="22"/>
          <w:position w:val="6"/>
          <w:sz w:val="10"/>
          <w:szCs w:val="10"/>
        </w:rPr>
        <w:t> </w:t>
      </w:r>
      <w:r>
        <w:rPr>
          <w:color w:val="231F20"/>
          <w:spacing w:val="-2"/>
        </w:rPr>
        <w:t>grosse</w:t>
      </w:r>
      <w:r>
        <w:rPr>
          <w:color w:val="231F20"/>
          <w:spacing w:val="28"/>
        </w:rPr>
        <w:t> </w:t>
      </w:r>
      <w:r>
        <w:rPr>
          <w:color w:val="231F20"/>
        </w:rPr>
        <w:t>Photo-</w:t>
      </w:r>
      <w:r>
        <w:rPr>
          <w:color w:val="231F20"/>
          <w:spacing w:val="24"/>
        </w:rPr>
        <w:t> </w:t>
      </w:r>
      <w:r>
        <w:rPr>
          <w:color w:val="231F20"/>
        </w:rPr>
        <w:t>voltaikanlage</w:t>
      </w:r>
      <w:r>
        <w:rPr>
          <w:color w:val="231F20"/>
          <w:spacing w:val="21"/>
        </w:rPr>
        <w:t> </w:t>
      </w:r>
      <w:r>
        <w:rPr>
          <w:color w:val="231F20"/>
        </w:rPr>
        <w:t>mit</w:t>
      </w:r>
      <w:r>
        <w:rPr>
          <w:color w:val="231F20"/>
          <w:spacing w:val="21"/>
        </w:rPr>
        <w:t> </w:t>
      </w:r>
      <w:r>
        <w:rPr>
          <w:color w:val="231F20"/>
        </w:rPr>
        <w:t>einem</w:t>
      </w:r>
      <w:r>
        <w:rPr>
          <w:color w:val="231F20"/>
          <w:spacing w:val="21"/>
        </w:rPr>
        <w:t> </w:t>
      </w:r>
      <w:r>
        <w:rPr>
          <w:color w:val="231F20"/>
        </w:rPr>
        <w:t>Batteriespeicher</w:t>
      </w:r>
      <w:r>
        <w:rPr>
          <w:color w:val="231F20"/>
          <w:spacing w:val="29"/>
        </w:rPr>
        <w:t> </w:t>
      </w:r>
      <w:r>
        <w:rPr>
          <w:color w:val="231F20"/>
        </w:rPr>
        <w:t>mit</w:t>
      </w:r>
      <w:r>
        <w:rPr>
          <w:color w:val="231F20"/>
          <w:spacing w:val="45"/>
        </w:rPr>
        <w:t> </w:t>
      </w:r>
      <w:r>
        <w:rPr>
          <w:color w:val="231F20"/>
        </w:rPr>
        <w:t>einer</w:t>
      </w:r>
      <w:r>
        <w:rPr>
          <w:color w:val="231F20"/>
          <w:spacing w:val="46"/>
        </w:rPr>
        <w:t> </w:t>
      </w:r>
      <w:r>
        <w:rPr>
          <w:color w:val="231F20"/>
        </w:rPr>
        <w:t>Kapazität</w:t>
      </w:r>
      <w:r>
        <w:rPr>
          <w:color w:val="231F20"/>
          <w:spacing w:val="45"/>
        </w:rPr>
        <w:t> </w:t>
      </w:r>
      <w:r>
        <w:rPr>
          <w:color w:val="231F20"/>
        </w:rPr>
        <w:t>von</w:t>
      </w:r>
      <w:r>
        <w:rPr>
          <w:color w:val="231F20"/>
          <w:spacing w:val="46"/>
        </w:rPr>
        <w:t> </w:t>
      </w:r>
      <w:r>
        <w:rPr>
          <w:color w:val="231F20"/>
        </w:rPr>
        <w:t>16</w:t>
      </w:r>
      <w:r>
        <w:rPr>
          <w:color w:val="231F20"/>
          <w:spacing w:val="46"/>
        </w:rPr>
        <w:t> </w:t>
      </w:r>
      <w:r>
        <w:rPr>
          <w:color w:val="231F20"/>
        </w:rPr>
        <w:t>kWh</w:t>
      </w:r>
      <w:r>
        <w:rPr>
          <w:color w:val="231F20"/>
          <w:spacing w:val="45"/>
        </w:rPr>
        <w:t> </w:t>
      </w:r>
      <w:r>
        <w:rPr>
          <w:color w:val="231F20"/>
        </w:rPr>
        <w:t>ergänzt.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Solaranlagen</w:t>
      </w:r>
      <w:r>
        <w:rPr>
          <w:color w:val="231F20"/>
          <w:spacing w:val="9"/>
        </w:rPr>
        <w:t> </w:t>
      </w:r>
      <w:r>
        <w:rPr>
          <w:color w:val="231F20"/>
        </w:rPr>
        <w:t>erzeugen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insgesamt</w:t>
      </w:r>
      <w:r>
        <w:rPr>
          <w:color w:val="231F20"/>
          <w:spacing w:val="9"/>
        </w:rPr>
        <w:t> </w:t>
      </w:r>
      <w:r>
        <w:rPr>
          <w:color w:val="231F20"/>
        </w:rPr>
        <w:t>rund</w:t>
      </w:r>
      <w:r>
        <w:rPr>
          <w:color w:val="231F20"/>
          <w:spacing w:val="31"/>
        </w:rPr>
        <w:t> </w:t>
      </w:r>
      <w:r>
        <w:rPr>
          <w:color w:val="231F20"/>
        </w:rPr>
        <w:t>16’400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24"/>
        </w:rPr>
        <w:t> </w:t>
      </w:r>
      <w:r>
        <w:rPr>
          <w:color w:val="231F20"/>
        </w:rPr>
        <w:t>und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decken</w:t>
      </w:r>
      <w:r>
        <w:rPr>
          <w:color w:val="231F20"/>
          <w:spacing w:val="24"/>
        </w:rPr>
        <w:t> </w:t>
      </w:r>
      <w:r>
        <w:rPr>
          <w:color w:val="231F20"/>
        </w:rPr>
        <w:t>ca.</w:t>
      </w:r>
      <w:r>
        <w:rPr>
          <w:color w:val="231F20"/>
          <w:spacing w:val="13"/>
        </w:rPr>
        <w:t> </w:t>
      </w:r>
      <w:r>
        <w:rPr>
          <w:color w:val="231F20"/>
        </w:rPr>
        <w:t>80</w:t>
      </w:r>
      <w:r>
        <w:rPr>
          <w:color w:val="231F20"/>
          <w:spacing w:val="24"/>
        </w:rPr>
        <w:t> </w:t>
      </w:r>
      <w:r>
        <w:rPr>
          <w:color w:val="231F20"/>
        </w:rPr>
        <w:t>%</w:t>
      </w:r>
      <w:r>
        <w:rPr>
          <w:color w:val="231F20"/>
          <w:spacing w:val="24"/>
        </w:rPr>
        <w:t> </w:t>
      </w:r>
      <w:r>
        <w:rPr>
          <w:color w:val="231F20"/>
        </w:rPr>
        <w:t>des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Gesamtenergiebedarfs.</w:t>
      </w:r>
      <w:r>
        <w:rPr>
          <w:color w:val="231F20"/>
          <w:spacing w:val="32"/>
        </w:rPr>
        <w:t> </w:t>
      </w:r>
      <w:r>
        <w:rPr>
          <w:color w:val="231F20"/>
        </w:rPr>
        <w:t>Der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sommerliche</w:t>
      </w:r>
      <w:r>
        <w:rPr>
          <w:color w:val="231F20"/>
          <w:spacing w:val="59"/>
        </w:rPr>
        <w:t> </w:t>
      </w:r>
      <w:r>
        <w:rPr>
          <w:color w:val="231F20"/>
          <w:spacing w:val="-1"/>
        </w:rPr>
        <w:t>Wärmeüberschuss</w:t>
      </w:r>
      <w:r>
        <w:rPr>
          <w:color w:val="231F20"/>
          <w:spacing w:val="2"/>
        </w:rPr>
        <w:t> </w:t>
      </w:r>
      <w:r>
        <w:rPr>
          <w:color w:val="231F20"/>
        </w:rPr>
        <w:t>der</w:t>
      </w:r>
      <w:r>
        <w:rPr>
          <w:color w:val="231F20"/>
          <w:spacing w:val="3"/>
        </w:rPr>
        <w:t> </w:t>
      </w:r>
      <w:r>
        <w:rPr>
          <w:color w:val="231F20"/>
        </w:rPr>
        <w:t>6.9</w:t>
      </w:r>
      <w:r>
        <w:rPr>
          <w:color w:val="231F20"/>
          <w:spacing w:val="2"/>
        </w:rPr>
        <w:t> </w:t>
      </w:r>
      <w:r>
        <w:rPr>
          <w:color w:val="231F20"/>
        </w:rPr>
        <w:t>m</w:t>
      </w:r>
      <w:r>
        <w:rPr>
          <w:color w:val="231F20"/>
          <w:position w:val="6"/>
          <w:sz w:val="10"/>
          <w:szCs w:val="10"/>
        </w:rPr>
        <w:t>2</w:t>
      </w:r>
      <w:r>
        <w:rPr>
          <w:color w:val="231F20"/>
          <w:spacing w:val="14"/>
          <w:position w:val="6"/>
          <w:sz w:val="10"/>
          <w:szCs w:val="10"/>
        </w:rPr>
        <w:t> </w:t>
      </w:r>
      <w:r>
        <w:rPr>
          <w:color w:val="231F20"/>
          <w:spacing w:val="-2"/>
        </w:rPr>
        <w:t>grossen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thermischen</w:t>
      </w:r>
      <w:r>
        <w:rPr>
          <w:color w:val="231F20"/>
          <w:spacing w:val="40"/>
        </w:rPr>
        <w:t> </w:t>
      </w:r>
      <w:r>
        <w:rPr>
          <w:color w:val="231F20"/>
          <w:spacing w:val="-1"/>
        </w:rPr>
        <w:t>Solaranlage</w:t>
      </w:r>
      <w:r>
        <w:rPr>
          <w:color w:val="231F20"/>
          <w:spacing w:val="41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40"/>
        </w:rPr>
        <w:t> </w:t>
      </w:r>
      <w:r>
        <w:rPr>
          <w:color w:val="231F20"/>
        </w:rPr>
        <w:t>für</w:t>
      </w:r>
      <w:r>
        <w:rPr>
          <w:color w:val="231F20"/>
          <w:spacing w:val="41"/>
        </w:rPr>
        <w:t> </w:t>
      </w:r>
      <w:r>
        <w:rPr>
          <w:color w:val="231F20"/>
        </w:rPr>
        <w:t>die</w:t>
      </w:r>
      <w:r>
        <w:rPr>
          <w:color w:val="231F20"/>
          <w:spacing w:val="41"/>
        </w:rPr>
        <w:t> </w:t>
      </w:r>
      <w:r>
        <w:rPr>
          <w:color w:val="231F20"/>
        </w:rPr>
        <w:t>Au-</w:t>
      </w:r>
      <w:r>
        <w:rPr>
          <w:color w:val="231F20"/>
          <w:spacing w:val="39"/>
        </w:rPr>
        <w:t> </w:t>
      </w:r>
      <w:r>
        <w:rPr>
          <w:color w:val="231F20"/>
          <w:spacing w:val="-1"/>
        </w:rPr>
        <w:t>ssenpooltemperierung</w:t>
      </w:r>
      <w:r>
        <w:rPr>
          <w:color w:val="231F20"/>
          <w:spacing w:val="23"/>
        </w:rPr>
        <w:t> </w:t>
      </w:r>
      <w:r>
        <w:rPr>
          <w:color w:val="231F20"/>
        </w:rPr>
        <w:t>verwendet.</w:t>
      </w:r>
      <w:r>
        <w:rPr>
          <w:color w:val="231F20"/>
          <w:spacing w:val="13"/>
        </w:rPr>
        <w:t> </w:t>
      </w:r>
      <w:r>
        <w:rPr>
          <w:color w:val="231F20"/>
        </w:rPr>
        <w:t>Im</w:t>
      </w:r>
      <w:r>
        <w:rPr>
          <w:color w:val="231F20"/>
          <w:spacing w:val="24"/>
        </w:rPr>
        <w:t> </w:t>
      </w:r>
      <w:r>
        <w:rPr>
          <w:color w:val="231F20"/>
        </w:rPr>
        <w:t>Win-</w:t>
      </w:r>
      <w:r>
        <w:rPr/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before="151"/>
        <w:ind w:left="119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1</w:t>
      </w:r>
      <w:r>
        <w:rPr>
          <w:rFonts w:ascii="Theinhardt Bold"/>
          <w:sz w:val="14"/>
        </w:rPr>
      </w:r>
    </w:p>
    <w:p>
      <w:pPr>
        <w:pStyle w:val="BodyText"/>
        <w:spacing w:line="230" w:lineRule="exact" w:before="52"/>
        <w:ind w:right="0"/>
        <w:jc w:val="both"/>
      </w:pPr>
      <w:r>
        <w:rPr/>
        <w:br w:type="column"/>
      </w:r>
      <w:r>
        <w:rPr>
          <w:color w:val="231F20"/>
        </w:rPr>
        <w:t>ter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produziert</w:t>
      </w:r>
      <w:r>
        <w:rPr>
          <w:color w:val="231F20"/>
          <w:spacing w:val="35"/>
        </w:rPr>
        <w:t> </w:t>
      </w:r>
      <w:r>
        <w:rPr>
          <w:color w:val="231F20"/>
        </w:rPr>
        <w:t>eine</w:t>
      </w:r>
      <w:r>
        <w:rPr>
          <w:color w:val="231F20"/>
          <w:spacing w:val="34"/>
        </w:rPr>
        <w:t> </w:t>
      </w:r>
      <w:r>
        <w:rPr>
          <w:color w:val="231F20"/>
        </w:rPr>
        <w:t>mit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Erdgas</w:t>
      </w:r>
      <w:r>
        <w:rPr>
          <w:color w:val="231F20"/>
          <w:spacing w:val="35"/>
        </w:rPr>
        <w:t> </w:t>
      </w:r>
      <w:r>
        <w:rPr>
          <w:color w:val="231F20"/>
        </w:rPr>
        <w:t>betriebene</w:t>
      </w:r>
      <w:r>
        <w:rPr>
          <w:color w:val="231F20"/>
          <w:spacing w:val="22"/>
        </w:rPr>
        <w:t> </w:t>
      </w:r>
      <w:r>
        <w:rPr>
          <w:color w:val="231F20"/>
        </w:rPr>
        <w:t>Brennstoffzelle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Strom</w:t>
      </w:r>
      <w:r>
        <w:rPr>
          <w:color w:val="231F20"/>
          <w:spacing w:val="5"/>
        </w:rPr>
        <w:t> </w:t>
      </w:r>
      <w:r>
        <w:rPr>
          <w:color w:val="231F20"/>
        </w:rPr>
        <w:t>und</w:t>
      </w:r>
      <w:r>
        <w:rPr>
          <w:color w:val="231F20"/>
          <w:spacing w:val="5"/>
        </w:rPr>
        <w:t> </w:t>
      </w:r>
      <w:r>
        <w:rPr>
          <w:color w:val="231F20"/>
        </w:rPr>
        <w:t>die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erforderliche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Wärme.</w:t>
      </w:r>
      <w:r>
        <w:rPr>
          <w:color w:val="231F20"/>
          <w:spacing w:val="-27"/>
        </w:rPr>
        <w:t> </w:t>
      </w:r>
      <w:r>
        <w:rPr>
          <w:color w:val="231F20"/>
        </w:rPr>
        <w:t>Sie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konsumiert</w:t>
      </w:r>
      <w:r>
        <w:rPr>
          <w:color w:val="231F20"/>
          <w:spacing w:val="-16"/>
        </w:rPr>
        <w:t> </w:t>
      </w:r>
      <w:r>
        <w:rPr>
          <w:color w:val="231F20"/>
        </w:rPr>
        <w:t>jährlich</w:t>
      </w:r>
      <w:r>
        <w:rPr>
          <w:color w:val="231F20"/>
          <w:spacing w:val="-16"/>
        </w:rPr>
        <w:t> </w:t>
      </w:r>
      <w:r>
        <w:rPr>
          <w:color w:val="231F20"/>
        </w:rPr>
        <w:t>etwa</w:t>
      </w:r>
      <w:r>
        <w:rPr>
          <w:color w:val="231F20"/>
          <w:spacing w:val="-16"/>
        </w:rPr>
        <w:t> </w:t>
      </w:r>
      <w:r>
        <w:rPr>
          <w:color w:val="231F20"/>
        </w:rPr>
        <w:t>13’000</w:t>
      </w:r>
      <w:r>
        <w:rPr>
          <w:color w:val="231F20"/>
          <w:spacing w:val="30"/>
        </w:rPr>
        <w:t> </w:t>
      </w:r>
      <w:r>
        <w:rPr>
          <w:color w:val="231F20"/>
        </w:rPr>
        <w:t>kWh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fossile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Energie</w:t>
      </w:r>
      <w:r>
        <w:rPr>
          <w:color w:val="231F20"/>
          <w:spacing w:val="15"/>
        </w:rPr>
        <w:t> </w:t>
      </w:r>
      <w:r>
        <w:rPr>
          <w:color w:val="231F20"/>
        </w:rPr>
        <w:t>und</w:t>
      </w:r>
      <w:r>
        <w:rPr>
          <w:color w:val="231F20"/>
          <w:spacing w:val="15"/>
        </w:rPr>
        <w:t> </w:t>
      </w:r>
      <w:r>
        <w:rPr>
          <w:color w:val="231F20"/>
          <w:spacing w:val="1"/>
        </w:rPr>
        <w:t>emittiert</w:t>
      </w:r>
      <w:r>
        <w:rPr>
          <w:color w:val="231F20"/>
          <w:spacing w:val="15"/>
        </w:rPr>
        <w:t> </w:t>
      </w:r>
      <w:r>
        <w:rPr>
          <w:color w:val="231F20"/>
        </w:rPr>
        <w:t>ca.</w:t>
      </w:r>
      <w:r>
        <w:rPr>
          <w:color w:val="231F20"/>
          <w:spacing w:val="4"/>
        </w:rPr>
        <w:t> </w:t>
      </w:r>
      <w:r>
        <w:rPr>
          <w:color w:val="231F20"/>
        </w:rPr>
        <w:t>2.6</w:t>
      </w:r>
      <w:r>
        <w:rPr>
          <w:color w:val="231F20"/>
          <w:spacing w:val="15"/>
        </w:rPr>
        <w:t> </w:t>
      </w:r>
      <w:r>
        <w:rPr>
          <w:color w:val="231F20"/>
        </w:rPr>
        <w:t>t</w:t>
      </w:r>
      <w:r>
        <w:rPr>
          <w:color w:val="231F20"/>
          <w:spacing w:val="20"/>
        </w:rPr>
        <w:t> </w:t>
      </w:r>
      <w:r>
        <w:rPr>
          <w:color w:val="231F20"/>
        </w:rPr>
        <w:t>CO</w:t>
      </w:r>
      <w:r>
        <w:rPr>
          <w:color w:val="231F20"/>
          <w:position w:val="-5"/>
          <w:sz w:val="10"/>
          <w:szCs w:val="10"/>
        </w:rPr>
        <w:t>2</w:t>
      </w:r>
      <w:r>
        <w:rPr>
          <w:color w:val="231F20"/>
          <w:spacing w:val="22"/>
          <w:position w:val="-5"/>
          <w:sz w:val="10"/>
          <w:szCs w:val="10"/>
        </w:rPr>
        <w:t> </w:t>
      </w:r>
      <w:r>
        <w:rPr>
          <w:color w:val="231F20"/>
          <w:spacing w:val="-2"/>
        </w:rPr>
        <w:t>pro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Jahr.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231F20"/>
          <w:spacing w:val="-1"/>
        </w:rPr>
        <w:t>Architektonisch</w:t>
      </w:r>
      <w:r>
        <w:rPr>
          <w:color w:val="231F20"/>
          <w:spacing w:val="6"/>
        </w:rPr>
        <w:t> </w:t>
      </w:r>
      <w:r>
        <w:rPr>
          <w:color w:val="231F20"/>
        </w:rPr>
        <w:t>gelungen</w:t>
      </w:r>
      <w:r>
        <w:rPr>
          <w:color w:val="231F20"/>
          <w:spacing w:val="6"/>
        </w:rPr>
        <w:t> </w:t>
      </w:r>
      <w:r>
        <w:rPr>
          <w:color w:val="231F20"/>
        </w:rPr>
        <w:t>ist</w:t>
      </w:r>
      <w:r>
        <w:rPr>
          <w:color w:val="231F20"/>
          <w:spacing w:val="6"/>
        </w:rPr>
        <w:t> </w:t>
      </w:r>
      <w:r>
        <w:rPr>
          <w:color w:val="231F20"/>
        </w:rPr>
        <w:t>die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sorgfäl-</w:t>
      </w:r>
      <w:r>
        <w:rPr>
          <w:color w:val="231F20"/>
          <w:spacing w:val="21"/>
        </w:rPr>
        <w:t> </w:t>
      </w:r>
      <w:r>
        <w:rPr>
          <w:color w:val="231F20"/>
        </w:rPr>
        <w:t>tige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Integration</w:t>
      </w:r>
      <w:r>
        <w:rPr>
          <w:color w:val="231F20"/>
          <w:spacing w:val="14"/>
        </w:rPr>
        <w:t> </w:t>
      </w:r>
      <w:r>
        <w:rPr>
          <w:color w:val="231F20"/>
        </w:rPr>
        <w:t>der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PV-Dachanlage</w:t>
      </w:r>
      <w:r>
        <w:rPr>
          <w:color w:val="231F20"/>
          <w:spacing w:val="14"/>
        </w:rPr>
        <w:t> </w:t>
      </w:r>
      <w:r>
        <w:rPr>
          <w:color w:val="231F20"/>
        </w:rPr>
        <w:t>als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ob-</w:t>
      </w:r>
      <w:r>
        <w:rPr>
          <w:color w:val="231F20"/>
          <w:spacing w:val="39"/>
        </w:rPr>
        <w:t> </w:t>
      </w:r>
      <w:r>
        <w:rPr>
          <w:color w:val="231F20"/>
        </w:rPr>
        <w:t>jekt-typische</w:t>
      </w:r>
      <w:r>
        <w:rPr>
          <w:color w:val="231F20"/>
          <w:spacing w:val="-1"/>
        </w:rPr>
        <w:t> </w:t>
      </w:r>
      <w:r>
        <w:rPr>
          <w:color w:val="231F20"/>
        </w:rPr>
        <w:t>und</w:t>
      </w:r>
      <w:r>
        <w:rPr>
          <w:color w:val="231F20"/>
          <w:spacing w:val="-1"/>
        </w:rPr>
        <w:t> stilgerechte Interpretation</w:t>
      </w:r>
      <w:r>
        <w:rPr>
          <w:color w:val="231F20"/>
          <w:spacing w:val="42"/>
        </w:rPr>
        <w:t> </w:t>
      </w:r>
      <w:r>
        <w:rPr>
          <w:color w:val="231F20"/>
        </w:rPr>
        <w:t>eines</w:t>
      </w:r>
      <w:r>
        <w:rPr>
          <w:color w:val="231F20"/>
          <w:spacing w:val="16"/>
        </w:rPr>
        <w:t> </w:t>
      </w:r>
      <w:r>
        <w:rPr>
          <w:color w:val="231F20"/>
          <w:spacing w:val="-2"/>
        </w:rPr>
        <w:t>1970er-Jahre</w:t>
      </w:r>
      <w:r>
        <w:rPr>
          <w:color w:val="231F20"/>
          <w:spacing w:val="16"/>
        </w:rPr>
        <w:t> </w:t>
      </w:r>
      <w:r>
        <w:rPr>
          <w:color w:val="231F20"/>
        </w:rPr>
        <w:t>Eternitdachs.</w:t>
      </w:r>
      <w:r>
        <w:rPr>
          <w:color w:val="231F20"/>
          <w:spacing w:val="5"/>
        </w:rPr>
        <w:t> </w:t>
      </w:r>
      <w:r>
        <w:rPr>
          <w:color w:val="231F20"/>
        </w:rPr>
        <w:t>Dafür</w:t>
      </w:r>
      <w:r>
        <w:rPr>
          <w:color w:val="231F20"/>
          <w:spacing w:val="16"/>
        </w:rPr>
        <w:t> </w:t>
      </w:r>
      <w:r>
        <w:rPr>
          <w:color w:val="231F20"/>
        </w:rPr>
        <w:t>er-</w:t>
      </w:r>
      <w:r>
        <w:rPr>
          <w:color w:val="231F20"/>
          <w:spacing w:val="29"/>
        </w:rPr>
        <w:t> </w:t>
      </w:r>
      <w:r>
        <w:rPr>
          <w:color w:val="231F20"/>
        </w:rPr>
        <w:t>hält</w:t>
      </w:r>
      <w:r>
        <w:rPr>
          <w:color w:val="231F20"/>
          <w:spacing w:val="-11"/>
        </w:rPr>
        <w:t> </w:t>
      </w:r>
      <w:r>
        <w:rPr>
          <w:color w:val="231F20"/>
        </w:rPr>
        <w:t>das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EFH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Keller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Ammann</w:t>
      </w:r>
      <w:r>
        <w:rPr>
          <w:color w:val="231F20"/>
          <w:spacing w:val="-11"/>
        </w:rPr>
        <w:t> </w:t>
      </w:r>
      <w:r>
        <w:rPr>
          <w:color w:val="231F20"/>
        </w:rPr>
        <w:t>das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Solarpreis-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Diplom.</w:t>
      </w:r>
      <w:r>
        <w:rPr/>
      </w:r>
    </w:p>
    <w:p>
      <w:pPr>
        <w:spacing w:before="83"/>
        <w:ind w:left="119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9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66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333" w:val="left" w:leader="none"/>
          <w:tab w:pos="1921" w:val="left" w:leader="none"/>
        </w:tabs>
        <w:spacing w:line="160" w:lineRule="exact" w:before="0"/>
        <w:ind w:left="11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  <w:tab/>
        <w:t>15 cm</w:t>
        <w:tab/>
        <w:t>U-Wert:  </w:t>
      </w:r>
      <w:r>
        <w:rPr>
          <w:rFonts w:ascii="Theinhardt Regular"/>
          <w:color w:val="231F20"/>
          <w:spacing w:val="29"/>
          <w:sz w:val="14"/>
        </w:rPr>
        <w:t> </w:t>
      </w:r>
      <w:r>
        <w:rPr>
          <w:rFonts w:ascii="Theinhardt Regular"/>
          <w:color w:val="231F20"/>
          <w:sz w:val="14"/>
        </w:rPr>
        <w:t>0.24 </w:t>
      </w:r>
      <w:r>
        <w:rPr>
          <w:rFonts w:ascii="Theinhardt Regular"/>
          <w:color w:val="231F20"/>
          <w:spacing w:val="-1"/>
          <w:sz w:val="14"/>
        </w:rPr>
        <w:t>W/m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color w:val="231F20"/>
          <w:spacing w:val="-1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336" w:val="left" w:leader="none"/>
          <w:tab w:pos="1921" w:val="left" w:leader="none"/>
        </w:tabs>
        <w:spacing w:line="160" w:lineRule="exact" w:before="0"/>
        <w:ind w:left="11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Dach:</w:t>
        <w:tab/>
      </w:r>
      <w:r>
        <w:rPr>
          <w:rFonts w:ascii="Theinhardt Regular"/>
          <w:color w:val="231F20"/>
          <w:spacing w:val="-2"/>
          <w:sz w:val="14"/>
        </w:rPr>
        <w:t>24</w:t>
      </w:r>
      <w:r>
        <w:rPr>
          <w:rFonts w:ascii="Theinhardt Regular"/>
          <w:color w:val="231F20"/>
          <w:sz w:val="14"/>
        </w:rPr>
        <w:t> cm</w:t>
        <w:tab/>
        <w:t>U-Wert:   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0.17</w:t>
      </w:r>
      <w:r>
        <w:rPr>
          <w:rFonts w:ascii="Theinhardt Regular"/>
          <w:color w:val="231F20"/>
          <w:sz w:val="14"/>
        </w:rPr>
        <w:t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217" w:val="left" w:leader="none"/>
          <w:tab w:pos="1921" w:val="left" w:leader="none"/>
          <w:tab w:pos="2604" w:val="left" w:leader="none"/>
        </w:tabs>
        <w:spacing w:line="207" w:lineRule="auto" w:before="5"/>
        <w:ind w:left="119" w:right="29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Boden:</w:t>
        <w:tab/>
        <w:t>10 cm</w:t>
        <w:tab/>
        <w:t>U-Wert:  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0.25</w:t>
      </w:r>
      <w:r>
        <w:rPr>
          <w:rFonts w:ascii="Theinhardt Regular"/>
          <w:color w:val="231F20"/>
          <w:sz w:val="14"/>
        </w:rPr>
        <w:t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color w:val="231F20"/>
          <w:spacing w:val="23"/>
          <w:sz w:val="14"/>
        </w:rPr>
        <w:t> </w:t>
      </w:r>
      <w:r>
        <w:rPr>
          <w:rFonts w:ascii="Theinhardt Regular"/>
          <w:color w:val="231F20"/>
          <w:sz w:val="14"/>
        </w:rPr>
        <w:t>Fenster:</w:t>
        <w:tab/>
      </w:r>
      <w:r>
        <w:rPr>
          <w:rFonts w:ascii="Theinhardt Regular"/>
          <w:color w:val="231F20"/>
          <w:spacing w:val="1"/>
          <w:sz w:val="14"/>
        </w:rPr>
        <w:t>dreifach</w:t>
        <w:tab/>
      </w:r>
      <w:r>
        <w:rPr>
          <w:rFonts w:ascii="Theinhardt Regular"/>
          <w:color w:val="231F20"/>
          <w:sz w:val="14"/>
        </w:rPr>
        <w:t>U-Wert:</w:t>
        <w:tab/>
        <w:t>0.6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172" w:lineRule="exact" w:before="38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Energiebedarf </w:t>
      </w:r>
      <w:r>
        <w:rPr>
          <w:rFonts w:ascii="Theinhardt Bold"/>
          <w:b/>
          <w:color w:val="231F20"/>
          <w:spacing w:val="1"/>
          <w:sz w:val="14"/>
        </w:rPr>
        <w:t>v</w:t>
      </w:r>
      <w:r>
        <w:rPr>
          <w:rFonts w:ascii="Theinhardt Bold"/>
          <w:b/>
          <w:color w:val="231F20"/>
          <w:spacing w:val="2"/>
          <w:sz w:val="14"/>
        </w:rPr>
        <w:t>o</w:t>
      </w:r>
      <w:r>
        <w:rPr>
          <w:rFonts w:ascii="Theinhardt Bold"/>
          <w:b/>
          <w:color w:val="231F20"/>
          <w:sz w:val="14"/>
        </w:rPr>
        <w:t>r Sanierung</w:t>
      </w:r>
      <w:r>
        <w:rPr>
          <w:rFonts w:ascii="Theinhardt Bold"/>
          <w:sz w:val="14"/>
        </w:rPr>
      </w:r>
    </w:p>
    <w:p>
      <w:pPr>
        <w:tabs>
          <w:tab w:pos="1620" w:val="left" w:leader="none"/>
          <w:tab w:pos="2393" w:val="left" w:leader="none"/>
          <w:tab w:pos="2430" w:val="left" w:leader="none"/>
          <w:tab w:pos="2793" w:val="left" w:leader="none"/>
          <w:tab w:pos="2842" w:val="left" w:leader="none"/>
        </w:tabs>
        <w:spacing w:line="207" w:lineRule="auto" w:before="5"/>
        <w:ind w:left="119" w:right="33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EBF: 298 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a</w:t>
        <w:tab/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%</w:t>
        <w:tab/>
        <w:tab/>
        <w:t>kWh/a</w:t>
      </w:r>
      <w:r>
        <w:rPr>
          <w:rFonts w:ascii="Theinhardt Regular" w:hAnsi="Theinhardt Regular" w:cs="Theinhardt Regular" w:eastAsia="Theinhardt Regular"/>
          <w:color w:val="231F20"/>
          <w:spacing w:val="2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Warmwasser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und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Heizung:   </w:t>
      </w:r>
      <w:r>
        <w:rPr>
          <w:rFonts w:ascii="Theinhardt Regular" w:hAnsi="Theinhardt Regular" w:cs="Theinhardt Regular" w:eastAsia="Theinhardt Regular"/>
          <w:color w:val="231F20"/>
          <w:spacing w:val="3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250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92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74’500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012" w:val="left" w:leader="none"/>
          <w:tab w:pos="2476" w:val="left" w:leader="none"/>
          <w:tab w:pos="2864" w:val="left" w:leader="none"/>
        </w:tabs>
        <w:spacing w:line="154" w:lineRule="exact" w:before="0"/>
        <w:ind w:left="11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Elektrizität:</w:t>
        <w:tab/>
        <w:t>20</w:t>
        <w:tab/>
      </w: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8</w:t>
        <w:tab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6’500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311" w:val="left" w:leader="none"/>
          <w:tab w:pos="2787" w:val="left" w:leader="none"/>
        </w:tabs>
        <w:spacing w:line="160" w:lineRule="exact" w:before="0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w w:val="95"/>
          <w:sz w:val="14"/>
          <w:szCs w:val="14"/>
        </w:rPr>
        <w:t>Gesamt-EB: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81’000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0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Energiebedarf nach Sanierung</w:t>
      </w:r>
      <w:r>
        <w:rPr>
          <w:rFonts w:ascii="Theinhardt Bold"/>
          <w:sz w:val="14"/>
        </w:rPr>
      </w:r>
    </w:p>
    <w:p>
      <w:pPr>
        <w:tabs>
          <w:tab w:pos="1620" w:val="left" w:leader="none"/>
          <w:tab w:pos="2430" w:val="left" w:leader="none"/>
          <w:tab w:pos="2842" w:val="left" w:leader="none"/>
        </w:tabs>
        <w:spacing w:line="160" w:lineRule="exact" w:before="0"/>
        <w:ind w:left="11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EBF: 298 m</w:t>
      </w:r>
      <w:r>
        <w:rPr>
          <w:rFonts w:ascii="Theinhardt Regular"/>
          <w:color w:val="231F20"/>
          <w:position w:val="5"/>
          <w:sz w:val="8"/>
        </w:rPr>
        <w:t>2</w:t>
        <w:tab/>
      </w:r>
      <w:r>
        <w:rPr>
          <w:rFonts w:ascii="Theinhardt Regular"/>
          <w:color w:val="231F20"/>
          <w:spacing w:val="-1"/>
          <w:sz w:val="14"/>
        </w:rPr>
        <w:t>kWh/m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color w:val="231F20"/>
          <w:spacing w:val="-1"/>
          <w:sz w:val="14"/>
        </w:rPr>
        <w:t>a</w:t>
        <w:tab/>
      </w:r>
      <w:r>
        <w:rPr>
          <w:rFonts w:ascii="Theinhardt Regular"/>
          <w:color w:val="231F20"/>
          <w:sz w:val="14"/>
        </w:rPr>
        <w:t>%</w:t>
        <w:tab/>
        <w:t>kWh/a</w:t>
      </w:r>
      <w:r>
        <w:rPr>
          <w:rFonts w:ascii="Theinhardt Regular"/>
          <w:sz w:val="14"/>
        </w:rPr>
      </w:r>
    </w:p>
    <w:p>
      <w:pPr>
        <w:tabs>
          <w:tab w:pos="2021" w:val="left" w:leader="none"/>
          <w:tab w:pos="2392" w:val="left" w:leader="none"/>
          <w:tab w:pos="2888" w:val="left" w:leader="none"/>
        </w:tabs>
        <w:spacing w:line="160" w:lineRule="exact" w:before="0"/>
        <w:ind w:left="11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Warmwasser:</w:t>
        <w:tab/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14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20</w:t>
        <w:tab/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4’170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014" w:val="left" w:leader="none"/>
          <w:tab w:pos="2402" w:val="left" w:leader="none"/>
          <w:tab w:pos="2865" w:val="left" w:leader="none"/>
        </w:tabs>
        <w:spacing w:line="160" w:lineRule="exact" w:before="0"/>
        <w:ind w:left="11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Heizung: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28</w:t>
        <w:tab/>
      </w:r>
      <w:r>
        <w:rPr>
          <w:rFonts w:ascii="Theinhardt Regular" w:hAnsi="Theinhardt Regular" w:cs="Theinhardt Regular" w:eastAsia="Theinhardt Regular"/>
          <w:color w:val="231F20"/>
          <w:spacing w:val="-5"/>
          <w:sz w:val="14"/>
          <w:szCs w:val="14"/>
        </w:rPr>
        <w:t>41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8’340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014" w:val="left" w:leader="none"/>
          <w:tab w:pos="2393" w:val="left" w:leader="none"/>
          <w:tab w:pos="2869" w:val="left" w:leader="none"/>
        </w:tabs>
        <w:spacing w:line="160" w:lineRule="exact" w:before="0"/>
        <w:ind w:left="11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27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39</w:t>
        <w:tab/>
        <w:t>8’000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010" w:val="left" w:leader="none"/>
          <w:tab w:pos="2788" w:val="left" w:leader="none"/>
        </w:tabs>
        <w:spacing w:line="172" w:lineRule="exact" w:before="0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w w:val="95"/>
          <w:sz w:val="14"/>
          <w:szCs w:val="14"/>
        </w:rPr>
        <w:t>Gesamt-EB: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69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 </w:t>
      </w:r>
      <w:r>
        <w:rPr>
          <w:rFonts w:ascii="Theinhardt Bold" w:hAnsi="Theinhardt Bold" w:cs="Theinhardt Bold" w:eastAsia="Theinhardt Bold"/>
          <w:b/>
          <w:bCs/>
          <w:color w:val="231F20"/>
          <w:spacing w:val="2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20’510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1933" w:val="left" w:leader="none"/>
          <w:tab w:pos="2401" w:val="left" w:leader="none"/>
          <w:tab w:pos="2842" w:val="left" w:leader="none"/>
        </w:tabs>
        <w:spacing w:line="207" w:lineRule="auto" w:before="5"/>
        <w:ind w:left="119" w:right="339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Eigen-EV:   </w:t>
      </w:r>
      <w:r>
        <w:rPr>
          <w:rFonts w:ascii="Theinhardt Regular" w:hAnsi="Theinhardt Regular" w:cs="Theinhardt Regular" w:eastAsia="Theinhardt Regular"/>
          <w:color w:val="231F20"/>
          <w:spacing w:val="1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       </w:t>
      </w:r>
      <w:r>
        <w:rPr>
          <w:rFonts w:ascii="Theinhardt Regular" w:hAnsi="Theinhardt Regular" w:cs="Theinhardt Regular" w:eastAsia="Theinhardt Regular"/>
          <w:color w:val="231F20"/>
          <w:spacing w:val="21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kWp  </w:t>
      </w:r>
      <w:r>
        <w:rPr>
          <w:rFonts w:ascii="Theinhardt Regular" w:hAnsi="Theinhardt Regular" w:cs="Theinhardt Regular" w:eastAsia="Theinhardt Regular"/>
          <w:color w:val="231F20"/>
          <w:spacing w:val="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</w:t>
        <w:tab/>
        <w:t>%</w:t>
        <w:tab/>
        <w:t>kWh/a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SK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Dach:   </w:t>
      </w:r>
      <w:r>
        <w:rPr>
          <w:rFonts w:ascii="Theinhardt Regular" w:hAnsi="Theinhardt Regular" w:cs="Theinhardt Regular" w:eastAsia="Theinhardt Regular"/>
          <w:color w:val="231F20"/>
          <w:spacing w:val="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6.9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381</w:t>
        <w:tab/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13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2’600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1935" w:val="left" w:leader="none"/>
          <w:tab w:pos="2394" w:val="left" w:leader="none"/>
          <w:tab w:pos="2778" w:val="left" w:leader="none"/>
        </w:tabs>
        <w:spacing w:line="167" w:lineRule="exact" w:before="0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PV Dach: </w:t>
      </w:r>
      <w:r>
        <w:rPr>
          <w:rFonts w:ascii="Theinhardt Regular" w:hAnsi="Theinhardt Regular" w:cs="Theinhardt Regular" w:eastAsia="Theinhardt Regular"/>
          <w:color w:val="231F20"/>
          <w:spacing w:val="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90.4  </w:t>
      </w:r>
      <w:r>
        <w:rPr>
          <w:rFonts w:ascii="Theinhardt Regular" w:hAnsi="Theinhardt Regular" w:cs="Theinhardt Regular" w:eastAsia="Theinhardt Regular"/>
          <w:color w:val="231F20"/>
          <w:spacing w:val="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6"/>
          <w:sz w:val="14"/>
          <w:szCs w:val="14"/>
        </w:rPr>
        <w:t>15.13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154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67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13’800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240" w:lineRule="auto" w:before="2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tbl>
      <w:tblPr>
        <w:tblW w:w="0" w:type="auto"/>
        <w:jc w:val="left"/>
        <w:tblInd w:w="6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38"/>
        <w:gridCol w:w="570"/>
        <w:gridCol w:w="622"/>
      </w:tblGrid>
      <w:tr>
        <w:trPr>
          <w:trHeight w:val="156" w:hRule="exact"/>
        </w:trPr>
        <w:tc>
          <w:tcPr>
            <w:tcW w:w="203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1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Total </w:t>
            </w:r>
            <w:r>
              <w:rPr>
                <w:rFonts w:ascii="Theinhardt Regular"/>
                <w:color w:val="231F20"/>
                <w:spacing w:val="1"/>
                <w:sz w:val="14"/>
              </w:rPr>
              <w:t>Eigenenergieversorung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5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1" w:lineRule="exact"/>
              <w:ind w:left="112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-1"/>
                <w:sz w:val="14"/>
                <w:szCs w:val="14"/>
              </w:rPr>
              <w:t>16’400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348" w:hRule="exact"/>
        </w:trPr>
        <w:tc>
          <w:tcPr>
            <w:tcW w:w="203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 w:before="15"/>
              <w:ind w:left="55" w:right="242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z w:val="14"/>
              </w:rPr>
              <w:t>Energiebilanz (Endenergie) Eigenenergieversorgung: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5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 w:before="7"/>
              <w:ind w:left="32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%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69" w:lineRule="exact"/>
              <w:ind w:left="289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2"/>
                <w:sz w:val="14"/>
              </w:rPr>
              <w:t>8</w:t>
            </w:r>
            <w:r>
              <w:rPr>
                <w:rFonts w:ascii="Theinhardt Bold"/>
                <w:b/>
                <w:color w:val="231F20"/>
                <w:sz w:val="14"/>
              </w:rPr>
              <w:t>0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 w:before="7"/>
              <w:ind w:left="170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kWh/a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69" w:lineRule="exact"/>
              <w:ind w:left="112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-1"/>
                <w:sz w:val="14"/>
                <w:szCs w:val="14"/>
              </w:rPr>
              <w:t>16’400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159" w:hRule="exact"/>
        </w:trPr>
        <w:tc>
          <w:tcPr>
            <w:tcW w:w="203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Gesamtenergiebedarf: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5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20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100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12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3"/>
                <w:sz w:val="14"/>
                <w:szCs w:val="14"/>
              </w:rPr>
              <w:t>20’510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87" w:hRule="exact"/>
        </w:trPr>
        <w:tc>
          <w:tcPr>
            <w:tcW w:w="203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Fremdenergiezufuhr: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5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289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2"/>
                <w:sz w:val="14"/>
              </w:rPr>
              <w:t>2</w:t>
            </w:r>
            <w:r>
              <w:rPr>
                <w:rFonts w:ascii="Theinhardt Bold"/>
                <w:b/>
                <w:color w:val="231F20"/>
                <w:sz w:val="14"/>
              </w:rPr>
              <w:t>0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207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-3"/>
                <w:sz w:val="14"/>
                <w:szCs w:val="14"/>
              </w:rPr>
              <w:t>4’110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60" w:lineRule="exact" w:before="17"/>
        <w:ind w:left="119" w:right="1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Bestätigt von ewl energie wasser luzern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am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5"/>
          <w:sz w:val="14"/>
        </w:rPr>
        <w:t>24.07.2018,</w:t>
      </w:r>
      <w:r>
        <w:rPr>
          <w:rFonts w:ascii="Theinhardt Regular" w:hAnsi="Theinhardt Regular"/>
          <w:color w:val="231F20"/>
          <w:spacing w:val="-9"/>
          <w:sz w:val="14"/>
        </w:rPr>
        <w:t> </w:t>
      </w:r>
      <w:r>
        <w:rPr>
          <w:rFonts w:ascii="Theinhardt Regular" w:hAnsi="Theinhardt Regular"/>
          <w:color w:val="231F20"/>
          <w:spacing w:val="-5"/>
          <w:sz w:val="14"/>
        </w:rPr>
        <w:t>Christoph</w:t>
      </w:r>
      <w:r>
        <w:rPr>
          <w:rFonts w:ascii="Theinhardt Regular" w:hAnsi="Theinhardt Regular"/>
          <w:color w:val="231F20"/>
          <w:spacing w:val="-9"/>
          <w:sz w:val="14"/>
        </w:rPr>
        <w:t> </w:t>
      </w:r>
      <w:r>
        <w:rPr>
          <w:rFonts w:ascii="Theinhardt Regular" w:hAnsi="Theinhardt Regular"/>
          <w:color w:val="231F20"/>
          <w:spacing w:val="-5"/>
          <w:sz w:val="14"/>
        </w:rPr>
        <w:t>Eggerschwiler,</w:t>
      </w:r>
      <w:r>
        <w:rPr>
          <w:rFonts w:ascii="Theinhardt Regular" w:hAnsi="Theinhardt Regular"/>
          <w:color w:val="231F20"/>
          <w:spacing w:val="-9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Tel.</w:t>
      </w:r>
      <w:r>
        <w:rPr>
          <w:rFonts w:ascii="Theinhardt Regular" w:hAnsi="Theinhardt Regular"/>
          <w:color w:val="231F20"/>
          <w:spacing w:val="-9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041</w:t>
      </w:r>
      <w:r>
        <w:rPr>
          <w:rFonts w:ascii="Theinhardt Regular" w:hAnsi="Theinhardt Regular"/>
          <w:color w:val="231F20"/>
          <w:spacing w:val="-9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369</w:t>
      </w:r>
      <w:r>
        <w:rPr>
          <w:rFonts w:ascii="Theinhardt Regular" w:hAnsi="Theinhardt Regular"/>
          <w:color w:val="231F20"/>
          <w:spacing w:val="-9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43</w:t>
      </w:r>
      <w:r>
        <w:rPr>
          <w:rFonts w:ascii="Theinhardt Regular" w:hAnsi="Theinhardt Regular"/>
          <w:color w:val="231F20"/>
          <w:spacing w:val="-9"/>
          <w:sz w:val="14"/>
        </w:rPr>
        <w:t> </w:t>
      </w:r>
      <w:r>
        <w:rPr>
          <w:rFonts w:ascii="Theinhardt Regular" w:hAnsi="Theinhardt Regular"/>
          <w:color w:val="231F20"/>
          <w:spacing w:val="-5"/>
          <w:sz w:val="14"/>
        </w:rPr>
        <w:t>35</w:t>
      </w:r>
      <w:r>
        <w:rPr>
          <w:rFonts w:ascii="Theinhardt Regular" w:hAnsi="Theinhardt Regular"/>
          <w:sz w:val="14"/>
        </w:rPr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before="0"/>
        <w:ind w:left="119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pacing w:val="1"/>
          <w:sz w:val="14"/>
        </w:rPr>
        <w:t>Beteiligte</w:t>
      </w:r>
      <w:r>
        <w:rPr>
          <w:rFonts w:ascii="Theinhardt Black"/>
          <w:b/>
          <w:color w:val="231F20"/>
          <w:sz w:val="14"/>
        </w:rPr>
        <w:t> 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9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66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Bauherrschaft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und</w:t>
      </w:r>
      <w:r>
        <w:rPr>
          <w:rFonts w:ascii="Theinhardt Bold" w:hAnsi="Theinhardt Bold"/>
          <w:b/>
          <w:color w:val="231F20"/>
          <w:sz w:val="14"/>
        </w:rPr>
        <w:t> Standort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Gebäudes</w:t>
      </w:r>
      <w:r>
        <w:rPr>
          <w:rFonts w:ascii="Theinhardt Bold" w:hAnsi="Theinhardt Bold"/>
          <w:sz w:val="14"/>
        </w:rPr>
      </w:r>
    </w:p>
    <w:p>
      <w:pPr>
        <w:spacing w:line="207" w:lineRule="auto" w:before="5"/>
        <w:ind w:left="119" w:right="1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Brigitte</w:t>
      </w:r>
      <w:r>
        <w:rPr>
          <w:rFonts w:ascii="Theinhardt Regular"/>
          <w:color w:val="231F20"/>
          <w:spacing w:val="-7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und</w:t>
      </w:r>
      <w:r>
        <w:rPr>
          <w:rFonts w:ascii="Theinhardt Regular"/>
          <w:color w:val="231F20"/>
          <w:spacing w:val="-7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Beat</w:t>
      </w:r>
      <w:r>
        <w:rPr>
          <w:rFonts w:ascii="Theinhardt Regular"/>
          <w:color w:val="231F20"/>
          <w:spacing w:val="-7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Keller</w:t>
      </w:r>
      <w:r>
        <w:rPr>
          <w:rFonts w:ascii="Theinhardt Regular"/>
          <w:color w:val="231F20"/>
          <w:spacing w:val="-7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Ammann,</w:t>
      </w:r>
      <w:r>
        <w:rPr>
          <w:rFonts w:ascii="Theinhardt Regular"/>
          <w:color w:val="231F20"/>
          <w:spacing w:val="-7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Dreilindenstrasse</w:t>
      </w:r>
      <w:r>
        <w:rPr>
          <w:rFonts w:ascii="Theinhardt Regular"/>
          <w:color w:val="231F20"/>
          <w:spacing w:val="-7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68,</w:t>
      </w:r>
      <w:r>
        <w:rPr>
          <w:rFonts w:ascii="Theinhardt Regular"/>
          <w:color w:val="231F20"/>
          <w:spacing w:val="63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6005</w:t>
      </w:r>
      <w:r>
        <w:rPr>
          <w:rFonts w:ascii="Theinhardt Regular"/>
          <w:color w:val="231F20"/>
          <w:spacing w:val="-7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Luzern,</w:t>
      </w:r>
      <w:r>
        <w:rPr>
          <w:rFonts w:ascii="Theinhardt Regular"/>
          <w:color w:val="231F20"/>
          <w:spacing w:val="-7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Tel.</w:t>
      </w:r>
      <w:r>
        <w:rPr>
          <w:rFonts w:ascii="Theinhardt Regular"/>
          <w:color w:val="231F20"/>
          <w:spacing w:val="-7"/>
          <w:sz w:val="14"/>
        </w:rPr>
        <w:t> </w:t>
      </w:r>
      <w:r>
        <w:rPr>
          <w:rFonts w:ascii="Theinhardt Regular"/>
          <w:color w:val="231F20"/>
          <w:spacing w:val="-5"/>
          <w:sz w:val="14"/>
        </w:rPr>
        <w:t>041</w:t>
      </w:r>
      <w:r>
        <w:rPr>
          <w:rFonts w:ascii="Theinhardt Regular"/>
          <w:color w:val="231F20"/>
          <w:spacing w:val="-7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420</w:t>
      </w:r>
      <w:r>
        <w:rPr>
          <w:rFonts w:ascii="Theinhardt Regular"/>
          <w:color w:val="231F20"/>
          <w:spacing w:val="-7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31</w:t>
      </w:r>
      <w:r>
        <w:rPr>
          <w:rFonts w:ascii="Theinhardt Regular"/>
          <w:color w:val="231F20"/>
          <w:spacing w:val="-7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23,</w:t>
      </w:r>
      <w:r>
        <w:rPr>
          <w:rFonts w:ascii="Theinhardt Regular"/>
          <w:color w:val="231F20"/>
          <w:spacing w:val="-7"/>
          <w:sz w:val="14"/>
        </w:rPr>
        <w:t> </w:t>
      </w:r>
      <w:hyperlink r:id="rId6">
        <w:r>
          <w:rPr>
            <w:rFonts w:ascii="Theinhardt Regular"/>
            <w:color w:val="231F20"/>
            <w:spacing w:val="-2"/>
            <w:sz w:val="14"/>
          </w:rPr>
          <w:t>bb.keller@bluewin.ch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8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Konzeptentwicklung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Ausführung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PV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HT</w:t>
      </w:r>
      <w:r>
        <w:rPr>
          <w:rFonts w:ascii="Theinhardt Bold" w:hAnsi="Theinhardt Bold"/>
          <w:sz w:val="14"/>
        </w:rPr>
      </w:r>
    </w:p>
    <w:p>
      <w:pPr>
        <w:spacing w:line="160" w:lineRule="exact" w:before="0"/>
        <w:ind w:left="11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BE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Netz</w:t>
      </w:r>
      <w:r>
        <w:rPr>
          <w:rFonts w:ascii="Theinhardt Regular"/>
          <w:color w:val="231F20"/>
          <w:sz w:val="14"/>
        </w:rPr>
        <w:t> AG, </w:t>
      </w:r>
      <w:r>
        <w:rPr>
          <w:rFonts w:ascii="Theinhardt Regular"/>
          <w:color w:val="231F20"/>
          <w:spacing w:val="1"/>
          <w:sz w:val="14"/>
        </w:rPr>
        <w:t>PL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Pascal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Wieser</w:t>
      </w:r>
      <w:r>
        <w:rPr>
          <w:rFonts w:ascii="Theinhardt Regular"/>
          <w:sz w:val="14"/>
        </w:rPr>
      </w:r>
    </w:p>
    <w:p>
      <w:pPr>
        <w:spacing w:line="207" w:lineRule="auto" w:before="5"/>
        <w:ind w:left="119" w:right="14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Bau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und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Energie,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Industriestrasse</w:t>
      </w:r>
      <w:r>
        <w:rPr>
          <w:rFonts w:ascii="Theinhardt Regular"/>
          <w:color w:val="231F20"/>
          <w:sz w:val="14"/>
        </w:rPr>
        <w:t> 4, </w:t>
      </w:r>
      <w:r>
        <w:rPr>
          <w:rFonts w:ascii="Theinhardt Regular"/>
          <w:color w:val="231F20"/>
          <w:spacing w:val="1"/>
          <w:sz w:val="14"/>
        </w:rPr>
        <w:t>6030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Ebikon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LU</w:t>
      </w:r>
      <w:r>
        <w:rPr>
          <w:rFonts w:ascii="Theinhardt Regular"/>
          <w:color w:val="231F20"/>
          <w:spacing w:val="4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041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319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00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00</w:t>
      </w:r>
      <w:hyperlink r:id="rId7">
        <w:r>
          <w:rPr>
            <w:rFonts w:ascii="Theinhardt Regular"/>
            <w:color w:val="231F20"/>
            <w:spacing w:val="1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2"/>
            <w:sz w:val="14"/>
          </w:rPr>
          <w:t>www.benetz.ch</w:t>
        </w:r>
        <w:r>
          <w:rPr>
            <w:rFonts w:ascii="Theinhardt Regular"/>
            <w:sz w:val="14"/>
          </w:rPr>
        </w:r>
      </w:hyperlink>
    </w:p>
    <w:p>
      <w:pPr>
        <w:spacing w:line="240" w:lineRule="auto" w:before="3"/>
        <w:rPr>
          <w:rFonts w:ascii="Theinhardt Regular" w:hAnsi="Theinhardt Regular" w:cs="Theinhardt Regular" w:eastAsia="Theinhardt Regular"/>
          <w:sz w:val="3"/>
          <w:szCs w:val="3"/>
        </w:rPr>
      </w:pPr>
    </w:p>
    <w:p>
      <w:pPr>
        <w:spacing w:line="20" w:lineRule="atLeast"/>
        <w:ind w:left="119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12"/>
        <w:rPr>
          <w:rFonts w:ascii="Theinhardt Regular" w:hAnsi="Theinhardt Regular" w:cs="Theinhardt Regular" w:eastAsia="Theinhardt Regular"/>
          <w:sz w:val="10"/>
          <w:szCs w:val="10"/>
        </w:rPr>
      </w:pPr>
    </w:p>
    <w:p>
      <w:pPr>
        <w:spacing w:line="200" w:lineRule="atLeast"/>
        <w:ind w:left="119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29626" cy="1716024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9626" cy="1716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before="9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2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20" w:bottom="280" w:left="900" w:right="620"/>
          <w:cols w:num="3" w:equalWidth="0">
            <w:col w:w="3476" w:space="97"/>
            <w:col w:w="3465" w:space="107"/>
            <w:col w:w="3585"/>
          </w:cols>
        </w:sect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11"/>
          <w:szCs w:val="11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1"/>
          <w:szCs w:val="11"/>
        </w:rPr>
        <w:sectPr>
          <w:type w:val="continuous"/>
          <w:pgSz w:w="12250" w:h="17180"/>
          <w:pgMar w:top="1020" w:bottom="280" w:left="900" w:right="620"/>
        </w:sectPr>
      </w:pPr>
    </w:p>
    <w:p>
      <w:pPr>
        <w:numPr>
          <w:ilvl w:val="0"/>
          <w:numId w:val="1"/>
        </w:numPr>
        <w:tabs>
          <w:tab w:pos="348" w:val="left" w:leader="none"/>
        </w:tabs>
        <w:spacing w:line="160" w:lineRule="exact" w:before="77"/>
        <w:ind w:left="34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Die 15,1 kW </w:t>
      </w:r>
      <w:r>
        <w:rPr>
          <w:rFonts w:ascii="Theinhardt Bold" w:hAnsi="Theinhardt Bold"/>
          <w:b/>
          <w:color w:val="231F20"/>
          <w:spacing w:val="-1"/>
          <w:sz w:val="14"/>
        </w:rPr>
        <w:t>starke</w:t>
      </w:r>
      <w:r>
        <w:rPr>
          <w:rFonts w:ascii="Theinhardt Bold" w:hAnsi="Theinhardt Bold"/>
          <w:b/>
          <w:color w:val="231F20"/>
          <w:sz w:val="14"/>
        </w:rPr>
        <w:t> PV-Anlage deckt zusammen</w:t>
      </w:r>
      <w:r>
        <w:rPr>
          <w:rFonts w:ascii="Theinhardt Bold" w:hAnsi="Theinhardt Bold"/>
          <w:b/>
          <w:color w:val="231F20"/>
          <w:spacing w:val="24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mit </w:t>
      </w:r>
      <w:r>
        <w:rPr>
          <w:rFonts w:ascii="Theinhardt Bold" w:hAnsi="Theinhardt Bold"/>
          <w:b/>
          <w:color w:val="231F20"/>
          <w:spacing w:val="-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solarthermischen Anlage 80% des</w:t>
      </w:r>
      <w:r>
        <w:rPr>
          <w:rFonts w:ascii="Theinhardt Bold" w:hAnsi="Theinhardt Bold"/>
          <w:b/>
          <w:color w:val="231F20"/>
          <w:spacing w:val="29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Gesamtenergiebedarfs.</w:t>
      </w:r>
      <w:r>
        <w:rPr>
          <w:rFonts w:ascii="Theinhardt Bold" w:hAnsi="Theinhardt Bold"/>
          <w:b/>
          <w:color w:val="231F20"/>
          <w:spacing w:val="-6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Architektonisch</w:t>
      </w:r>
      <w:r>
        <w:rPr>
          <w:rFonts w:ascii="Theinhardt Bold" w:hAnsi="Theinhardt Bold"/>
          <w:b/>
          <w:color w:val="231F20"/>
          <w:spacing w:val="27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überzeugend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gelöst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ist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die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sorgfältige</w:t>
      </w:r>
      <w:r>
        <w:rPr>
          <w:rFonts w:ascii="Theinhardt Bold" w:hAnsi="Theinhardt Bold"/>
          <w:b/>
          <w:color w:val="231F20"/>
          <w:sz w:val="14"/>
        </w:rPr>
        <w:t> Integrati-</w:t>
      </w:r>
      <w:r>
        <w:rPr>
          <w:rFonts w:ascii="Theinhardt Bold" w:hAnsi="Theinhardt Bold"/>
          <w:sz w:val="14"/>
        </w:rPr>
      </w:r>
    </w:p>
    <w:p>
      <w:pPr>
        <w:spacing w:line="160" w:lineRule="exact" w:before="77"/>
        <w:ind w:left="120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Bold"/>
          <w:b/>
          <w:color w:val="231F20"/>
          <w:sz w:val="14"/>
        </w:rPr>
        <w:t>on </w:t>
      </w:r>
      <w:r>
        <w:rPr>
          <w:rFonts w:ascii="Theinhardt Bold"/>
          <w:b/>
          <w:color w:val="231F20"/>
          <w:spacing w:val="-1"/>
          <w:sz w:val="14"/>
        </w:rPr>
        <w:t>der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-1"/>
          <w:sz w:val="14"/>
        </w:rPr>
        <w:t>PV-Dachanlage</w:t>
      </w:r>
      <w:r>
        <w:rPr>
          <w:rFonts w:ascii="Theinhardt Bold"/>
          <w:b/>
          <w:color w:val="231F20"/>
          <w:sz w:val="14"/>
        </w:rPr>
        <w:t> als objekt-typische und</w:t>
      </w:r>
      <w:r>
        <w:rPr>
          <w:rFonts w:ascii="Theinhardt Bold"/>
          <w:b/>
          <w:color w:val="231F20"/>
          <w:spacing w:val="30"/>
          <w:sz w:val="14"/>
        </w:rPr>
        <w:t> </w:t>
      </w:r>
      <w:r>
        <w:rPr>
          <w:rFonts w:ascii="Theinhardt Bold"/>
          <w:b/>
          <w:color w:val="231F20"/>
          <w:sz w:val="14"/>
        </w:rPr>
        <w:t>stilgerechte Interpretation eines </w:t>
      </w:r>
      <w:r>
        <w:rPr>
          <w:rFonts w:ascii="Theinhardt Bold"/>
          <w:b/>
          <w:color w:val="231F20"/>
          <w:spacing w:val="-1"/>
          <w:sz w:val="14"/>
        </w:rPr>
        <w:t>1970er-Jahre</w:t>
      </w:r>
      <w:r>
        <w:rPr>
          <w:rFonts w:ascii="Theinhardt Bold"/>
          <w:b/>
          <w:color w:val="231F20"/>
          <w:spacing w:val="29"/>
          <w:sz w:val="14"/>
        </w:rPr>
        <w:t> </w:t>
      </w:r>
      <w:r>
        <w:rPr>
          <w:rFonts w:ascii="Theinhardt Bold"/>
          <w:b/>
          <w:color w:val="231F20"/>
          <w:sz w:val="14"/>
        </w:rPr>
        <w:t>Eternitdachs.</w:t>
      </w:r>
      <w:r>
        <w:rPr>
          <w:rFonts w:ascii="Theinhardt Bold"/>
          <w:sz w:val="14"/>
        </w:rPr>
      </w:r>
    </w:p>
    <w:p>
      <w:pPr>
        <w:numPr>
          <w:ilvl w:val="0"/>
          <w:numId w:val="1"/>
        </w:numPr>
        <w:tabs>
          <w:tab w:pos="348" w:val="left" w:leader="none"/>
        </w:tabs>
        <w:spacing w:line="160" w:lineRule="exact" w:before="77"/>
        <w:ind w:left="347" w:right="318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br w:type="column"/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Villa als typische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Vertreterin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des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 </w:t>
      </w:r>
      <w:r>
        <w:rPr>
          <w:rFonts w:ascii="Frutiger LT Com 45 Light" w:hAnsi="Frutiger LT Com 45 Light" w:cs="Frutiger LT Com 45 Light" w:eastAsia="Frutiger LT Com 45 Light"/>
          <w:b w:val="0"/>
          <w:bCs w:val="0"/>
          <w:color w:val="231F20"/>
          <w:sz w:val="14"/>
          <w:szCs w:val="14"/>
        </w:rPr>
        <w:t>«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béton</w:t>
      </w:r>
      <w:r>
        <w:rPr>
          <w:rFonts w:ascii="Theinhardt Bold" w:hAnsi="Theinhardt Bold" w:cs="Theinhardt Bold" w:eastAsia="Theinhardt Bold"/>
          <w:b/>
          <w:bCs/>
          <w:color w:val="231F20"/>
          <w:spacing w:val="2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brut</w:t>
      </w:r>
      <w:r>
        <w:rPr>
          <w:rFonts w:ascii="Frutiger LT Com 45 Light" w:hAnsi="Frutiger LT Com 45 Light" w:cs="Frutiger LT Com 45 Light" w:eastAsia="Frutiger LT Com 45 Light"/>
          <w:b w:val="0"/>
          <w:bCs w:val="0"/>
          <w:color w:val="231F20"/>
          <w:sz w:val="14"/>
          <w:szCs w:val="14"/>
        </w:rPr>
        <w:t>»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.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Vor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Sanierung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verbrauchte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sie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rund</w:t>
      </w:r>
      <w:r>
        <w:rPr>
          <w:rFonts w:ascii="Theinhardt Bold" w:hAnsi="Theinhardt Bold" w:cs="Theinhardt Bold" w:eastAsia="Theinhardt Bold"/>
          <w:b/>
          <w:bCs/>
          <w:color w:val="231F20"/>
          <w:spacing w:val="3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81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’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000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kWh/a,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danach noch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20’510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20" w:bottom="280" w:left="900" w:right="620"/>
          <w:cols w:num="3" w:equalWidth="0">
            <w:col w:w="3418" w:space="381"/>
            <w:col w:w="3072" w:space="273"/>
            <w:col w:w="3586"/>
          </w:cols>
        </w:sect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667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Heavy"/>
          <w:b/>
          <w:color w:val="231F20"/>
          <w:sz w:val="14"/>
        </w:rPr>
        <w:t>85</w:t>
      </w:r>
      <w:r>
        <w:rPr>
          <w:rFonts w:ascii="Theinhardt Heavy"/>
          <w:sz w:val="14"/>
        </w:rPr>
      </w:r>
    </w:p>
    <w:sectPr>
      <w:type w:val="continuous"/>
      <w:pgSz w:w="12250" w:h="17180"/>
      <w:pgMar w:top="1020" w:bottom="280" w:left="9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Frutiger LT Com 45 Light">
    <w:altName w:val="Frutiger LT Com 45 Light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7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54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61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68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75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82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89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96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03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9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bb.keller@bluewin.ch" TargetMode="External"/><Relationship Id="rId7" Type="http://schemas.openxmlformats.org/officeDocument/2006/relationships/hyperlink" Target="http://www.benetz.ch/" TargetMode="External"/><Relationship Id="rId8" Type="http://schemas.openxmlformats.org/officeDocument/2006/relationships/image" Target="media/image2.jpeg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2018-10-02T10:14:57Z</dcterms:created>
  <dcterms:modified xsi:type="dcterms:W3CDTF">2018-10-02T10:14:57Z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