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6" w:val="left" w:leader="none"/>
        </w:tabs>
        <w:spacing w:line="242" w:lineRule="auto" w:before="35"/>
        <w:ind w:left="117" w:right="0" w:firstLine="0"/>
        <w:jc w:val="left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3.527271pt;width:.1pt;height:.1pt;mso-position-horizontal-relative:page;mso-position-vertical-relative:paragraph;z-index:-4192" coordorigin="741,271" coordsize="2,2">
            <v:shape style="position:absolute;left:741;top:271;width:2;height:2" coordorigin="741,271" coordsize="0,0" path="m741,271l741,271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3.527271pt;width:.1pt;height:.1pt;mso-position-horizontal-relative:page;mso-position-vertical-relative:paragraph;z-index:1120" coordorigin="3185,271" coordsize="2,2">
            <v:shape style="position:absolute;left:3185;top:271;width:2;height:2" coordorigin="3185,271" coordsize="0,0" path="m3185,271l3185,271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5.527271pt;width:.1pt;height:.1pt;mso-position-horizontal-relative:page;mso-position-vertical-relative:paragraph;z-index:-4144" coordorigin="741,511" coordsize="2,2">
            <v:shape style="position:absolute;left:741;top:511;width:2;height:2" coordorigin="741,511" coordsize="0,0" path="m741,511l741,511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5.527271pt;width:.1pt;height:.1pt;mso-position-horizontal-relative:page;mso-position-vertical-relative:paragraph;z-index:1168" coordorigin="3185,511" coordsize="2,2">
            <v:shape style="position:absolute;left:3185;top:511;width:2;height:2" coordorigin="3185,511" coordsize="0,0" path="m3185,511l3185,511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Heavy" w:hAnsi="Theinhardt Heavy"/>
          <w:b/>
          <w:color w:val="231F20"/>
          <w:sz w:val="18"/>
        </w:rPr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Catégorie B</w:t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 </w:t>
        <w:tab/>
      </w:r>
      <w:r>
        <w:rPr>
          <w:rFonts w:ascii="Theinhardt Heavy" w:hAnsi="Theinhardt Heavy"/>
          <w:b/>
          <w:color w:val="231F20"/>
          <w:sz w:val="18"/>
        </w:rPr>
      </w:r>
      <w:r>
        <w:rPr>
          <w:rFonts w:ascii="Theinhardt Heavy" w:hAnsi="Theinhardt Heavy"/>
          <w:b/>
          <w:color w:val="231F20"/>
          <w:spacing w:val="26"/>
          <w:sz w:val="18"/>
        </w:rPr>
        <w:t> </w:t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Bâtiments: </w:t>
      </w:r>
      <w:r>
        <w:rPr>
          <w:rFonts w:ascii="Theinhardt Heavy" w:hAnsi="Theinhardt Heavy"/>
          <w:b/>
          <w:color w:val="231F20"/>
          <w:spacing w:val="-1"/>
          <w:sz w:val="18"/>
          <w:u w:val="dotted" w:color="231F20"/>
        </w:rPr>
        <w:t>Rénovations</w:t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 </w:t>
        <w:tab/>
      </w:r>
      <w:r>
        <w:rPr>
          <w:rFonts w:ascii="Theinhardt Heavy" w:hAnsi="Theinhardt Heavy"/>
          <w:b/>
          <w:color w:val="231F20"/>
          <w:sz w:val="18"/>
        </w:rPr>
      </w:r>
      <w:r>
        <w:rPr>
          <w:rFonts w:ascii="Theinhardt Heavy" w:hAnsi="Theinhardt Heavy"/>
          <w:b/>
          <w:color w:val="231F20"/>
          <w:spacing w:val="32"/>
          <w:sz w:val="18"/>
        </w:rPr>
        <w:t> </w:t>
      </w:r>
      <w:r>
        <w:rPr>
          <w:rFonts w:ascii="Theinhardt Regular" w:hAnsi="Theinhardt Regular"/>
          <w:color w:val="231F20"/>
          <w:spacing w:val="-1"/>
          <w:w w:val="95"/>
          <w:sz w:val="18"/>
        </w:rPr>
        <w:t>Diplôme</w:t>
      </w:r>
      <w:r>
        <w:rPr>
          <w:rFonts w:ascii="Theinhardt Regular" w:hAnsi="Theinhardt Regular"/>
          <w:color w:val="231F20"/>
          <w:spacing w:val="34"/>
          <w:w w:val="95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Prix</w:t>
      </w:r>
      <w:r>
        <w:rPr>
          <w:rFonts w:ascii="Theinhardt Regular" w:hAnsi="Theinhardt Regular"/>
          <w:color w:val="231F20"/>
          <w:sz w:val="18"/>
        </w:rPr>
        <w:t> Solarie </w:t>
      </w:r>
      <w:r>
        <w:rPr>
          <w:rFonts w:ascii="Theinhardt Regular" w:hAnsi="Theinhardt Regular"/>
          <w:color w:val="231F20"/>
          <w:spacing w:val="-1"/>
          <w:sz w:val="18"/>
        </w:rPr>
        <w:t>Suisse</w:t>
      </w:r>
      <w:r>
        <w:rPr>
          <w:rFonts w:ascii="Theinhardt Regular" w:hAnsi="Theinhardt Regular"/>
          <w:color w:val="231F20"/>
          <w:spacing w:val="2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40" w:lineRule="exact" w:before="18"/>
        <w:ind w:left="117" w:right="111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bâtiment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commercial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industriel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manufacture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horlogère</w:t>
      </w:r>
      <w:r>
        <w:rPr>
          <w:rFonts w:ascii="Theinhardt Bold" w:hAnsi="Theinhardt Bold" w:cs="Theinhardt Bold" w:eastAsia="Theinhardt Bold"/>
          <w:b/>
          <w:bCs/>
          <w:color w:val="231F20"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Vacheron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Constantin,</w:t>
      </w:r>
      <w:r>
        <w:rPr>
          <w:rFonts w:ascii="Theinhardt Bold" w:hAnsi="Theinhardt Bold" w:cs="Theinhardt Bold" w:eastAsia="Theinhardt Bold"/>
          <w:b/>
          <w:bCs/>
          <w:color w:val="231F20"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color w:val="231F20"/>
          <w:spacing w:val="7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mains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Richemont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International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SA,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Plan-les-Ouates/GE,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suit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esthétique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attractive.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Sa</w:t>
      </w:r>
      <w:r>
        <w:rPr>
          <w:rFonts w:ascii="Theinhardt Bold" w:hAnsi="Theinhardt Bold" w:cs="Theinhardt Bold" w:eastAsia="Theinhardt Bold"/>
          <w:b/>
          <w:bCs/>
          <w:color w:val="231F20"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forme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nécessité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mise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œuvre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extrêmement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minutieuse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l’installation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PV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246</w:t>
      </w:r>
      <w:r>
        <w:rPr>
          <w:rFonts w:ascii="Theinhardt Bold" w:hAnsi="Theinhardt Bold" w:cs="Theinhardt Bold" w:eastAsia="Theinhardt Bold"/>
          <w:b/>
          <w:bCs/>
          <w:color w:val="231F20"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kWc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sur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toit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plat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.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Cette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dernière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fournit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environ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254’600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kWh/a,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soit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6,1%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color w:val="231F20"/>
          <w:spacing w:val="5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énergie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solaire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par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rapport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aux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quelque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4’157’100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que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consomme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site.</w:t>
      </w:r>
      <w:r>
        <w:rPr>
          <w:rFonts w:ascii="Theinhardt Bold" w:hAnsi="Theinhardt Bold" w:cs="Theinhardt Bold" w:eastAsia="Theinhardt Bold"/>
          <w:b/>
          <w:bCs/>
          <w:color w:val="231F20"/>
          <w:spacing w:val="-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Bien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que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faible,</w:t>
      </w:r>
      <w:r>
        <w:rPr>
          <w:rFonts w:ascii="Theinhardt Bold" w:hAnsi="Theinhardt Bold" w:cs="Theinhardt Bold" w:eastAsia="Theinhardt Bold"/>
          <w:b/>
          <w:bCs/>
          <w:color w:val="231F20"/>
          <w:spacing w:val="6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cette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production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permet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déjà d’économiser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13,6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 CO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position w:val="-5"/>
          <w:sz w:val="10"/>
          <w:szCs w:val="10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sur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1’480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provenant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 l’énergie</w:t>
      </w:r>
      <w:r>
        <w:rPr>
          <w:rFonts w:ascii="Theinhardt Bold" w:hAnsi="Theinhardt Bold" w:cs="Theinhardt Bold" w:eastAsia="Theinhardt Bold"/>
          <w:b/>
          <w:bCs/>
          <w:color w:val="231F20"/>
          <w:spacing w:val="6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nucléaire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fossile.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4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20" w:bottom="280" w:left="620" w:right="900"/>
          <w:cols w:num="2" w:equalWidth="0">
            <w:col w:w="2557" w:space="122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15"/>
          <w:szCs w:val="15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3"/>
          <w:sz w:val="40"/>
        </w:rPr>
        <w:t>Vacheron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5"/>
          <w:sz w:val="40"/>
        </w:rPr>
        <w:t>Constantin,</w:t>
      </w:r>
      <w:r>
        <w:rPr>
          <w:rFonts w:ascii="Theinhardt Black"/>
          <w:b/>
          <w:color w:val="0067B1"/>
          <w:sz w:val="40"/>
        </w:rPr>
        <w:t> 1228 </w:t>
      </w:r>
      <w:r>
        <w:rPr>
          <w:rFonts w:ascii="Theinhardt Black"/>
          <w:b/>
          <w:color w:val="0067B1"/>
          <w:spacing w:val="5"/>
          <w:sz w:val="40"/>
        </w:rPr>
        <w:t>Plan-les-Ouates/GE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20" w:bottom="280" w:left="620" w:right="90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color w:val="231F20"/>
        </w:rPr>
        <w:t>La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manufacture</w:t>
      </w:r>
      <w:r>
        <w:rPr>
          <w:color w:val="231F20"/>
          <w:spacing w:val="46"/>
        </w:rPr>
        <w:t> </w:t>
      </w:r>
      <w:r>
        <w:rPr>
          <w:color w:val="231F20"/>
          <w:spacing w:val="-1"/>
        </w:rPr>
        <w:t>horlogère</w:t>
      </w:r>
      <w:r>
        <w:rPr>
          <w:color w:val="231F20"/>
          <w:spacing w:val="34"/>
        </w:rPr>
        <w:t> </w:t>
      </w:r>
      <w:r>
        <w:rPr>
          <w:color w:val="231F20"/>
          <w:spacing w:val="-2"/>
        </w:rPr>
        <w:t>Vacheron</w:t>
      </w:r>
      <w:r>
        <w:rPr>
          <w:color w:val="231F20"/>
          <w:spacing w:val="46"/>
        </w:rPr>
        <w:t> </w:t>
      </w:r>
      <w:r>
        <w:rPr>
          <w:color w:val="231F20"/>
        </w:rPr>
        <w:t>Con-</w:t>
      </w:r>
      <w:r>
        <w:rPr>
          <w:color w:val="231F20"/>
          <w:spacing w:val="23"/>
        </w:rPr>
        <w:t> </w:t>
      </w:r>
      <w:r>
        <w:rPr>
          <w:color w:val="231F20"/>
        </w:rPr>
        <w:t>stantin</w:t>
      </w:r>
      <w:r>
        <w:rPr>
          <w:color w:val="231F20"/>
          <w:spacing w:val="34"/>
        </w:rPr>
        <w:t> </w:t>
      </w:r>
      <w:r>
        <w:rPr>
          <w:color w:val="231F20"/>
        </w:rPr>
        <w:t>existe</w:t>
      </w:r>
      <w:r>
        <w:rPr>
          <w:color w:val="231F20"/>
          <w:spacing w:val="35"/>
        </w:rPr>
        <w:t> </w:t>
      </w:r>
      <w:r>
        <w:rPr>
          <w:color w:val="231F20"/>
        </w:rPr>
        <w:t>depuis</w:t>
      </w:r>
      <w:r>
        <w:rPr>
          <w:color w:val="231F20"/>
          <w:spacing w:val="34"/>
        </w:rPr>
        <w:t> </w:t>
      </w:r>
      <w:r>
        <w:rPr>
          <w:color w:val="231F20"/>
        </w:rPr>
        <w:t>263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ans.</w:t>
      </w:r>
      <w:r>
        <w:rPr>
          <w:color w:val="231F20"/>
          <w:spacing w:val="24"/>
        </w:rPr>
        <w:t> </w:t>
      </w:r>
      <w:r>
        <w:rPr>
          <w:color w:val="231F20"/>
        </w:rPr>
        <w:t>Jouant</w:t>
      </w:r>
      <w:r>
        <w:rPr>
          <w:color w:val="231F20"/>
          <w:spacing w:val="35"/>
        </w:rPr>
        <w:t> </w:t>
      </w:r>
      <w:r>
        <w:rPr>
          <w:color w:val="231F20"/>
        </w:rPr>
        <w:t>sur</w:t>
      </w:r>
      <w:r>
        <w:rPr>
          <w:color w:val="231F20"/>
          <w:spacing w:val="23"/>
        </w:rPr>
        <w:t> </w:t>
      </w:r>
      <w:r>
        <w:rPr>
          <w:color w:val="231F20"/>
        </w:rPr>
        <w:t>le</w:t>
      </w:r>
      <w:r>
        <w:rPr>
          <w:color w:val="231F20"/>
          <w:spacing w:val="30"/>
        </w:rPr>
        <w:t> </w:t>
      </w:r>
      <w:r>
        <w:rPr>
          <w:color w:val="231F20"/>
        </w:rPr>
        <w:t>nom,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l’architecte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Bernard</w:t>
      </w:r>
      <w:r>
        <w:rPr>
          <w:color w:val="231F20"/>
          <w:spacing w:val="16"/>
        </w:rPr>
        <w:t> </w:t>
      </w:r>
      <w:r>
        <w:rPr>
          <w:color w:val="231F20"/>
          <w:spacing w:val="-3"/>
        </w:rPr>
        <w:t>Tschumi</w:t>
      </w:r>
      <w:r>
        <w:rPr>
          <w:color w:val="231F20"/>
          <w:spacing w:val="30"/>
        </w:rPr>
        <w:t> </w:t>
      </w:r>
      <w:r>
        <w:rPr>
          <w:color w:val="231F20"/>
        </w:rPr>
        <w:t>en</w:t>
      </w:r>
      <w:r>
        <w:rPr>
          <w:color w:val="231F20"/>
          <w:spacing w:val="31"/>
        </w:rPr>
        <w:t> </w:t>
      </w:r>
      <w:r>
        <w:rPr>
          <w:color w:val="231F20"/>
        </w:rPr>
        <w:t>a</w:t>
      </w:r>
      <w:r>
        <w:rPr>
          <w:color w:val="231F20"/>
          <w:spacing w:val="28"/>
        </w:rPr>
        <w:t> </w:t>
      </w:r>
      <w:r>
        <w:rPr>
          <w:color w:val="231F20"/>
        </w:rPr>
        <w:t>conçu</w:t>
      </w:r>
      <w:r>
        <w:rPr>
          <w:color w:val="231F20"/>
          <w:spacing w:val="29"/>
        </w:rPr>
        <w:t> </w:t>
      </w:r>
      <w:r>
        <w:rPr>
          <w:color w:val="231F20"/>
        </w:rPr>
        <w:t>le</w:t>
      </w:r>
      <w:r>
        <w:rPr>
          <w:color w:val="231F20"/>
          <w:spacing w:val="30"/>
        </w:rPr>
        <w:t> </w:t>
      </w:r>
      <w:r>
        <w:rPr>
          <w:color w:val="231F20"/>
        </w:rPr>
        <w:t>siège</w:t>
      </w:r>
      <w:r>
        <w:rPr>
          <w:color w:val="231F20"/>
          <w:spacing w:val="29"/>
        </w:rPr>
        <w:t> </w:t>
      </w:r>
      <w:r>
        <w:rPr>
          <w:color w:val="231F20"/>
        </w:rPr>
        <w:t>de</w:t>
      </w:r>
      <w:r>
        <w:rPr>
          <w:color w:val="231F20"/>
          <w:spacing w:val="30"/>
        </w:rPr>
        <w:t> </w:t>
      </w:r>
      <w:r>
        <w:rPr>
          <w:color w:val="231F20"/>
        </w:rPr>
        <w:t>Plan-les-Ouates/GE</w:t>
      </w:r>
      <w:r>
        <w:rPr>
          <w:color w:val="231F20"/>
          <w:spacing w:val="30"/>
        </w:rPr>
        <w:t> </w:t>
      </w:r>
      <w:r>
        <w:rPr>
          <w:color w:val="231F20"/>
        </w:rPr>
        <w:t>en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forme</w:t>
      </w:r>
      <w:r>
        <w:rPr>
          <w:color w:val="231F20"/>
          <w:spacing w:val="3"/>
        </w:rPr>
        <w:t> </w:t>
      </w:r>
      <w:r>
        <w:rPr>
          <w:color w:val="231F20"/>
        </w:rPr>
        <w:t>de</w:t>
      </w:r>
      <w:r>
        <w:rPr>
          <w:color w:val="231F20"/>
          <w:spacing w:val="3"/>
        </w:rPr>
        <w:t> </w:t>
      </w:r>
      <w:r>
        <w:rPr>
          <w:color w:val="231F20"/>
        </w:rPr>
        <w:t>«V».</w:t>
      </w:r>
      <w:r>
        <w:rPr>
          <w:color w:val="231F20"/>
          <w:spacing w:val="-8"/>
        </w:rPr>
        <w:t> </w:t>
      </w:r>
      <w:r>
        <w:rPr>
          <w:color w:val="231F20"/>
        </w:rPr>
        <w:t>Celle-ci</w:t>
      </w:r>
      <w:r>
        <w:rPr>
          <w:color w:val="231F20"/>
          <w:spacing w:val="3"/>
        </w:rPr>
        <w:t> </w:t>
      </w:r>
      <w:r>
        <w:rPr>
          <w:color w:val="231F20"/>
        </w:rPr>
        <w:t>a</w:t>
      </w:r>
      <w:r>
        <w:rPr>
          <w:color w:val="231F20"/>
          <w:spacing w:val="3"/>
        </w:rPr>
        <w:t> </w:t>
      </w:r>
      <w:r>
        <w:rPr>
          <w:color w:val="231F20"/>
        </w:rPr>
        <w:t>exigé</w:t>
      </w:r>
      <w:r>
        <w:rPr>
          <w:color w:val="231F20"/>
          <w:spacing w:val="3"/>
        </w:rPr>
        <w:t> </w:t>
      </w:r>
      <w:r>
        <w:rPr>
          <w:color w:val="231F20"/>
        </w:rPr>
        <w:t>une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mise</w:t>
      </w:r>
      <w:r>
        <w:rPr>
          <w:color w:val="231F20"/>
          <w:spacing w:val="3"/>
        </w:rPr>
        <w:t> </w:t>
      </w:r>
      <w:r>
        <w:rPr>
          <w:color w:val="231F20"/>
        </w:rPr>
        <w:t>en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complexe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l’installation</w:t>
      </w:r>
      <w:r>
        <w:rPr>
          <w:color w:val="231F20"/>
          <w:spacing w:val="-15"/>
        </w:rPr>
        <w:t> </w:t>
      </w:r>
      <w:r>
        <w:rPr>
          <w:color w:val="231F20"/>
        </w:rPr>
        <w:t>PV</w:t>
      </w:r>
      <w:r>
        <w:rPr>
          <w:color w:val="231F20"/>
          <w:spacing w:val="-15"/>
        </w:rPr>
        <w:t> </w:t>
      </w:r>
      <w:r>
        <w:rPr>
          <w:color w:val="231F20"/>
        </w:rPr>
        <w:t>sur</w:t>
      </w:r>
      <w:r>
        <w:rPr>
          <w:color w:val="231F20"/>
          <w:spacing w:val="-15"/>
        </w:rPr>
        <w:t> </w:t>
      </w:r>
      <w:r>
        <w:rPr>
          <w:color w:val="231F20"/>
        </w:rPr>
        <w:t>le</w:t>
      </w:r>
      <w:r>
        <w:rPr>
          <w:color w:val="231F20"/>
          <w:spacing w:val="-15"/>
        </w:rPr>
        <w:t> </w:t>
      </w:r>
      <w:r>
        <w:rPr>
          <w:color w:val="231F20"/>
        </w:rPr>
        <w:t>toit</w:t>
      </w:r>
      <w:r>
        <w:rPr/>
      </w:r>
    </w:p>
    <w:p>
      <w:pPr>
        <w:pStyle w:val="BodyText"/>
        <w:spacing w:line="230" w:lineRule="exact" w:before="52"/>
        <w:ind w:right="0"/>
        <w:jc w:val="left"/>
      </w:pPr>
      <w:r>
        <w:rPr/>
        <w:br w:type="column"/>
      </w:r>
      <w:r>
        <w:rPr>
          <w:color w:val="231F20"/>
          <w:spacing w:val="-1"/>
        </w:rPr>
        <w:t>sont</w:t>
      </w:r>
      <w:r>
        <w:rPr>
          <w:color w:val="231F20"/>
          <w:spacing w:val="-14"/>
        </w:rPr>
        <w:t> </w:t>
      </w:r>
      <w:r>
        <w:rPr>
          <w:color w:val="231F20"/>
        </w:rPr>
        <w:t>issus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d’un</w:t>
      </w:r>
      <w:r>
        <w:rPr>
          <w:color w:val="231F20"/>
          <w:spacing w:val="-14"/>
        </w:rPr>
        <w:t> </w:t>
      </w:r>
      <w:r>
        <w:rPr>
          <w:color w:val="231F20"/>
        </w:rPr>
        <w:t>système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chauffage</w:t>
      </w:r>
      <w:r>
        <w:rPr>
          <w:color w:val="231F20"/>
          <w:spacing w:val="-14"/>
        </w:rPr>
        <w:t> </w:t>
      </w:r>
      <w:r>
        <w:rPr>
          <w:color w:val="231F20"/>
        </w:rPr>
        <w:t>urbain</w:t>
      </w:r>
      <w:r>
        <w:rPr>
          <w:color w:val="231F20"/>
          <w:spacing w:val="27"/>
        </w:rPr>
        <w:t> </w:t>
      </w:r>
      <w:r>
        <w:rPr>
          <w:color w:val="231F20"/>
        </w:rPr>
        <w:t>et </w:t>
      </w:r>
      <w:r>
        <w:rPr>
          <w:color w:val="231F20"/>
          <w:spacing w:val="-2"/>
        </w:rPr>
        <w:t>près</w:t>
      </w:r>
      <w:r>
        <w:rPr>
          <w:color w:val="231F20"/>
        </w:rPr>
        <w:t> de 661’100 </w:t>
      </w:r>
      <w:r>
        <w:rPr>
          <w:color w:val="231F20"/>
          <w:spacing w:val="-2"/>
        </w:rPr>
        <w:t>kWh/a</w:t>
      </w:r>
      <w:r>
        <w:rPr>
          <w:color w:val="231F20"/>
        </w:rPr>
        <w:t> du gaz </w:t>
      </w:r>
      <w:r>
        <w:rPr>
          <w:color w:val="231F20"/>
          <w:spacing w:val="-1"/>
        </w:rPr>
        <w:t>naturel.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</w:rPr>
        <w:t>Une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isolation</w:t>
      </w:r>
      <w:r>
        <w:rPr>
          <w:color w:val="231F20"/>
          <w:spacing w:val="3"/>
        </w:rPr>
        <w:t> </w:t>
      </w:r>
      <w:r>
        <w:rPr>
          <w:color w:val="231F20"/>
        </w:rPr>
        <w:t>de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meilleure</w:t>
      </w:r>
      <w:r>
        <w:rPr>
          <w:color w:val="231F20"/>
          <w:spacing w:val="3"/>
        </w:rPr>
        <w:t> </w:t>
      </w:r>
      <w:r>
        <w:rPr>
          <w:color w:val="231F20"/>
        </w:rPr>
        <w:t>qualité</w:t>
      </w:r>
      <w:r>
        <w:rPr>
          <w:color w:val="231F20"/>
          <w:spacing w:val="3"/>
        </w:rPr>
        <w:t> </w:t>
      </w:r>
      <w:r>
        <w:rPr>
          <w:color w:val="231F20"/>
        </w:rPr>
        <w:t>et</w:t>
      </w:r>
      <w:r>
        <w:rPr>
          <w:color w:val="231F20"/>
          <w:spacing w:val="3"/>
        </w:rPr>
        <w:t> </w:t>
      </w:r>
      <w:r>
        <w:rPr>
          <w:color w:val="231F20"/>
        </w:rPr>
        <w:t>des</w:t>
      </w:r>
      <w:r>
        <w:rPr>
          <w:color w:val="231F20"/>
          <w:spacing w:val="30"/>
        </w:rPr>
        <w:t> </w:t>
      </w:r>
      <w:r>
        <w:rPr>
          <w:color w:val="231F20"/>
        </w:rPr>
        <w:t>valeurs</w:t>
      </w:r>
      <w:r>
        <w:rPr>
          <w:color w:val="231F20"/>
          <w:spacing w:val="-1"/>
        </w:rPr>
        <w:t> </w:t>
      </w:r>
      <w:r>
        <w:rPr>
          <w:color w:val="231F20"/>
        </w:rPr>
        <w:t>U</w:t>
      </w:r>
      <w:r>
        <w:rPr>
          <w:color w:val="231F20"/>
          <w:spacing w:val="-1"/>
        </w:rPr>
        <w:t> réduites </w:t>
      </w:r>
      <w:r>
        <w:rPr>
          <w:color w:val="231F20"/>
          <w:spacing w:val="-2"/>
        </w:rPr>
        <w:t>s’approchant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0.12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W/</w:t>
      </w:r>
      <w:r>
        <w:rPr>
          <w:color w:val="231F20"/>
          <w:spacing w:val="25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</w:rPr>
        <w:t>K</w:t>
      </w:r>
      <w:r>
        <w:rPr>
          <w:color w:val="231F20"/>
          <w:spacing w:val="-6"/>
        </w:rPr>
        <w:t> </w:t>
      </w:r>
      <w:r>
        <w:rPr>
          <w:color w:val="231F20"/>
        </w:rPr>
        <w:t>limitent</w:t>
      </w:r>
      <w:r>
        <w:rPr>
          <w:color w:val="231F20"/>
          <w:spacing w:val="-6"/>
        </w:rPr>
        <w:t> </w:t>
      </w:r>
      <w:r>
        <w:rPr>
          <w:color w:val="231F20"/>
        </w:rPr>
        <w:t>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besoins,</w:t>
      </w:r>
      <w:r>
        <w:rPr>
          <w:color w:val="231F20"/>
          <w:spacing w:val="-17"/>
        </w:rPr>
        <w:t> </w:t>
      </w:r>
      <w:r>
        <w:rPr>
          <w:color w:val="231F20"/>
        </w:rPr>
        <w:t>tout</w:t>
      </w:r>
      <w:r>
        <w:rPr>
          <w:color w:val="231F20"/>
          <w:spacing w:val="-6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constituant</w:t>
      </w:r>
      <w:r>
        <w:rPr>
          <w:color w:val="231F20"/>
          <w:spacing w:val="29"/>
        </w:rPr>
        <w:t> </w:t>
      </w:r>
      <w:r>
        <w:rPr>
          <w:color w:val="231F20"/>
        </w:rPr>
        <w:t>un objectif pour </w:t>
      </w:r>
      <w:r>
        <w:rPr>
          <w:color w:val="231F20"/>
          <w:spacing w:val="-1"/>
        </w:rPr>
        <w:t>d’éventuelles</w:t>
      </w:r>
      <w:r>
        <w:rPr>
          <w:color w:val="231F20"/>
        </w:rPr>
        <w:t> extensions.</w:t>
      </w:r>
      <w:r>
        <w:rPr/>
      </w:r>
    </w:p>
    <w:p>
      <w:pPr>
        <w:spacing w:before="87"/>
        <w:ind w:left="117" w:right="0" w:firstLine="0"/>
        <w:jc w:val="both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 w:hAnsi="Theinhardt Black"/>
          <w:b/>
          <w:color w:val="231F20"/>
          <w:spacing w:val="1"/>
          <w:sz w:val="14"/>
        </w:rPr>
        <w:t>Données</w:t>
      </w:r>
      <w:r>
        <w:rPr>
          <w:rFonts w:ascii="Theinhardt Black" w:hAnsi="Theinhardt Black"/>
          <w:b/>
          <w:color w:val="231F20"/>
          <w:sz w:val="14"/>
        </w:rPr>
        <w:t> techniques</w:t>
      </w:r>
      <w:r>
        <w:rPr>
          <w:rFonts w:ascii="Theinhardt Black" w:hAns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tabs>
          <w:tab w:pos="1589" w:val="left" w:leader="none"/>
          <w:tab w:pos="1918" w:val="left" w:leader="none"/>
        </w:tabs>
        <w:spacing w:line="160" w:lineRule="exact" w:before="28"/>
        <w:ind w:left="117" w:right="343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Besoins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énergie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avant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après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la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rénovation</w:t>
      </w:r>
      <w:r>
        <w:rPr>
          <w:rFonts w:ascii="Theinhardt Bold" w:hAnsi="Theinhardt Bold" w:cs="Theinhardt Bold" w:eastAsia="Theinhardt Bold"/>
          <w:b/>
          <w:bCs/>
          <w:color w:val="231F20"/>
          <w:spacing w:val="4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SRE: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8705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</w:r>
      <w:r>
        <w:rPr>
          <w:rFonts w:ascii="Theinhardt Regular" w:hAnsi="Theinhardt Regular" w:cs="Theinhardt Regular" w:eastAsia="Theinhardt Regular"/>
          <w:color w:val="231F20"/>
          <w:spacing w:val="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%</w:t>
      </w:r>
      <w:r>
        <w:rPr>
          <w:rFonts w:ascii="Theinhardt Regular" w:hAnsi="Theinhardt Regular" w:cs="Theinhardt Regular" w:eastAsia="Theinhardt Regular"/>
          <w:color w:val="231F20"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kWh/a</w:t>
      </w:r>
      <w:r>
        <w:rPr>
          <w:rFonts w:ascii="Theinhardt Regular" w:hAnsi="Theinhardt Regular" w:cs="Theinhardt Regular" w:eastAsia="Theinhardt Regular"/>
          <w:color w:val="231F20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Chauffage:</w:t>
        <w:tab/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191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40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1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1’663’115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908" w:val="left" w:leader="none"/>
        </w:tabs>
        <w:spacing w:line="165" w:lineRule="exact" w:before="0"/>
        <w:ind w:left="117" w:right="0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Electricité: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286   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60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3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2’493’980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908" w:val="left" w:leader="none"/>
        </w:tabs>
        <w:spacing w:line="172" w:lineRule="exact" w:before="0"/>
        <w:ind w:left="11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Total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besoins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énerg.: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477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4’157’095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1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Alimentation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énergétique</w:t>
      </w:r>
      <w:r>
        <w:rPr>
          <w:rFonts w:ascii="Theinhardt Bold" w:hAnsi="Theinhardt Bold"/>
          <w:sz w:val="14"/>
        </w:rPr>
      </w:r>
    </w:p>
    <w:p>
      <w:pPr>
        <w:spacing w:after="0"/>
        <w:jc w:val="both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20" w:bottom="280" w:left="620" w:right="900"/>
          <w:cols w:num="3" w:equalWidth="0">
            <w:col w:w="3463" w:space="109"/>
            <w:col w:w="3463" w:space="109"/>
            <w:col w:w="3586"/>
          </w:cols>
        </w:sectPr>
      </w:pPr>
    </w:p>
    <w:p>
      <w:pPr>
        <w:pStyle w:val="BodyText"/>
        <w:spacing w:line="126" w:lineRule="exact" w:before="9"/>
        <w:ind w:right="0"/>
        <w:jc w:val="left"/>
      </w:pPr>
      <w:r>
        <w:rPr>
          <w:color w:val="231F20"/>
        </w:rPr>
        <w:t>plat</w:t>
      </w:r>
      <w:r>
        <w:rPr>
          <w:color w:val="231F20"/>
          <w:spacing w:val="2"/>
        </w:rPr>
        <w:t> </w:t>
      </w:r>
      <w:r>
        <w:rPr>
          <w:color w:val="231F20"/>
        </w:rPr>
        <w:t>de</w:t>
      </w:r>
      <w:r>
        <w:rPr>
          <w:color w:val="231F20"/>
          <w:spacing w:val="2"/>
        </w:rPr>
        <w:t> </w:t>
      </w:r>
      <w:r>
        <w:rPr>
          <w:color w:val="231F20"/>
        </w:rPr>
        <w:t>2’000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m</w:t>
      </w:r>
      <w:r>
        <w:rPr>
          <w:color w:val="231F20"/>
          <w:spacing w:val="-1"/>
          <w:position w:val="6"/>
          <w:sz w:val="10"/>
          <w:szCs w:val="10"/>
        </w:rPr>
        <w:t>2</w:t>
      </w:r>
      <w:r>
        <w:rPr>
          <w:color w:val="231F20"/>
          <w:spacing w:val="-1"/>
        </w:rPr>
        <w:t>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par</w:t>
      </w:r>
      <w:r>
        <w:rPr>
          <w:color w:val="231F20"/>
          <w:spacing w:val="2"/>
        </w:rPr>
        <w:t> </w:t>
      </w:r>
      <w:r>
        <w:rPr>
          <w:color w:val="231F20"/>
        </w:rPr>
        <w:t>la</w:t>
      </w:r>
      <w:r>
        <w:rPr>
          <w:color w:val="231F20"/>
          <w:spacing w:val="2"/>
        </w:rPr>
        <w:t> </w:t>
      </w:r>
      <w:r>
        <w:rPr>
          <w:color w:val="231F20"/>
        </w:rPr>
        <w:t>conception</w:t>
      </w:r>
      <w:r>
        <w:rPr>
          <w:color w:val="231F20"/>
          <w:spacing w:val="3"/>
        </w:rPr>
        <w:t> </w:t>
      </w:r>
      <w:r>
        <w:rPr>
          <w:color w:val="231F20"/>
        </w:rPr>
        <w:t>de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mo-</w:t>
      </w:r>
      <w:r>
        <w:rPr/>
      </w:r>
    </w:p>
    <w:p>
      <w:pPr>
        <w:pStyle w:val="BodyText"/>
        <w:spacing w:line="126" w:lineRule="exact" w:before="9"/>
        <w:ind w:right="0"/>
        <w:jc w:val="left"/>
      </w:pPr>
      <w:r>
        <w:rPr/>
        <w:br w:type="column"/>
      </w:r>
      <w:r>
        <w:rPr>
          <w:color w:val="231F20"/>
          <w:spacing w:val="-1"/>
        </w:rPr>
        <w:t>Avec</w:t>
      </w:r>
      <w:r>
        <w:rPr>
          <w:color w:val="231F20"/>
        </w:rPr>
        <w:t>  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son</w:t>
      </w:r>
      <w:r>
        <w:rPr>
          <w:color w:val="231F20"/>
        </w:rPr>
        <w:t>  </w:t>
      </w:r>
      <w:r>
        <w:rPr>
          <w:color w:val="231F20"/>
          <w:spacing w:val="6"/>
        </w:rPr>
        <w:t> </w:t>
      </w:r>
      <w:r>
        <w:rPr>
          <w:color w:val="231F20"/>
        </w:rPr>
        <w:t>esthétique  </w:t>
      </w:r>
      <w:r>
        <w:rPr>
          <w:color w:val="231F20"/>
          <w:spacing w:val="6"/>
        </w:rPr>
        <w:t> </w:t>
      </w:r>
      <w:r>
        <w:rPr>
          <w:color w:val="231F20"/>
        </w:rPr>
        <w:t>attractive  </w:t>
      </w:r>
      <w:r>
        <w:rPr>
          <w:color w:val="231F20"/>
          <w:spacing w:val="6"/>
        </w:rPr>
        <w:t> </w:t>
      </w:r>
      <w:r>
        <w:rPr>
          <w:color w:val="231F20"/>
        </w:rPr>
        <w:t>ainsi</w:t>
      </w:r>
      <w:r>
        <w:rPr/>
      </w:r>
    </w:p>
    <w:p>
      <w:pPr>
        <w:spacing w:line="13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color w:val="231F20"/>
          <w:spacing w:val="1"/>
          <w:sz w:val="14"/>
        </w:rPr>
        <w:t>Autoprod.:</w:t>
      </w:r>
      <w:r>
        <w:rPr>
          <w:rFonts w:ascii="Theinhardt Regular"/>
          <w:color w:val="231F20"/>
          <w:sz w:val="14"/>
        </w:rPr>
        <w:t>    </w:t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703" w:val="left" w:leader="none"/>
        </w:tabs>
        <w:spacing w:line="13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kWp</w:t>
      </w:r>
      <w:r>
        <w:rPr>
          <w:rFonts w:ascii="Theinhardt Regular"/>
          <w:color w:val="231F20"/>
          <w:spacing w:val="35"/>
          <w:sz w:val="14"/>
        </w:rPr>
        <w:t> </w:t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    </w:t>
      </w:r>
      <w:r>
        <w:rPr>
          <w:rFonts w:ascii="Theinhardt Regular"/>
          <w:color w:val="231F20"/>
          <w:spacing w:val="2"/>
          <w:sz w:val="14"/>
        </w:rPr>
        <w:t> </w:t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20" w:bottom="280" w:left="620" w:right="900"/>
          <w:cols w:num="4" w:equalWidth="0">
            <w:col w:w="3462" w:space="336"/>
            <w:col w:w="3236" w:space="109"/>
            <w:col w:w="1078" w:space="53"/>
            <w:col w:w="2456"/>
          </w:cols>
        </w:sectPr>
      </w:pPr>
    </w:p>
    <w:p>
      <w:pPr>
        <w:pStyle w:val="BodyText"/>
        <w:spacing w:line="230" w:lineRule="exact" w:before="94"/>
        <w:ind w:right="0"/>
        <w:jc w:val="both"/>
      </w:pPr>
      <w:r>
        <w:rPr>
          <w:color w:val="231F20"/>
        </w:rPr>
        <w:t>dules</w:t>
      </w:r>
      <w:r>
        <w:rPr>
          <w:color w:val="231F20"/>
          <w:spacing w:val="9"/>
        </w:rPr>
        <w:t> </w:t>
      </w:r>
      <w:r>
        <w:rPr>
          <w:color w:val="231F20"/>
        </w:rPr>
        <w:t>PV</w:t>
      </w:r>
      <w:r>
        <w:rPr>
          <w:color w:val="231F20"/>
          <w:spacing w:val="9"/>
        </w:rPr>
        <w:t> </w:t>
      </w:r>
      <w:r>
        <w:rPr>
          <w:color w:val="231F20"/>
        </w:rPr>
        <w:t>de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différentes</w:t>
      </w:r>
      <w:r>
        <w:rPr>
          <w:color w:val="231F20"/>
          <w:spacing w:val="9"/>
        </w:rPr>
        <w:t> </w:t>
      </w:r>
      <w:r>
        <w:rPr>
          <w:color w:val="231F20"/>
        </w:rPr>
        <w:t>tailles.</w:t>
      </w:r>
      <w:r>
        <w:rPr>
          <w:color w:val="231F20"/>
          <w:spacing w:val="-2"/>
        </w:rPr>
        <w:t> </w:t>
      </w:r>
      <w:r>
        <w:rPr>
          <w:color w:val="231F20"/>
          <w:spacing w:val="-3"/>
        </w:rPr>
        <w:t>Le</w:t>
      </w:r>
      <w:r>
        <w:rPr>
          <w:color w:val="231F20"/>
          <w:spacing w:val="9"/>
        </w:rPr>
        <w:t> </w:t>
      </w:r>
      <w:r>
        <w:rPr>
          <w:color w:val="231F20"/>
        </w:rPr>
        <w:t>bâtiment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présente</w:t>
      </w:r>
      <w:r>
        <w:rPr>
          <w:color w:val="231F20"/>
          <w:spacing w:val="16"/>
        </w:rPr>
        <w:t> </w:t>
      </w:r>
      <w:r>
        <w:rPr>
          <w:color w:val="231F20"/>
        </w:rPr>
        <w:t>une</w:t>
      </w:r>
      <w:r>
        <w:rPr>
          <w:color w:val="231F20"/>
          <w:spacing w:val="16"/>
        </w:rPr>
        <w:t> </w:t>
      </w:r>
      <w:r>
        <w:rPr>
          <w:color w:val="231F20"/>
        </w:rPr>
        <w:t>esthétique</w:t>
      </w:r>
      <w:r>
        <w:rPr>
          <w:color w:val="231F20"/>
          <w:spacing w:val="16"/>
        </w:rPr>
        <w:t> </w:t>
      </w:r>
      <w:r>
        <w:rPr>
          <w:color w:val="231F20"/>
        </w:rPr>
        <w:t>attractive,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exemp-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laire</w:t>
      </w:r>
      <w:r>
        <w:rPr>
          <w:color w:val="231F20"/>
          <w:spacing w:val="14"/>
        </w:rPr>
        <w:t> </w:t>
      </w:r>
      <w:r>
        <w:rPr>
          <w:color w:val="231F20"/>
        </w:rPr>
        <w:t>pour</w:t>
      </w:r>
      <w:r>
        <w:rPr>
          <w:color w:val="231F20"/>
          <w:spacing w:val="14"/>
        </w:rPr>
        <w:t> </w:t>
      </w:r>
      <w:r>
        <w:rPr>
          <w:color w:val="231F20"/>
        </w:rPr>
        <w:t>de</w:t>
      </w:r>
      <w:r>
        <w:rPr>
          <w:color w:val="231F20"/>
          <w:spacing w:val="14"/>
        </w:rPr>
        <w:t> </w:t>
      </w:r>
      <w:r>
        <w:rPr>
          <w:color w:val="231F20"/>
        </w:rPr>
        <w:t>telles</w:t>
      </w:r>
      <w:r>
        <w:rPr>
          <w:color w:val="231F20"/>
          <w:spacing w:val="14"/>
        </w:rPr>
        <w:t> </w:t>
      </w:r>
      <w:r>
        <w:rPr>
          <w:color w:val="231F20"/>
        </w:rPr>
        <w:t>constructions,</w:t>
      </w:r>
      <w:r>
        <w:rPr>
          <w:color w:val="231F20"/>
          <w:spacing w:val="4"/>
        </w:rPr>
        <w:t> </w:t>
      </w:r>
      <w:r>
        <w:rPr>
          <w:color w:val="231F20"/>
        </w:rPr>
        <w:t>même</w:t>
      </w:r>
      <w:r>
        <w:rPr>
          <w:color w:val="231F20"/>
          <w:spacing w:val="14"/>
        </w:rPr>
        <w:t> </w:t>
      </w:r>
      <w:r>
        <w:rPr>
          <w:color w:val="231F20"/>
        </w:rPr>
        <w:t>si</w:t>
      </w:r>
      <w:r>
        <w:rPr>
          <w:color w:val="231F20"/>
          <w:spacing w:val="28"/>
        </w:rPr>
        <w:t> </w:t>
      </w:r>
      <w:r>
        <w:rPr>
          <w:color w:val="231F20"/>
        </w:rPr>
        <w:t>les</w:t>
      </w:r>
      <w:r>
        <w:rPr>
          <w:color w:val="231F20"/>
          <w:spacing w:val="-4"/>
        </w:rPr>
        <w:t> </w:t>
      </w:r>
      <w:r>
        <w:rPr>
          <w:color w:val="231F20"/>
        </w:rPr>
        <w:t>modules</w:t>
      </w:r>
      <w:r>
        <w:rPr>
          <w:color w:val="231F20"/>
          <w:spacing w:val="-4"/>
        </w:rPr>
        <w:t> </w:t>
      </w:r>
      <w:r>
        <w:rPr>
          <w:color w:val="231F20"/>
        </w:rPr>
        <w:t>PV</w:t>
      </w:r>
      <w:r>
        <w:rPr>
          <w:color w:val="231F20"/>
          <w:spacing w:val="-4"/>
        </w:rPr>
        <w:t> </w:t>
      </w:r>
      <w:r>
        <w:rPr>
          <w:color w:val="231F20"/>
        </w:rPr>
        <w:t>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sont</w:t>
      </w:r>
      <w:r>
        <w:rPr>
          <w:color w:val="231F20"/>
          <w:spacing w:val="-4"/>
        </w:rPr>
        <w:t> </w:t>
      </w:r>
      <w:r>
        <w:rPr>
          <w:color w:val="231F20"/>
        </w:rPr>
        <w:t>pas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intégrés</w:t>
      </w:r>
      <w:r>
        <w:rPr>
          <w:color w:val="231F20"/>
          <w:spacing w:val="-4"/>
        </w:rPr>
        <w:t> </w:t>
      </w:r>
      <w:r>
        <w:rPr>
          <w:color w:val="231F20"/>
        </w:rPr>
        <w:t>à</w:t>
      </w:r>
      <w:r>
        <w:rPr>
          <w:color w:val="231F20"/>
          <w:spacing w:val="-4"/>
        </w:rPr>
        <w:t> </w:t>
      </w:r>
      <w:r>
        <w:rPr>
          <w:color w:val="231F20"/>
        </w:rPr>
        <w:t>toute</w:t>
      </w:r>
      <w:r>
        <w:rPr>
          <w:color w:val="231F20"/>
          <w:spacing w:val="25"/>
        </w:rPr>
        <w:t> </w:t>
      </w:r>
      <w:r>
        <w:rPr>
          <w:color w:val="231F20"/>
        </w:rPr>
        <w:t>la surface de la </w:t>
      </w:r>
      <w:r>
        <w:rPr>
          <w:color w:val="231F20"/>
          <w:spacing w:val="-1"/>
        </w:rPr>
        <w:t>toiture.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/>
        <w:pict>
          <v:shape style="position:absolute;margin-left:37.355pt;margin-top:112.974709pt;width:345.323pt;height:222.511pt;mso-position-horizontal-relative:page;mso-position-vertical-relative:paragraph;z-index:1192" type="#_x0000_t75" stroked="false">
            <v:imagedata r:id="rId5" o:title=""/>
          </v:shape>
        </w:pict>
      </w:r>
      <w:r>
        <w:rPr>
          <w:color w:val="231F20"/>
          <w:spacing w:val="-1"/>
        </w:rPr>
        <w:t>S’étendant</w:t>
      </w:r>
      <w:r>
        <w:rPr>
          <w:color w:val="231F20"/>
          <w:spacing w:val="6"/>
        </w:rPr>
        <w:t> </w:t>
      </w:r>
      <w:r>
        <w:rPr>
          <w:color w:val="231F20"/>
        </w:rPr>
        <w:t>sur</w:t>
      </w:r>
      <w:r>
        <w:rPr>
          <w:color w:val="231F20"/>
          <w:spacing w:val="7"/>
        </w:rPr>
        <w:t> </w:t>
      </w:r>
      <w:r>
        <w:rPr>
          <w:color w:val="231F20"/>
        </w:rPr>
        <w:t>1’614</w:t>
      </w:r>
      <w:r>
        <w:rPr>
          <w:color w:val="231F20"/>
          <w:spacing w:val="6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</w:rPr>
        <w:t>,</w:t>
      </w:r>
      <w:r>
        <w:rPr>
          <w:color w:val="231F20"/>
          <w:spacing w:val="45"/>
        </w:rPr>
        <w:t> </w:t>
      </w:r>
      <w:r>
        <w:rPr>
          <w:color w:val="231F20"/>
        </w:rPr>
        <w:t>l’installation</w:t>
      </w:r>
      <w:r>
        <w:rPr>
          <w:color w:val="231F20"/>
          <w:spacing w:val="22"/>
        </w:rPr>
        <w:t> </w:t>
      </w:r>
      <w:r>
        <w:rPr>
          <w:color w:val="231F20"/>
        </w:rPr>
        <w:t>PV</w:t>
      </w:r>
      <w:r>
        <w:rPr>
          <w:color w:val="231F20"/>
          <w:spacing w:val="35"/>
        </w:rPr>
        <w:t> </w:t>
      </w:r>
      <w:r>
        <w:rPr>
          <w:color w:val="231F20"/>
        </w:rPr>
        <w:t>de</w:t>
      </w:r>
      <w:r>
        <w:rPr>
          <w:color w:val="231F20"/>
          <w:spacing w:val="36"/>
        </w:rPr>
        <w:t> </w:t>
      </w:r>
      <w:r>
        <w:rPr>
          <w:color w:val="231F20"/>
        </w:rPr>
        <w:t>246</w:t>
      </w:r>
      <w:r>
        <w:rPr>
          <w:color w:val="231F20"/>
          <w:spacing w:val="35"/>
        </w:rPr>
        <w:t> </w:t>
      </w:r>
      <w:r>
        <w:rPr>
          <w:color w:val="231F20"/>
          <w:spacing w:val="-3"/>
        </w:rPr>
        <w:t>kWc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produit</w:t>
      </w:r>
      <w:r>
        <w:rPr>
          <w:color w:val="231F20"/>
          <w:spacing w:val="36"/>
        </w:rPr>
        <w:t> </w:t>
      </w:r>
      <w:r>
        <w:rPr>
          <w:color w:val="231F20"/>
          <w:spacing w:val="-2"/>
        </w:rPr>
        <w:t>environ</w:t>
      </w:r>
      <w:r>
        <w:rPr>
          <w:color w:val="231F20"/>
          <w:spacing w:val="35"/>
        </w:rPr>
        <w:t> </w:t>
      </w:r>
      <w:r>
        <w:rPr>
          <w:color w:val="231F20"/>
        </w:rPr>
        <w:t>254’600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kWh/a,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soit</w:t>
      </w:r>
      <w:r>
        <w:rPr>
          <w:color w:val="231F20"/>
          <w:spacing w:val="-4"/>
        </w:rPr>
        <w:t> </w:t>
      </w:r>
      <w:r>
        <w:rPr>
          <w:color w:val="231F20"/>
        </w:rPr>
        <w:t>6.1%</w:t>
      </w:r>
      <w:r>
        <w:rPr>
          <w:color w:val="231F20"/>
          <w:spacing w:val="-4"/>
        </w:rPr>
        <w:t> </w:t>
      </w:r>
      <w:r>
        <w:rPr>
          <w:color w:val="231F20"/>
        </w:rPr>
        <w:t>des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besoins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énergétiques</w:t>
      </w:r>
      <w:r>
        <w:rPr>
          <w:color w:val="231F20"/>
          <w:spacing w:val="36"/>
        </w:rPr>
        <w:t> </w:t>
      </w:r>
      <w:r>
        <w:rPr>
          <w:color w:val="231F20"/>
          <w:spacing w:val="-2"/>
        </w:rPr>
        <w:t>très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élevés</w:t>
      </w:r>
      <w:r>
        <w:rPr>
          <w:color w:val="231F20"/>
          <w:spacing w:val="-7"/>
        </w:rPr>
        <w:t> </w:t>
      </w:r>
      <w:r>
        <w:rPr>
          <w:color w:val="231F20"/>
        </w:rPr>
        <w:t>du</w:t>
      </w:r>
      <w:r>
        <w:rPr>
          <w:color w:val="231F20"/>
          <w:spacing w:val="-7"/>
        </w:rPr>
        <w:t> </w:t>
      </w:r>
      <w:r>
        <w:rPr>
          <w:color w:val="231F20"/>
        </w:rPr>
        <w:t>site,</w:t>
      </w:r>
      <w:r>
        <w:rPr>
          <w:color w:val="231F20"/>
          <w:spacing w:val="-18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compris</w:t>
      </w:r>
      <w:r>
        <w:rPr>
          <w:color w:val="231F20"/>
          <w:spacing w:val="-7"/>
        </w:rPr>
        <w:t> </w:t>
      </w:r>
      <w:r>
        <w:rPr>
          <w:color w:val="231F20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espaces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travail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sous</w:t>
      </w:r>
      <w:r>
        <w:rPr>
          <w:color w:val="231F20"/>
          <w:spacing w:val="28"/>
        </w:rPr>
        <w:t> </w:t>
      </w:r>
      <w:r>
        <w:rPr>
          <w:color w:val="231F20"/>
        </w:rPr>
        <w:t>vide.</w:t>
      </w:r>
      <w:r>
        <w:rPr>
          <w:color w:val="231F20"/>
          <w:spacing w:val="16"/>
        </w:rPr>
        <w:t> </w:t>
      </w:r>
      <w:r>
        <w:rPr>
          <w:color w:val="231F20"/>
        </w:rPr>
        <w:t>La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consommation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avoisi-</w:t>
      </w:r>
      <w:r>
        <w:rPr>
          <w:color w:val="231F20"/>
          <w:spacing w:val="23"/>
        </w:rPr>
        <w:t> </w:t>
      </w:r>
      <w:r>
        <w:rPr>
          <w:color w:val="231F20"/>
        </w:rPr>
        <w:t>ne</w:t>
      </w:r>
      <w:r>
        <w:rPr>
          <w:color w:val="231F20"/>
          <w:spacing w:val="15"/>
        </w:rPr>
        <w:t> </w:t>
      </w:r>
      <w:r>
        <w:rPr>
          <w:color w:val="231F20"/>
        </w:rPr>
        <w:t>les</w:t>
      </w:r>
      <w:r>
        <w:rPr>
          <w:color w:val="231F20"/>
          <w:spacing w:val="15"/>
        </w:rPr>
        <w:t> </w:t>
      </w:r>
      <w:r>
        <w:rPr>
          <w:color w:val="231F20"/>
        </w:rPr>
        <w:t>4’157’100</w:t>
      </w:r>
      <w:r>
        <w:rPr>
          <w:color w:val="231F20"/>
          <w:spacing w:val="15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couvrir</w:t>
      </w:r>
      <w:r>
        <w:rPr>
          <w:color w:val="231F20"/>
          <w:spacing w:val="15"/>
        </w:rPr>
        <w:t> </w:t>
      </w:r>
      <w:r>
        <w:rPr>
          <w:color w:val="231F20"/>
        </w:rPr>
        <w:t>cet-</w:t>
      </w:r>
      <w:r>
        <w:rPr>
          <w:color w:val="231F20"/>
          <w:spacing w:val="28"/>
        </w:rPr>
        <w:t> </w:t>
      </w:r>
      <w:r>
        <w:rPr>
          <w:color w:val="231F20"/>
        </w:rPr>
        <w:t>te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consommation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considérable,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Vacheron</w:t>
      </w:r>
      <w:r>
        <w:rPr>
          <w:color w:val="231F20"/>
          <w:spacing w:val="47"/>
        </w:rPr>
        <w:t> </w:t>
      </w:r>
      <w:r>
        <w:rPr>
          <w:color w:val="231F20"/>
        </w:rPr>
        <w:t>Constantin</w:t>
      </w:r>
      <w:r>
        <w:rPr>
          <w:color w:val="231F20"/>
          <w:spacing w:val="26"/>
        </w:rPr>
        <w:t> </w:t>
      </w:r>
      <w:r>
        <w:rPr>
          <w:color w:val="231F20"/>
        </w:rPr>
        <w:t>a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besoin</w:t>
      </w:r>
      <w:r>
        <w:rPr>
          <w:color w:val="231F20"/>
          <w:spacing w:val="26"/>
        </w:rPr>
        <w:t> </w:t>
      </w:r>
      <w:r>
        <w:rPr>
          <w:color w:val="231F20"/>
        </w:rPr>
        <w:t>de</w:t>
      </w:r>
      <w:r>
        <w:rPr>
          <w:color w:val="231F20"/>
          <w:spacing w:val="27"/>
        </w:rPr>
        <w:t> </w:t>
      </w:r>
      <w:r>
        <w:rPr>
          <w:color w:val="231F20"/>
        </w:rPr>
        <w:t>2’494’000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d’électricité,</w:t>
      </w:r>
      <w:r>
        <w:rPr>
          <w:color w:val="231F20"/>
        </w:rPr>
        <w:t> </w:t>
      </w:r>
      <w:r>
        <w:rPr>
          <w:color w:val="231F20"/>
          <w:spacing w:val="39"/>
        </w:rPr>
        <w:t> </w:t>
      </w:r>
      <w:r>
        <w:rPr>
          <w:color w:val="231F20"/>
        </w:rPr>
        <w:t>quelque  </w:t>
      </w:r>
      <w:r>
        <w:rPr>
          <w:color w:val="231F20"/>
          <w:spacing w:val="2"/>
        </w:rPr>
        <w:t> </w:t>
      </w:r>
      <w:r>
        <w:rPr>
          <w:color w:val="231F20"/>
        </w:rPr>
        <w:t>1’002’000  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kWh/a</w:t>
      </w:r>
      <w:r>
        <w:rPr/>
      </w:r>
    </w:p>
    <w:p>
      <w:pPr>
        <w:pStyle w:val="BodyText"/>
        <w:spacing w:line="230" w:lineRule="exact" w:before="94"/>
        <w:ind w:right="0"/>
        <w:jc w:val="both"/>
      </w:pPr>
      <w:r>
        <w:rPr/>
        <w:br w:type="column"/>
      </w:r>
      <w:r>
        <w:rPr>
          <w:color w:val="231F20"/>
          <w:spacing w:val="-1"/>
        </w:rPr>
        <w:t>qu’une</w:t>
      </w:r>
      <w:r>
        <w:rPr>
          <w:color w:val="231F20"/>
          <w:spacing w:val="9"/>
        </w:rPr>
        <w:t> </w:t>
      </w:r>
      <w:r>
        <w:rPr>
          <w:color w:val="231F20"/>
        </w:rPr>
        <w:t>utilisation</w:t>
      </w:r>
      <w:r>
        <w:rPr>
          <w:color w:val="231F20"/>
          <w:spacing w:val="9"/>
        </w:rPr>
        <w:t> </w:t>
      </w:r>
      <w:r>
        <w:rPr>
          <w:color w:val="231F20"/>
        </w:rPr>
        <w:t>à</w:t>
      </w:r>
      <w:r>
        <w:rPr>
          <w:color w:val="231F20"/>
          <w:spacing w:val="9"/>
        </w:rPr>
        <w:t> </w:t>
      </w:r>
      <w:r>
        <w:rPr>
          <w:color w:val="231F20"/>
        </w:rPr>
        <w:t>la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fois</w:t>
      </w:r>
      <w:r>
        <w:rPr>
          <w:color w:val="231F20"/>
          <w:spacing w:val="9"/>
        </w:rPr>
        <w:t> </w:t>
      </w:r>
      <w:r>
        <w:rPr>
          <w:color w:val="231F20"/>
        </w:rPr>
        <w:t>active</w:t>
      </w:r>
      <w:r>
        <w:rPr>
          <w:color w:val="231F20"/>
          <w:spacing w:val="9"/>
        </w:rPr>
        <w:t> </w:t>
      </w:r>
      <w:r>
        <w:rPr>
          <w:color w:val="231F20"/>
        </w:rPr>
        <w:t>et</w:t>
      </w:r>
      <w:r>
        <w:rPr>
          <w:color w:val="231F20"/>
          <w:spacing w:val="9"/>
        </w:rPr>
        <w:t> </w:t>
      </w:r>
      <w:r>
        <w:rPr>
          <w:color w:val="231F20"/>
        </w:rPr>
        <w:t>passive</w:t>
      </w:r>
      <w:r>
        <w:rPr>
          <w:color w:val="231F20"/>
          <w:spacing w:val="20"/>
        </w:rPr>
        <w:t> </w:t>
      </w:r>
      <w:r>
        <w:rPr>
          <w:color w:val="231F20"/>
        </w:rPr>
        <w:t>de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l’énergie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solaire,</w:t>
      </w:r>
      <w:r>
        <w:rPr>
          <w:color w:val="231F20"/>
          <w:spacing w:val="-9"/>
        </w:rPr>
        <w:t> </w:t>
      </w:r>
      <w:r>
        <w:rPr>
          <w:color w:val="231F20"/>
        </w:rPr>
        <w:t>le</w:t>
      </w:r>
      <w:r>
        <w:rPr>
          <w:color w:val="231F20"/>
          <w:spacing w:val="1"/>
        </w:rPr>
        <w:t> </w:t>
      </w:r>
      <w:r>
        <w:rPr>
          <w:color w:val="231F20"/>
        </w:rPr>
        <w:t>siège</w:t>
      </w:r>
      <w:r>
        <w:rPr>
          <w:color w:val="231F20"/>
          <w:spacing w:val="1"/>
        </w:rPr>
        <w:t> </w:t>
      </w:r>
      <w:r>
        <w:rPr>
          <w:color w:val="231F20"/>
        </w:rPr>
        <w:t>de</w:t>
      </w:r>
      <w:r>
        <w:rPr>
          <w:color w:val="231F20"/>
          <w:spacing w:val="1"/>
        </w:rPr>
        <w:t> </w:t>
      </w:r>
      <w:r>
        <w:rPr>
          <w:color w:val="231F20"/>
        </w:rPr>
        <w:t>la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manufac-</w:t>
      </w:r>
      <w:r>
        <w:rPr>
          <w:color w:val="231F20"/>
          <w:spacing w:val="29"/>
        </w:rPr>
        <w:t> </w:t>
      </w:r>
      <w:r>
        <w:rPr>
          <w:color w:val="231F20"/>
          <w:spacing w:val="-2"/>
        </w:rPr>
        <w:t>ture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Vacheron</w:t>
      </w:r>
      <w:r>
        <w:rPr>
          <w:color w:val="231F20"/>
          <w:spacing w:val="14"/>
        </w:rPr>
        <w:t> </w:t>
      </w:r>
      <w:r>
        <w:rPr>
          <w:color w:val="231F20"/>
        </w:rPr>
        <w:t>Constantin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s’impose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comme</w:t>
      </w:r>
      <w:r>
        <w:rPr>
          <w:color w:val="231F20"/>
          <w:spacing w:val="27"/>
        </w:rPr>
        <w:t> </w:t>
      </w:r>
      <w:r>
        <w:rPr>
          <w:color w:val="231F20"/>
        </w:rPr>
        <w:t>une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réalisation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exemplaire</w:t>
      </w:r>
      <w:r>
        <w:rPr>
          <w:color w:val="231F20"/>
          <w:spacing w:val="39"/>
        </w:rPr>
        <w:t> </w:t>
      </w:r>
      <w:r>
        <w:rPr>
          <w:color w:val="231F20"/>
        </w:rPr>
        <w:t>pour</w:t>
      </w:r>
      <w:r>
        <w:rPr>
          <w:color w:val="231F20"/>
          <w:spacing w:val="40"/>
        </w:rPr>
        <w:t> </w:t>
      </w:r>
      <w:r>
        <w:rPr>
          <w:color w:val="231F20"/>
        </w:rPr>
        <w:t>des</w:t>
      </w:r>
      <w:r>
        <w:rPr>
          <w:color w:val="231F20"/>
          <w:spacing w:val="40"/>
        </w:rPr>
        <w:t> </w:t>
      </w:r>
      <w:r>
        <w:rPr>
          <w:color w:val="231F20"/>
        </w:rPr>
        <w:t>sites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commerciaux</w:t>
      </w:r>
      <w:r>
        <w:rPr>
          <w:color w:val="231F20"/>
          <w:spacing w:val="-11"/>
        </w:rPr>
        <w:t> </w:t>
      </w:r>
      <w:r>
        <w:rPr>
          <w:color w:val="231F20"/>
        </w:rPr>
        <w:t>et</w:t>
      </w:r>
      <w:r>
        <w:rPr>
          <w:color w:val="231F20"/>
          <w:spacing w:val="-11"/>
        </w:rPr>
        <w:t> </w:t>
      </w:r>
      <w:r>
        <w:rPr>
          <w:color w:val="231F20"/>
        </w:rPr>
        <w:t>industriels</w:t>
      </w:r>
      <w:r>
        <w:rPr>
          <w:color w:val="231F20"/>
          <w:spacing w:val="-11"/>
        </w:rPr>
        <w:t> </w:t>
      </w:r>
      <w:r>
        <w:rPr>
          <w:color w:val="231F20"/>
        </w:rPr>
        <w:t>hautement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éner-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givores.</w:t>
      </w:r>
      <w:r>
        <w:rPr>
          <w:color w:val="231F20"/>
          <w:spacing w:val="38"/>
        </w:rPr>
        <w:t> </w:t>
      </w:r>
      <w:r>
        <w:rPr>
          <w:color w:val="231F20"/>
          <w:spacing w:val="-2"/>
        </w:rPr>
        <w:t>Vacheron</w:t>
      </w:r>
      <w:r>
        <w:rPr>
          <w:color w:val="231F20"/>
          <w:spacing w:val="12"/>
        </w:rPr>
        <w:t> </w:t>
      </w:r>
      <w:r>
        <w:rPr>
          <w:color w:val="231F20"/>
        </w:rPr>
        <w:t>Constantin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reçoit</w:t>
      </w:r>
      <w:r>
        <w:rPr>
          <w:color w:val="231F20"/>
          <w:spacing w:val="12"/>
        </w:rPr>
        <w:t> </w:t>
      </w:r>
      <w:r>
        <w:rPr>
          <w:color w:val="231F20"/>
        </w:rPr>
        <w:t>pour</w:t>
      </w:r>
      <w:r>
        <w:rPr>
          <w:color w:val="231F20"/>
          <w:spacing w:val="27"/>
        </w:rPr>
        <w:t> </w:t>
      </w:r>
      <w:r>
        <w:rPr>
          <w:color w:val="231F20"/>
        </w:rPr>
        <w:t>cela</w:t>
      </w:r>
      <w:r>
        <w:rPr>
          <w:color w:val="231F20"/>
          <w:spacing w:val="-7"/>
        </w:rPr>
        <w:t> </w:t>
      </w:r>
      <w:r>
        <w:rPr>
          <w:color w:val="231F20"/>
        </w:rPr>
        <w:t>le</w:t>
      </w:r>
      <w:r>
        <w:rPr>
          <w:color w:val="231F20"/>
          <w:spacing w:val="-7"/>
        </w:rPr>
        <w:t> </w:t>
      </w:r>
      <w:r>
        <w:rPr>
          <w:color w:val="231F20"/>
        </w:rPr>
        <w:t>diplôme</w:t>
      </w:r>
      <w:r>
        <w:rPr>
          <w:color w:val="231F20"/>
          <w:spacing w:val="-7"/>
        </w:rPr>
        <w:t> </w:t>
      </w:r>
      <w:r>
        <w:rPr>
          <w:color w:val="231F20"/>
        </w:rPr>
        <w:t>du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Prix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Solaire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Suisse</w:t>
      </w:r>
      <w:r>
        <w:rPr>
          <w:color w:val="231F20"/>
          <w:spacing w:val="-7"/>
        </w:rPr>
        <w:t> </w:t>
      </w:r>
      <w:r>
        <w:rPr>
          <w:color w:val="231F20"/>
        </w:rPr>
        <w:t>2018.</w:t>
      </w:r>
      <w:r>
        <w:rPr/>
      </w:r>
    </w:p>
    <w:p>
      <w:pPr>
        <w:tabs>
          <w:tab w:pos="763" w:val="left" w:leader="none"/>
          <w:tab w:pos="1914" w:val="left" w:leader="none"/>
          <w:tab w:pos="2698" w:val="left" w:leader="none"/>
        </w:tabs>
        <w:spacing w:line="155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toit:</w:t>
        <w:tab/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1614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</w:t>
      </w:r>
      <w:r>
        <w:rPr>
          <w:rFonts w:ascii="Theinhardt Regular" w:hAnsi="Theinhardt Regular" w:cs="Theinhardt Regular" w:eastAsia="Theinhardt Regular"/>
          <w:color w:val="231F20"/>
          <w:spacing w:val="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246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158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1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6.1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254’600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840" w:val="left" w:leader="none"/>
        </w:tabs>
        <w:spacing w:line="172" w:lineRule="exact" w:before="32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Bilan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énergétique</w:t>
      </w:r>
      <w:r>
        <w:rPr>
          <w:rFonts w:ascii="Theinhardt Bold" w:hAnsi="Theinhardt Bold"/>
          <w:b/>
          <w:color w:val="231F20"/>
          <w:spacing w:val="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(énergie</w:t>
      </w:r>
      <w:r>
        <w:rPr>
          <w:rFonts w:ascii="Theinhardt Regular" w:hAnsi="Theinhardt Regular"/>
          <w:color w:val="231F20"/>
          <w:sz w:val="14"/>
        </w:rPr>
        <w:t> finale)   %</w:t>
        <w:tab/>
        <w:t>kWh/a</w:t>
      </w:r>
      <w:r>
        <w:rPr>
          <w:rFonts w:ascii="Theinhardt Regular" w:hAnsi="Theinhardt Regular"/>
          <w:sz w:val="14"/>
        </w:rPr>
      </w:r>
    </w:p>
    <w:p>
      <w:pPr>
        <w:tabs>
          <w:tab w:pos="2277" w:val="left" w:leader="none"/>
          <w:tab w:pos="2687" w:val="left" w:leader="none"/>
        </w:tabs>
        <w:spacing w:line="160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Alimentation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énergétique: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4"/>
          <w:szCs w:val="14"/>
        </w:rPr>
        <w:t>6.1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254’600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229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Total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besoins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en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énergie: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100 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4’157’095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180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Apport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d’énergie*: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93.9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3’902’495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10"/>
          <w:szCs w:val="10"/>
        </w:rPr>
      </w:pPr>
    </w:p>
    <w:p>
      <w:pPr>
        <w:tabs>
          <w:tab w:pos="2834" w:val="left" w:leader="none"/>
        </w:tabs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*Apport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d’énergie:</w:t>
        <w:tab/>
        <w:t>kWh/a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578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éléctricité: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2’239’380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572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chauffage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à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distance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1’002’000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734" w:val="left" w:leader="none"/>
        </w:tabs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gaz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naturel</w:t>
        <w:tab/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661’115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10"/>
          <w:szCs w:val="10"/>
        </w:rPr>
      </w:pPr>
    </w:p>
    <w:p>
      <w:pPr>
        <w:spacing w:before="0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 w:hAnsi="Theinhardt Black"/>
          <w:b/>
          <w:color w:val="231F20"/>
          <w:spacing w:val="1"/>
          <w:sz w:val="14"/>
        </w:rPr>
        <w:t>Personnes</w:t>
      </w:r>
      <w:r>
        <w:rPr>
          <w:rFonts w:ascii="Theinhardt Black" w:hAnsi="Theinhardt Black"/>
          <w:b/>
          <w:color w:val="231F20"/>
          <w:sz w:val="14"/>
        </w:rPr>
        <w:t> impliquées</w:t>
      </w:r>
      <w:r>
        <w:rPr>
          <w:rFonts w:ascii="Theinhardt Black" w:hAns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66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Adresse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du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bâtiment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maître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d‘ouvrage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Vacheron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Constantin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Branch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of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Richemont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International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SA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Chemin</w:t>
      </w:r>
      <w:r>
        <w:rPr>
          <w:rFonts w:ascii="Theinhardt Regular"/>
          <w:color w:val="231F20"/>
          <w:sz w:val="14"/>
        </w:rPr>
        <w:t> du Tourbillon </w:t>
      </w:r>
      <w:r>
        <w:rPr>
          <w:rFonts w:ascii="Theinhardt Regular"/>
          <w:color w:val="231F20"/>
          <w:spacing w:val="-3"/>
          <w:sz w:val="14"/>
        </w:rPr>
        <w:t>10,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1228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Plan-les-Ouates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-2"/>
          <w:sz w:val="14"/>
        </w:rPr>
        <w:t>Tél.</w:t>
      </w:r>
      <w:r>
        <w:rPr>
          <w:rFonts w:ascii="Theinhardt Regular" w:hAnsi="Theinhardt Regular"/>
          <w:color w:val="231F20"/>
          <w:sz w:val="14"/>
        </w:rPr>
        <w:t> 022 930 20 </w:t>
      </w:r>
      <w:r>
        <w:rPr>
          <w:rFonts w:ascii="Theinhardt Regular" w:hAnsi="Theinhardt Regular"/>
          <w:color w:val="231F20"/>
          <w:spacing w:val="1"/>
          <w:sz w:val="14"/>
        </w:rPr>
        <w:t>05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hyperlink r:id="rId6">
        <w:r>
          <w:rPr>
            <w:rFonts w:ascii="Theinhardt Regular"/>
            <w:color w:val="231F20"/>
            <w:spacing w:val="2"/>
            <w:sz w:val="14"/>
          </w:rPr>
          <w:t>laurent.garnier@vacheron-constantin.com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Réalisation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et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construction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panneaux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solaires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Suntechnics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Fabrisolar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SA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Place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de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l’industrie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2, </w:t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1180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Rolle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-2"/>
          <w:sz w:val="14"/>
        </w:rPr>
        <w:t>Tél.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021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802</w:t>
      </w:r>
      <w:r>
        <w:rPr>
          <w:rFonts w:ascii="Theinhardt Regular" w:hAnsi="Theinhardt Regular"/>
          <w:color w:val="231F20"/>
          <w:sz w:val="14"/>
        </w:rPr>
        <w:t> 63 3</w:t>
      </w:r>
      <w:hyperlink r:id="rId7">
        <w:r>
          <w:rPr>
            <w:rFonts w:ascii="Theinhardt Regular" w:hAnsi="Theinhardt Regular"/>
            <w:color w:val="231F20"/>
            <w:sz w:val="14"/>
          </w:rPr>
          <w:t>3, </w:t>
        </w:r>
        <w:r>
          <w:rPr>
            <w:rFonts w:ascii="Theinhardt Regular" w:hAnsi="Theinhardt Regular"/>
            <w:color w:val="231F20"/>
            <w:spacing w:val="1"/>
            <w:sz w:val="14"/>
          </w:rPr>
          <w:t>info@suntechnics.ch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Architectes</w:t>
      </w:r>
      <w:r>
        <w:rPr>
          <w:rFonts w:ascii="Theinhardt Bold"/>
          <w:sz w:val="14"/>
        </w:rPr>
      </w:r>
    </w:p>
    <w:p>
      <w:pPr>
        <w:spacing w:line="207" w:lineRule="auto" w:before="5"/>
        <w:ind w:left="117" w:right="17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Bernard</w:t>
      </w:r>
      <w:r>
        <w:rPr>
          <w:rFonts w:ascii="Theinhardt Regular"/>
          <w:color w:val="231F20"/>
          <w:sz w:val="14"/>
        </w:rPr>
        <w:t> Tschumi</w:t>
      </w:r>
      <w:r>
        <w:rPr>
          <w:rFonts w:ascii="Theinhardt Regular"/>
          <w:color w:val="231F20"/>
          <w:spacing w:val="22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Urbanistes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architectes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BtuA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Rue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Beaubourg</w:t>
      </w:r>
      <w:r>
        <w:rPr>
          <w:rFonts w:ascii="Theinhardt Regular"/>
          <w:color w:val="231F20"/>
          <w:sz w:val="14"/>
        </w:rPr>
        <w:t> 6, F-75004 </w:t>
      </w:r>
      <w:r>
        <w:rPr>
          <w:rFonts w:ascii="Theinhardt Regular"/>
          <w:color w:val="231F20"/>
          <w:spacing w:val="1"/>
          <w:sz w:val="14"/>
        </w:rPr>
        <w:t>Paris</w:t>
      </w:r>
      <w:r>
        <w:rPr>
          <w:rFonts w:ascii="Theinhardt Regular"/>
          <w:sz w:val="14"/>
        </w:rPr>
      </w:r>
    </w:p>
    <w:p>
      <w:pPr>
        <w:spacing w:line="160" w:lineRule="exact" w:before="39"/>
        <w:ind w:left="117" w:right="207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Planificateur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Général</w:t>
      </w:r>
      <w:r>
        <w:rPr>
          <w:rFonts w:ascii="Theinhardt Bold" w:hAnsi="Theinhardt Bold" w:cs="Theinhardt Bold" w:eastAsia="Theinhardt Bold"/>
          <w:b/>
          <w:bCs/>
          <w:color w:val="231F20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Atelier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d’architecture</w:t>
      </w:r>
      <w:r>
        <w:rPr>
          <w:rFonts w:ascii="Theinhardt Regular" w:hAnsi="Theinhardt Regular" w:cs="Theinhardt Regular" w:eastAsia="Theinhardt Regular"/>
          <w:color w:val="231F20"/>
          <w:spacing w:val="2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Glauco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Lombardi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line="17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Chemin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la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Gravière</w:t>
      </w:r>
      <w:r>
        <w:rPr>
          <w:rFonts w:ascii="Theinhardt Regular" w:hAnsi="Theinhardt Regular"/>
          <w:color w:val="231F20"/>
          <w:sz w:val="14"/>
        </w:rPr>
        <w:t> 6, </w:t>
      </w:r>
      <w:r>
        <w:rPr>
          <w:rFonts w:ascii="Theinhardt Regular" w:hAnsi="Theinhardt Regular"/>
          <w:color w:val="231F20"/>
          <w:spacing w:val="-3"/>
          <w:sz w:val="14"/>
        </w:rPr>
        <w:t>1227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Les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Acacias</w:t>
      </w:r>
      <w:r>
        <w:rPr>
          <w:rFonts w:ascii="Theinhardt Regular" w:hAnsi="Theinhardt Regular"/>
          <w:sz w:val="14"/>
        </w:rPr>
      </w:r>
    </w:p>
    <w:p>
      <w:pPr>
        <w:spacing w:after="0" w:line="17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20" w:bottom="280" w:left="620" w:right="900"/>
          <w:cols w:num="3" w:equalWidth="0">
            <w:col w:w="3463" w:space="109"/>
            <w:col w:w="3473" w:space="99"/>
            <w:col w:w="3586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6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1"/>
          <w:szCs w:val="21"/>
        </w:rPr>
      </w:pPr>
    </w:p>
    <w:p>
      <w:pPr>
        <w:spacing w:line="200" w:lineRule="atLeast"/>
        <w:ind w:left="726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6679" cy="1362456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6679" cy="1362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8" w:val="left" w:leader="none"/>
        </w:tabs>
        <w:spacing w:before="15"/>
        <w:ind w:left="12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</w:t>
        <w:tab/>
      </w:r>
      <w:r>
        <w:rPr>
          <w:rFonts w:ascii="Theinhardt Bold"/>
          <w:b/>
          <w:color w:val="231F20"/>
          <w:position w:val="1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11"/>
          <w:szCs w:val="11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1"/>
          <w:szCs w:val="11"/>
        </w:rPr>
        <w:sectPr>
          <w:type w:val="continuous"/>
          <w:pgSz w:w="12250" w:h="17180"/>
          <w:pgMar w:top="1020" w:bottom="280" w:left="620" w:right="900"/>
        </w:sectPr>
      </w:pP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76"/>
        <w:ind w:left="343" w:right="0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La</w:t>
      </w:r>
      <w:r>
        <w:rPr>
          <w:rFonts w:ascii="Theinhardt Bold" w:hAnsi="Theinhardt Bold"/>
          <w:b/>
          <w:color w:val="231F20"/>
          <w:sz w:val="14"/>
        </w:rPr>
        <w:t> manufacture </w:t>
      </w:r>
      <w:r>
        <w:rPr>
          <w:rFonts w:ascii="Theinhardt Bold" w:hAnsi="Theinhardt Bold"/>
          <w:b/>
          <w:color w:val="231F20"/>
          <w:spacing w:val="-1"/>
          <w:sz w:val="14"/>
        </w:rPr>
        <w:t>horlogère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Vacheron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Constantin</w:t>
      </w:r>
      <w:r>
        <w:rPr>
          <w:rFonts w:ascii="Theinhardt Bold" w:hAnsi="Theinhardt Bold"/>
          <w:b/>
          <w:color w:val="231F20"/>
          <w:spacing w:val="4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est construite en </w:t>
      </w:r>
      <w:r>
        <w:rPr>
          <w:rFonts w:ascii="Theinhardt Bold" w:hAnsi="Theinhardt Bold"/>
          <w:b/>
          <w:color w:val="231F20"/>
          <w:spacing w:val="-1"/>
          <w:sz w:val="14"/>
        </w:rPr>
        <w:t>forme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de</w:t>
      </w:r>
      <w:r>
        <w:rPr>
          <w:rFonts w:ascii="Theinhardt Bold" w:hAnsi="Theinhardt Bold"/>
          <w:b/>
          <w:color w:val="231F20"/>
          <w:sz w:val="14"/>
        </w:rPr>
        <w:t> «V».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76"/>
        <w:ind w:left="343" w:right="3947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L‘installation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PV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sur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le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toit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la manufacture</w:t>
      </w:r>
      <w:r>
        <w:rPr>
          <w:rFonts w:ascii="Theinhardt Bold" w:hAnsi="Theinhardt Bold" w:cs="Theinhardt Bold" w:eastAsia="Theinhardt Bold"/>
          <w:b/>
          <w:bCs/>
          <w:color w:val="231F20"/>
          <w:spacing w:val="2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horlogère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produit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environ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254’600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20" w:bottom="280" w:left="620" w:right="900"/>
          <w:cols w:num="2" w:equalWidth="0">
            <w:col w:w="3357" w:space="214"/>
            <w:col w:w="7159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9"/>
          <w:szCs w:val="29"/>
        </w:rPr>
      </w:pPr>
    </w:p>
    <w:p>
      <w:pPr>
        <w:spacing w:before="7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84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sectPr>
      <w:type w:val="continuous"/>
      <w:pgSz w:w="12250" w:h="17180"/>
      <w:pgMar w:top="1020" w:bottom="280" w:left="6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3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45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46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47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49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50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51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53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54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laurent.garnier@vacheron-constantin.com" TargetMode="External"/><Relationship Id="rId7" Type="http://schemas.openxmlformats.org/officeDocument/2006/relationships/hyperlink" Target="mailto:info@suntechnics.ch" TargetMode="External"/><Relationship Id="rId8" Type="http://schemas.openxmlformats.org/officeDocument/2006/relationships/image" Target="media/image2.jpeg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2018-10-02T10:14:30Z</dcterms:created>
  <dcterms:modified xsi:type="dcterms:W3CDTF">2018-10-02T10:14:30Z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