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4" w:val="left" w:leader="none"/>
        </w:tabs>
        <w:spacing w:line="242" w:lineRule="auto" w:before="29"/>
        <w:ind w:left="114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6.925598pt;margin-top:13.227315pt;width:.1pt;height:.1pt;mso-position-horizontal-relative:page;mso-position-vertical-relative:paragraph;z-index:-4120" coordorigin="739,265" coordsize="2,2">
            <v:shape style="position:absolute;left:739;top:265;width:2;height:2" coordorigin="739,265" coordsize="0,0" path="m739,265l739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8.664597pt;margin-top:13.227315pt;width:.1pt;height:.1pt;mso-position-horizontal-relative:page;mso-position-vertical-relative:paragraph;z-index:1144" coordorigin="3173,265" coordsize="2,2">
            <v:shape style="position:absolute;left:3173;top:265;width:2;height:2" coordorigin="3173,265" coordsize="0,0" path="m3173,265l3173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6.925598pt;margin-top:25.227314pt;width:.1pt;height:.1pt;mso-position-horizontal-relative:page;mso-position-vertical-relative:paragraph;z-index:-4072" coordorigin="739,505" coordsize="2,2">
            <v:shape style="position:absolute;left:739;top:505;width:2;height:2" coordorigin="739,505" coordsize="0,0" path="m739,505l739,50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8.664597pt;margin-top:25.227314pt;width:.1pt;height:.1pt;mso-position-horizontal-relative:page;mso-position-vertical-relative:paragraph;z-index:1192" coordorigin="3173,505" coordsize="2,2">
            <v:shape style="position:absolute;left:3173;top:505;width:2;height:2" coordorigin="3173,505" coordsize="0,0" path="m3173,505l3173,505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Heavy" w:hAnsi="Theinhardt Heavy"/>
          <w:b/>
          <w:color w:val="231F20"/>
          <w:sz w:val="18"/>
        </w:rPr>
      </w:r>
      <w:r>
        <w:rPr>
          <w:rFonts w:ascii="Theinhardt Heavy" w:hAnsi="Theinhardt Heavy"/>
          <w:b/>
          <w:color w:val="231F20"/>
          <w:sz w:val="18"/>
          <w:u w:val="dotted" w:color="231F20"/>
        </w:rPr>
        <w:t>Kategorie                </w:t>
      </w:r>
      <w:r>
        <w:rPr>
          <w:rFonts w:ascii="Theinhardt Heavy" w:hAnsi="Theinhardt Heavy"/>
          <w:b/>
          <w:color w:val="231F20"/>
          <w:spacing w:val="2"/>
          <w:sz w:val="18"/>
          <w:u w:val="dotted" w:color="231F20"/>
        </w:rPr>
        <w:t> </w:t>
      </w:r>
      <w:r>
        <w:rPr>
          <w:rFonts w:ascii="Theinhardt Heavy" w:hAnsi="Theinhardt Heavy"/>
          <w:b/>
          <w:color w:val="231F20"/>
          <w:sz w:val="18"/>
          <w:u w:val="dotted" w:color="231F20"/>
        </w:rPr>
        <w:t>B</w:t>
      </w:r>
      <w:r>
        <w:rPr>
          <w:rFonts w:ascii="Theinhardt Heavy" w:hAnsi="Theinhardt Heavy"/>
          <w:b/>
          <w:color w:val="231F20"/>
          <w:sz w:val="18"/>
          <w:u w:val="dotted" w:color="231F20"/>
        </w:rPr>
        <w:t> </w:t>
        <w:tab/>
      </w:r>
      <w:r>
        <w:rPr>
          <w:rFonts w:ascii="Theinhardt Heavy" w:hAnsi="Theinhardt Heavy"/>
          <w:b/>
          <w:color w:val="231F20"/>
          <w:sz w:val="18"/>
        </w:rPr>
      </w:r>
      <w:r>
        <w:rPr>
          <w:rFonts w:ascii="Theinhardt Heavy" w:hAnsi="Theinhardt Heavy"/>
          <w:b/>
          <w:color w:val="231F20"/>
          <w:sz w:val="18"/>
        </w:rPr>
        <w:t> </w:t>
      </w:r>
      <w:r>
        <w:rPr>
          <w:rFonts w:ascii="Theinhardt Heavy" w:hAnsi="Theinhardt Heavy"/>
          <w:b/>
          <w:color w:val="231F20"/>
          <w:w w:val="95"/>
          <w:sz w:val="18"/>
          <w:u w:val="dotted" w:color="231F20"/>
        </w:rPr>
        <w:t>Gebäude: </w:t>
      </w:r>
      <w:r>
        <w:rPr>
          <w:rFonts w:ascii="Theinhardt Heavy" w:hAnsi="Theinhardt Heavy"/>
          <w:b/>
          <w:color w:val="231F20"/>
          <w:spacing w:val="3"/>
          <w:w w:val="95"/>
          <w:sz w:val="18"/>
          <w:u w:val="dotted" w:color="231F20"/>
        </w:rPr>
        <w:t> </w:t>
      </w:r>
      <w:r>
        <w:rPr>
          <w:rFonts w:ascii="Theinhardt Heavy" w:hAnsi="Theinhardt Heavy"/>
          <w:b/>
          <w:color w:val="231F20"/>
          <w:sz w:val="18"/>
          <w:u w:val="dotted" w:color="231F20"/>
        </w:rPr>
        <w:t>Neubauten</w:t>
      </w:r>
      <w:r>
        <w:rPr>
          <w:rFonts w:ascii="Theinhardt Heavy" w:hAnsi="Theinhardt Heavy"/>
          <w:b/>
          <w:color w:val="231F20"/>
          <w:sz w:val="18"/>
          <w:u w:val="dotted" w:color="231F20"/>
        </w:rPr>
        <w:t> </w:t>
        <w:tab/>
      </w:r>
      <w:r>
        <w:rPr>
          <w:rFonts w:ascii="Theinhardt Heavy" w:hAnsi="Theinhardt Heavy"/>
          <w:b/>
          <w:color w:val="231F20"/>
          <w:sz w:val="18"/>
        </w:rPr>
      </w:r>
      <w:r>
        <w:rPr>
          <w:rFonts w:ascii="Theinhardt Heavy" w:hAnsi="Theinhardt Heavy"/>
          <w:b/>
          <w:color w:val="231F20"/>
          <w:spacing w:val="26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Schweizer</w:t>
      </w:r>
      <w:r>
        <w:rPr>
          <w:rFonts w:ascii="Theinhardt Regular" w:hAnsi="Theinhardt Regular"/>
          <w:color w:val="231F20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Solarpreis</w:t>
      </w:r>
      <w:r>
        <w:rPr>
          <w:rFonts w:ascii="Theinhardt Regular" w:hAnsi="Theinhardt Regular"/>
          <w:color w:val="231F20"/>
          <w:sz w:val="18"/>
        </w:rPr>
        <w:t> 2018</w:t>
      </w:r>
      <w:r>
        <w:rPr>
          <w:rFonts w:ascii="Theinhardt Regular" w:hAnsi="Theinhardt Regular"/>
          <w:sz w:val="18"/>
        </w:rPr>
      </w:r>
    </w:p>
    <w:p>
      <w:pPr>
        <w:spacing w:line="242" w:lineRule="auto" w:before="29"/>
        <w:ind w:left="114" w:right="105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zwei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neu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erstellten,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familienfreundlichen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Mehrfamilienhäuser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Reichenburg/SZ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decken</w:t>
      </w:r>
      <w:r>
        <w:rPr>
          <w:rFonts w:ascii="Theinhardt Bold" w:hAnsi="Theinhardt Bold" w:cs="Theinhardt Bold" w:eastAsia="Theinhardt Bold"/>
          <w:b/>
          <w:bCs/>
          <w:color w:val="231F20"/>
          <w:spacing w:val="8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ihren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Gesamtenergiebedarf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120’000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etwa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66%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Solarenergie.</w:t>
      </w:r>
      <w:r>
        <w:rPr>
          <w:rFonts w:ascii="Theinhardt Bold" w:hAnsi="Theinhardt Bold" w:cs="Theinhardt Bold" w:eastAsia="Theinhardt Bold"/>
          <w:b/>
          <w:bCs/>
          <w:color w:val="231F20"/>
          <w:spacing w:val="-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77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pacing w:val="3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erstreckt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über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beiden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Dächer,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Balkonbrüstungen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Lärmschutz-</w:t>
      </w:r>
      <w:r>
        <w:rPr>
          <w:rFonts w:ascii="Theinhardt Bold" w:hAnsi="Theinhardt Bold" w:cs="Theinhardt Bold" w:eastAsia="Theinhardt Bold"/>
          <w:b/>
          <w:bCs/>
          <w:color w:val="231F20"/>
          <w:spacing w:val="7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wand.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30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position w:val="6"/>
          <w:sz w:val="10"/>
          <w:szCs w:val="10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grosse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solarthermische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dient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Warmwasseraufbereitung.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Ihr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som-</w:t>
      </w:r>
      <w:r>
        <w:rPr>
          <w:rFonts w:ascii="Theinhardt Bold" w:hAnsi="Theinhardt Bold" w:cs="Theinhardt Bold" w:eastAsia="Theinhardt Bold"/>
          <w:b/>
          <w:bCs/>
          <w:color w:val="231F20"/>
          <w:spacing w:val="8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merlicher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Wärmeüberschuss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wird mittels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Energiepfählen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im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Erdreich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gespeichert.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Den Mietern</w:t>
      </w:r>
      <w:r>
        <w:rPr>
          <w:rFonts w:ascii="Theinhardt Bold" w:hAnsi="Theinhardt Bold" w:cs="Theinhardt Bold" w:eastAsia="Theinhardt Bold"/>
          <w:b/>
          <w:bCs/>
          <w:color w:val="231F20"/>
          <w:spacing w:val="9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stehen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Ladestationen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für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E-Mobilität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zur</w:t>
      </w:r>
      <w:r>
        <w:rPr>
          <w:rFonts w:ascii="Theinhardt Bold" w:hAnsi="Theinhardt Bold" w:cs="Theinhardt Bold" w:eastAsia="Theinhardt Bold"/>
          <w:b/>
          <w:bCs/>
          <w:color w:val="231F20"/>
          <w:spacing w:val="-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Verfügung.</w:t>
      </w:r>
      <w:r>
        <w:rPr>
          <w:rFonts w:ascii="Theinhardt Bold" w:hAnsi="Theinhardt Bold" w:cs="Theinhardt Bold" w:eastAsia="Theinhardt Bold"/>
          <w:b/>
          <w:bCs/>
          <w:color w:val="231F20"/>
          <w:spacing w:val="-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Projekt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besticht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durch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Kombination</w:t>
      </w:r>
      <w:r>
        <w:rPr>
          <w:rFonts w:ascii="Theinhardt Bold" w:hAnsi="Theinhardt Bold" w:cs="Theinhardt Bold" w:eastAsia="Theinhardt Bold"/>
          <w:b/>
          <w:bCs/>
          <w:color w:val="231F20"/>
          <w:spacing w:val="7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ästhetisch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ansprechender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Solararchitektur mit nachhaltiger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Energieversorgung.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42" w:lineRule="auto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40" w:bottom="280" w:left="620" w:right="920"/>
          <w:cols w:num="2" w:equalWidth="0">
            <w:col w:w="2545" w:space="129"/>
            <w:col w:w="8036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before="180"/>
        <w:ind w:left="131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5"/>
          <w:sz w:val="40"/>
        </w:rPr>
        <w:t>Solares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4"/>
          <w:sz w:val="40"/>
        </w:rPr>
        <w:t>M</w:t>
      </w:r>
      <w:r>
        <w:rPr>
          <w:rFonts w:ascii="Theinhardt Black"/>
          <w:b/>
          <w:color w:val="0067B1"/>
          <w:spacing w:val="2"/>
          <w:sz w:val="40"/>
        </w:rPr>
        <w:t>eh</w:t>
      </w:r>
      <w:r>
        <w:rPr>
          <w:rFonts w:ascii="Theinhardt Black"/>
          <w:b/>
          <w:color w:val="0067B1"/>
          <w:spacing w:val="26"/>
          <w:sz w:val="40"/>
        </w:rPr>
        <w:t>r</w:t>
      </w:r>
      <w:r>
        <w:rPr>
          <w:rFonts w:ascii="Theinhardt Black"/>
          <w:b/>
          <w:color w:val="0067B1"/>
          <w:spacing w:val="8"/>
          <w:sz w:val="40"/>
        </w:rPr>
        <w:t>f</w:t>
      </w:r>
      <w:r>
        <w:rPr>
          <w:rFonts w:ascii="Theinhardt Black"/>
          <w:b/>
          <w:color w:val="0067B1"/>
          <w:spacing w:val="4"/>
          <w:sz w:val="40"/>
        </w:rPr>
        <w:t>a</w:t>
      </w:r>
      <w:r>
        <w:rPr>
          <w:rFonts w:ascii="Theinhardt Black"/>
          <w:b/>
          <w:color w:val="0067B1"/>
          <w:spacing w:val="2"/>
          <w:sz w:val="40"/>
        </w:rPr>
        <w:t>m</w:t>
      </w:r>
      <w:r>
        <w:rPr>
          <w:rFonts w:ascii="Theinhardt Black"/>
          <w:b/>
          <w:color w:val="0067B1"/>
          <w:spacing w:val="4"/>
          <w:sz w:val="40"/>
        </w:rPr>
        <w:t>il</w:t>
      </w:r>
      <w:r>
        <w:rPr>
          <w:rFonts w:ascii="Theinhardt Black"/>
          <w:b/>
          <w:color w:val="0067B1"/>
          <w:spacing w:val="2"/>
          <w:sz w:val="40"/>
        </w:rPr>
        <w:t>ien</w:t>
      </w:r>
      <w:r>
        <w:rPr>
          <w:rFonts w:ascii="Theinhardt Black"/>
          <w:b/>
          <w:color w:val="0067B1"/>
          <w:spacing w:val="5"/>
          <w:sz w:val="40"/>
        </w:rPr>
        <w:t>h</w:t>
      </w:r>
      <w:r>
        <w:rPr>
          <w:rFonts w:ascii="Theinhardt Black"/>
          <w:b/>
          <w:color w:val="0067B1"/>
          <w:spacing w:val="4"/>
          <w:sz w:val="40"/>
        </w:rPr>
        <w:t>a</w:t>
      </w:r>
      <w:r>
        <w:rPr>
          <w:rFonts w:ascii="Theinhardt Black"/>
          <w:b/>
          <w:color w:val="0067B1"/>
          <w:spacing w:val="8"/>
          <w:sz w:val="40"/>
        </w:rPr>
        <w:t>u</w:t>
      </w:r>
      <w:r>
        <w:rPr>
          <w:rFonts w:ascii="Theinhardt Black"/>
          <w:b/>
          <w:color w:val="0067B1"/>
          <w:spacing w:val="10"/>
          <w:sz w:val="40"/>
        </w:rPr>
        <w:t>s</w:t>
      </w:r>
      <w:r>
        <w:rPr>
          <w:rFonts w:ascii="Theinhardt Black"/>
          <w:b/>
          <w:color w:val="0067B1"/>
          <w:sz w:val="40"/>
        </w:rPr>
        <w:t>,</w:t>
      </w:r>
      <w:r>
        <w:rPr>
          <w:rFonts w:ascii="Theinhardt Black"/>
          <w:b/>
          <w:color w:val="0067B1"/>
          <w:spacing w:val="-24"/>
          <w:sz w:val="40"/>
        </w:rPr>
        <w:t> </w:t>
      </w:r>
      <w:r>
        <w:rPr>
          <w:rFonts w:ascii="Theinhardt Black"/>
          <w:b/>
          <w:color w:val="0067B1"/>
          <w:spacing w:val="-1"/>
          <w:sz w:val="40"/>
        </w:rPr>
        <w:t>8864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2"/>
          <w:sz w:val="40"/>
        </w:rPr>
        <w:t>Reichenburg/SZ</w:t>
      </w:r>
      <w:r>
        <w:rPr>
          <w:rFonts w:ascii="Theinhardt Black"/>
          <w:sz w:val="40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40" w:bottom="280" w:left="620" w:right="920"/>
        </w:sectPr>
      </w:pPr>
    </w:p>
    <w:p>
      <w:pPr>
        <w:pStyle w:val="BodyText"/>
        <w:spacing w:line="230" w:lineRule="exact" w:before="53"/>
        <w:ind w:right="7" w:firstLine="0"/>
        <w:jc w:val="both"/>
      </w:pPr>
      <w:r>
        <w:rPr>
          <w:color w:val="231F20"/>
        </w:rPr>
        <w:t>Im</w:t>
      </w:r>
      <w:r>
        <w:rPr>
          <w:color w:val="231F20"/>
          <w:spacing w:val="15"/>
        </w:rPr>
        <w:t> </w:t>
      </w:r>
      <w:r>
        <w:rPr>
          <w:color w:val="231F20"/>
          <w:spacing w:val="-2"/>
        </w:rPr>
        <w:t>Schwyzerischen</w:t>
      </w:r>
      <w:r>
        <w:rPr>
          <w:color w:val="231F20"/>
          <w:spacing w:val="15"/>
        </w:rPr>
        <w:t> </w:t>
      </w:r>
      <w:r>
        <w:rPr>
          <w:color w:val="231F20"/>
          <w:spacing w:val="-2"/>
        </w:rPr>
        <w:t>Reichenburg</w:t>
      </w:r>
      <w:r>
        <w:rPr>
          <w:color w:val="231F20"/>
          <w:spacing w:val="15"/>
        </w:rPr>
        <w:t> </w:t>
      </w:r>
      <w:r>
        <w:rPr>
          <w:color w:val="231F20"/>
          <w:spacing w:val="-2"/>
        </w:rPr>
        <w:t>wurden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38"/>
        </w:rPr>
        <w:t> </w:t>
      </w:r>
      <w:r>
        <w:rPr>
          <w:color w:val="231F20"/>
          <w:spacing w:val="-1"/>
        </w:rPr>
        <w:t>den</w:t>
      </w:r>
      <w:r>
        <w:rPr>
          <w:color w:val="231F20"/>
          <w:spacing w:val="31"/>
        </w:rPr>
        <w:t> </w:t>
      </w:r>
      <w:r>
        <w:rPr>
          <w:color w:val="231F20"/>
          <w:spacing w:val="-2"/>
        </w:rPr>
        <w:t>Jahren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2017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2018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zwei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Mehrfa-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milienhäuser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insgesamt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41</w:t>
      </w:r>
      <w:r>
        <w:rPr>
          <w:color w:val="231F20"/>
          <w:spacing w:val="6"/>
        </w:rPr>
        <w:t> </w:t>
      </w:r>
      <w:r>
        <w:rPr>
          <w:color w:val="231F20"/>
          <w:spacing w:val="-3"/>
        </w:rPr>
        <w:t>Wohnungen</w:t>
      </w:r>
      <w:r>
        <w:rPr>
          <w:color w:val="231F20"/>
          <w:spacing w:val="38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einer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Energiebezugsfläche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von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total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2’871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m</w:t>
      </w:r>
      <w:r>
        <w:rPr>
          <w:color w:val="231F20"/>
          <w:spacing w:val="-1"/>
          <w:position w:val="6"/>
          <w:sz w:val="10"/>
          <w:szCs w:val="10"/>
        </w:rPr>
        <w:t>2</w:t>
      </w:r>
      <w:r>
        <w:rPr>
          <w:color w:val="231F20"/>
          <w:spacing w:val="1"/>
          <w:position w:val="6"/>
          <w:sz w:val="10"/>
          <w:szCs w:val="10"/>
        </w:rPr>
        <w:t> </w:t>
      </w:r>
      <w:r>
        <w:rPr>
          <w:color w:val="231F20"/>
          <w:spacing w:val="-1"/>
        </w:rPr>
        <w:t>erstellt.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Zusammen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erzeugen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ihre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PV-Anlagen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solarthermische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Anla-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ge</w:t>
      </w:r>
      <w:r>
        <w:rPr>
          <w:color w:val="231F20"/>
          <w:spacing w:val="46"/>
        </w:rPr>
        <w:t> </w:t>
      </w:r>
      <w:r>
        <w:rPr>
          <w:color w:val="231F20"/>
          <w:spacing w:val="-1"/>
        </w:rPr>
        <w:t>79’000</w:t>
      </w:r>
      <w:r>
        <w:rPr>
          <w:color w:val="231F20"/>
          <w:spacing w:val="47"/>
        </w:rPr>
        <w:t> </w:t>
      </w:r>
      <w:r>
        <w:rPr>
          <w:color w:val="231F20"/>
          <w:spacing w:val="-3"/>
        </w:rPr>
        <w:t>kWh/a.</w:t>
      </w:r>
      <w:r>
        <w:rPr>
          <w:color w:val="231F20"/>
          <w:spacing w:val="35"/>
        </w:rPr>
        <w:t> </w:t>
      </w:r>
      <w:r>
        <w:rPr>
          <w:color w:val="231F20"/>
          <w:spacing w:val="-2"/>
        </w:rPr>
        <w:t>Dies</w:t>
      </w:r>
      <w:r>
        <w:rPr>
          <w:color w:val="231F20"/>
          <w:spacing w:val="47"/>
        </w:rPr>
        <w:t> </w:t>
      </w:r>
      <w:r>
        <w:rPr>
          <w:color w:val="231F20"/>
          <w:spacing w:val="-1"/>
        </w:rPr>
        <w:t>entspricht</w:t>
      </w:r>
      <w:r>
        <w:rPr>
          <w:color w:val="231F20"/>
          <w:spacing w:val="47"/>
        </w:rPr>
        <w:t> </w:t>
      </w:r>
      <w:r>
        <w:rPr>
          <w:color w:val="231F20"/>
          <w:spacing w:val="-1"/>
        </w:rPr>
        <w:t>einem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solaren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Eigenenergieversorgungsgrad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von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66%.</w:t>
      </w:r>
      <w:r>
        <w:rPr>
          <w:color w:val="231F20"/>
          <w:spacing w:val="16"/>
        </w:rPr>
        <w:t> </w:t>
      </w:r>
      <w:r>
        <w:rPr>
          <w:color w:val="231F20"/>
          <w:spacing w:val="-2"/>
        </w:rPr>
        <w:t>Die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einzigartige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Holzschindelfassade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48"/>
        </w:rPr>
        <w:t> </w:t>
      </w:r>
      <w:r>
        <w:rPr>
          <w:color w:val="231F20"/>
          <w:spacing w:val="-1"/>
        </w:rPr>
        <w:t>den</w:t>
      </w:r>
      <w:r>
        <w:rPr>
          <w:color w:val="231F20"/>
        </w:rPr>
        <w:t>  </w:t>
      </w:r>
      <w:r>
        <w:rPr>
          <w:color w:val="231F20"/>
          <w:spacing w:val="-1"/>
        </w:rPr>
        <w:t>integrierten</w:t>
      </w:r>
      <w:r>
        <w:rPr>
          <w:color w:val="231F20"/>
        </w:rPr>
        <w:t> </w:t>
      </w:r>
      <w:r>
        <w:rPr>
          <w:color w:val="231F20"/>
          <w:spacing w:val="-1"/>
        </w:rPr>
        <w:t>Solarpanelen</w:t>
      </w:r>
      <w:r>
        <w:rPr>
          <w:color w:val="231F20"/>
        </w:rPr>
        <w:t> </w:t>
      </w:r>
      <w:r>
        <w:rPr>
          <w:color w:val="231F20"/>
          <w:spacing w:val="-1"/>
        </w:rPr>
        <w:t>an</w:t>
      </w:r>
      <w:r>
        <w:rPr>
          <w:color w:val="231F20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Brüstung</w:t>
      </w:r>
      <w:r>
        <w:rPr>
          <w:color w:val="231F20"/>
          <w:spacing w:val="14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14"/>
        </w:rPr>
        <w:t> </w:t>
      </w:r>
      <w:r>
        <w:rPr>
          <w:color w:val="231F20"/>
          <w:spacing w:val="-2"/>
        </w:rPr>
        <w:t>speziell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für</w:t>
      </w:r>
      <w:r>
        <w:rPr>
          <w:color w:val="231F20"/>
          <w:spacing w:val="14"/>
        </w:rPr>
        <w:t> </w:t>
      </w:r>
      <w:r>
        <w:rPr>
          <w:color w:val="231F20"/>
        </w:rPr>
        <w:t>das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Objekt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ge-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schaffen.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  <w:spacing w:val="-2"/>
        </w:rPr>
        <w:t>Die</w:t>
      </w:r>
      <w:r>
        <w:rPr>
          <w:color w:val="231F20"/>
          <w:spacing w:val="11"/>
        </w:rPr>
        <w:t> </w:t>
      </w:r>
      <w:r>
        <w:rPr>
          <w:color w:val="231F20"/>
          <w:spacing w:val="-3"/>
        </w:rPr>
        <w:t>PV-Anlage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deckt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etwa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50%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des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Ge-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samt-energiebedarfs.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Sie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besteht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aus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den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zwei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ost-west-ausgerichteten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Dachanlagen,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den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Balkonbrüstungen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integrierten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Solarpanelen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den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Solarpanelen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auf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Lärmschutzwand,</w:t>
      </w:r>
      <w:r>
        <w:rPr>
          <w:color w:val="231F20"/>
          <w:spacing w:val="-26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15"/>
        </w:rPr>
        <w:t> </w:t>
      </w:r>
      <w:r>
        <w:rPr>
          <w:color w:val="231F20"/>
        </w:rPr>
        <w:t>das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Grundstück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gegen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2"/>
        </w:rPr>
        <w:t> vielbefahrene Landstrasse </w:t>
      </w:r>
      <w:r>
        <w:rPr>
          <w:color w:val="231F20"/>
          <w:spacing w:val="-1"/>
        </w:rPr>
        <w:t>abschirmt.</w:t>
      </w:r>
      <w:r>
        <w:rPr/>
      </w:r>
    </w:p>
    <w:p>
      <w:pPr>
        <w:pStyle w:val="BodyText"/>
        <w:spacing w:line="230" w:lineRule="exact"/>
        <w:ind w:right="7"/>
        <w:jc w:val="both"/>
      </w:pPr>
      <w:r>
        <w:rPr>
          <w:color w:val="231F20"/>
          <w:spacing w:val="-2"/>
        </w:rPr>
        <w:t>Die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suboptimale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Dämmung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verursacht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einen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hohen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winterlichen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Raumwärmebe-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darf,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durch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oberflächennahe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geo-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thermische</w:t>
      </w:r>
      <w:r>
        <w:rPr>
          <w:color w:val="231F20"/>
          <w:spacing w:val="33"/>
        </w:rPr>
        <w:t> </w:t>
      </w:r>
      <w:r>
        <w:rPr>
          <w:color w:val="231F20"/>
        </w:rPr>
        <w:t>Nutzung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gedeckt</w:t>
      </w:r>
      <w:r>
        <w:rPr>
          <w:color w:val="231F20"/>
          <w:spacing w:val="33"/>
        </w:rPr>
        <w:t> </w:t>
      </w:r>
      <w:r>
        <w:rPr>
          <w:color w:val="231F20"/>
          <w:spacing w:val="-2"/>
        </w:rPr>
        <w:t>wird.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Die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30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m</w:t>
      </w:r>
      <w:r>
        <w:rPr>
          <w:color w:val="231F20"/>
          <w:spacing w:val="-1"/>
          <w:position w:val="6"/>
          <w:sz w:val="10"/>
        </w:rPr>
        <w:t>2</w:t>
      </w:r>
      <w:r>
        <w:rPr>
          <w:color w:val="231F20"/>
          <w:spacing w:val="14"/>
          <w:position w:val="6"/>
          <w:sz w:val="10"/>
        </w:rPr>
        <w:t> </w:t>
      </w:r>
      <w:r>
        <w:rPr>
          <w:color w:val="231F20"/>
          <w:spacing w:val="-2"/>
        </w:rPr>
        <w:t>grosse,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verglaste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thermische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Solaranlage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stellt</w:t>
      </w:r>
      <w:r>
        <w:rPr>
          <w:color w:val="231F20"/>
          <w:spacing w:val="-16"/>
        </w:rPr>
        <w:t> </w:t>
      </w:r>
      <w:r>
        <w:rPr>
          <w:color w:val="231F20"/>
        </w:rPr>
        <w:t>das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Warmwasser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bereit.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Überschüssige</w:t>
      </w:r>
      <w:r>
        <w:rPr/>
      </w:r>
    </w:p>
    <w:p>
      <w:pPr>
        <w:pStyle w:val="BodyText"/>
        <w:spacing w:line="230" w:lineRule="exact" w:before="53"/>
        <w:ind w:right="0" w:firstLine="0"/>
        <w:jc w:val="both"/>
      </w:pPr>
      <w:r>
        <w:rPr/>
        <w:br w:type="column"/>
      </w:r>
      <w:r>
        <w:rPr>
          <w:color w:val="231F20"/>
          <w:spacing w:val="-1"/>
        </w:rPr>
        <w:t>Solarwärme</w:t>
      </w:r>
      <w:r>
        <w:rPr>
          <w:color w:val="231F20"/>
          <w:spacing w:val="4"/>
        </w:rPr>
        <w:t> </w:t>
      </w:r>
      <w:r>
        <w:rPr>
          <w:color w:val="231F20"/>
          <w:spacing w:val="-3"/>
        </w:rPr>
        <w:t>wird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Energiepfählen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zurück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11"/>
        </w:rPr>
        <w:t> </w:t>
      </w:r>
      <w:r>
        <w:rPr>
          <w:color w:val="231F20"/>
          <w:spacing w:val="-3"/>
        </w:rPr>
        <w:t>Erde</w:t>
      </w:r>
      <w:r>
        <w:rPr>
          <w:color w:val="231F20"/>
          <w:spacing w:val="-11"/>
        </w:rPr>
        <w:t> </w:t>
      </w:r>
      <w:r>
        <w:rPr>
          <w:color w:val="231F20"/>
        </w:rPr>
        <w:t>geführt.</w:t>
      </w:r>
      <w:r>
        <w:rPr>
          <w:color w:val="231F20"/>
          <w:spacing w:val="-21"/>
        </w:rPr>
        <w:t> </w:t>
      </w:r>
      <w:r>
        <w:rPr>
          <w:color w:val="231F20"/>
        </w:rPr>
        <w:t>Im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Winterhalbjahr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tragen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Fenster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ihrem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Energiedurchlassgrad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von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65%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ebenfalls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zur</w:t>
      </w:r>
      <w:r>
        <w:rPr>
          <w:color w:val="231F20"/>
          <w:spacing w:val="31"/>
        </w:rPr>
        <w:t> </w:t>
      </w:r>
      <w:r>
        <w:rPr>
          <w:color w:val="231F20"/>
          <w:spacing w:val="-2"/>
        </w:rPr>
        <w:t>Sonnenenergienut-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zung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bei.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</w:rPr>
        <w:t>Das</w:t>
      </w:r>
      <w:r>
        <w:rPr>
          <w:color w:val="231F20"/>
          <w:spacing w:val="48"/>
        </w:rPr>
        <w:t> </w:t>
      </w:r>
      <w:r>
        <w:rPr>
          <w:color w:val="231F20"/>
          <w:spacing w:val="-2"/>
        </w:rPr>
        <w:t>Projekt</w:t>
      </w:r>
      <w:r>
        <w:rPr>
          <w:color w:val="231F20"/>
        </w:rPr>
        <w:t>  </w:t>
      </w:r>
      <w:r>
        <w:rPr>
          <w:color w:val="231F20"/>
          <w:spacing w:val="-1"/>
        </w:rPr>
        <w:t>zeigt,</w:t>
      </w:r>
      <w:r>
        <w:rPr>
          <w:color w:val="231F20"/>
          <w:spacing w:val="38"/>
        </w:rPr>
        <w:t> </w:t>
      </w:r>
      <w:r>
        <w:rPr>
          <w:color w:val="231F20"/>
          <w:spacing w:val="-1"/>
        </w:rPr>
        <w:t>wie</w:t>
      </w:r>
      <w:r>
        <w:rPr>
          <w:color w:val="231F20"/>
        </w:rPr>
        <w:t> </w:t>
      </w:r>
      <w:r>
        <w:rPr>
          <w:color w:val="231F20"/>
          <w:spacing w:val="-1"/>
        </w:rPr>
        <w:t>Solarwärme</w:t>
      </w:r>
      <w:r>
        <w:rPr>
          <w:color w:val="231F20"/>
        </w:rPr>
        <w:t> </w:t>
      </w:r>
      <w:r>
        <w:rPr>
          <w:color w:val="231F20"/>
          <w:spacing w:val="-1"/>
        </w:rPr>
        <w:t>zu-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sammen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Energiepfählen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einer</w:t>
      </w:r>
      <w:r>
        <w:rPr>
          <w:color w:val="231F20"/>
          <w:spacing w:val="4"/>
        </w:rPr>
        <w:t> </w:t>
      </w:r>
      <w:r>
        <w:rPr>
          <w:color w:val="231F20"/>
          <w:spacing w:val="-3"/>
        </w:rPr>
        <w:t>Wär-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mepumpe</w:t>
      </w:r>
      <w:r>
        <w:rPr>
          <w:color w:val="231F20"/>
          <w:spacing w:val="37"/>
        </w:rPr>
        <w:t> </w:t>
      </w:r>
      <w:r>
        <w:rPr>
          <w:color w:val="231F20"/>
          <w:spacing w:val="-1"/>
        </w:rPr>
        <w:t>als</w:t>
      </w:r>
      <w:r>
        <w:rPr>
          <w:color w:val="231F20"/>
          <w:spacing w:val="38"/>
        </w:rPr>
        <w:t> </w:t>
      </w:r>
      <w:r>
        <w:rPr>
          <w:color w:val="231F20"/>
          <w:spacing w:val="-1"/>
        </w:rPr>
        <w:t>alleinige</w:t>
      </w:r>
      <w:r>
        <w:rPr>
          <w:color w:val="231F20"/>
          <w:spacing w:val="37"/>
        </w:rPr>
        <w:t> </w:t>
      </w:r>
      <w:r>
        <w:rPr>
          <w:color w:val="231F20"/>
          <w:spacing w:val="-2"/>
        </w:rPr>
        <w:t>Wärmequelle</w:t>
      </w:r>
      <w:r>
        <w:rPr>
          <w:color w:val="231F20"/>
          <w:spacing w:val="38"/>
        </w:rPr>
        <w:t> </w:t>
      </w:r>
      <w:r>
        <w:rPr>
          <w:color w:val="231F20"/>
          <w:spacing w:val="-1"/>
        </w:rPr>
        <w:t>auch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Mehrfamilienhäusern</w:t>
      </w:r>
      <w:r>
        <w:rPr>
          <w:color w:val="231F20"/>
          <w:spacing w:val="32"/>
        </w:rPr>
        <w:t> </w:t>
      </w:r>
      <w:r>
        <w:rPr>
          <w:color w:val="231F20"/>
        </w:rPr>
        <w:t>eingesetzt</w:t>
      </w:r>
      <w:r>
        <w:rPr>
          <w:color w:val="231F20"/>
          <w:spacing w:val="31"/>
        </w:rPr>
        <w:t> </w:t>
      </w:r>
      <w:r>
        <w:rPr>
          <w:color w:val="231F20"/>
          <w:spacing w:val="-2"/>
        </w:rPr>
        <w:t>werden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kann.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Die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Verwendung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von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natürlichen</w:t>
      </w:r>
      <w:r>
        <w:rPr>
          <w:color w:val="231F20"/>
          <w:spacing w:val="1"/>
        </w:rPr>
        <w:t> </w:t>
      </w:r>
      <w:r>
        <w:rPr>
          <w:color w:val="231F20"/>
        </w:rPr>
        <w:t>Bau-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materialien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aus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Umgebung</w:t>
      </w:r>
      <w:r>
        <w:rPr>
          <w:color w:val="231F20"/>
          <w:spacing w:val="10"/>
        </w:rPr>
        <w:t> </w:t>
      </w:r>
      <w:r>
        <w:rPr>
          <w:color w:val="231F20"/>
          <w:spacing w:val="-3"/>
        </w:rPr>
        <w:t>sorgt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für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eine</w:t>
      </w:r>
      <w:r>
        <w:rPr>
          <w:color w:val="231F20"/>
          <w:spacing w:val="41"/>
        </w:rPr>
        <w:t> </w:t>
      </w:r>
      <w:r>
        <w:rPr>
          <w:color w:val="231F20"/>
          <w:spacing w:val="-2"/>
        </w:rPr>
        <w:t>harmonische</w:t>
      </w:r>
      <w:r>
        <w:rPr>
          <w:color w:val="231F20"/>
          <w:spacing w:val="42"/>
        </w:rPr>
        <w:t> </w:t>
      </w:r>
      <w:r>
        <w:rPr>
          <w:color w:val="231F20"/>
          <w:spacing w:val="-2"/>
        </w:rPr>
        <w:t>Atmosphäre.</w:t>
      </w:r>
      <w:r>
        <w:rPr>
          <w:color w:val="231F20"/>
          <w:spacing w:val="30"/>
        </w:rPr>
        <w:t> </w:t>
      </w:r>
      <w:r>
        <w:rPr>
          <w:color w:val="231F20"/>
          <w:spacing w:val="-3"/>
        </w:rPr>
        <w:t>Für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Miete-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rinnen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46"/>
        </w:rPr>
        <w:t> </w:t>
      </w:r>
      <w:r>
        <w:rPr>
          <w:color w:val="231F20"/>
          <w:spacing w:val="-1"/>
        </w:rPr>
        <w:t>Mieter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dieser</w:t>
      </w:r>
      <w:r>
        <w:rPr>
          <w:color w:val="231F20"/>
          <w:spacing w:val="46"/>
        </w:rPr>
        <w:t> </w:t>
      </w:r>
      <w:r>
        <w:rPr>
          <w:color w:val="231F20"/>
          <w:spacing w:val="-2"/>
        </w:rPr>
        <w:t>familienfreundli-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chen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Überbauung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stehen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eine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Ladestation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für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E-Mobile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15"/>
        </w:rPr>
        <w:t> </w:t>
      </w:r>
      <w:r>
        <w:rPr>
          <w:color w:val="231F20"/>
          <w:spacing w:val="-2"/>
        </w:rPr>
        <w:t>weitere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Ladestationen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für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E-Bikes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Scooter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zur</w:t>
      </w:r>
      <w:r>
        <w:rPr>
          <w:color w:val="231F20"/>
          <w:spacing w:val="30"/>
        </w:rPr>
        <w:t> </w:t>
      </w:r>
      <w:r>
        <w:rPr>
          <w:color w:val="231F20"/>
          <w:spacing w:val="-2"/>
        </w:rPr>
        <w:t>Verfügung.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Auch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Besucher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können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Schnellladestation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be-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nutzen.</w:t>
      </w:r>
      <w:r>
        <w:rPr/>
      </w:r>
    </w:p>
    <w:p>
      <w:pPr>
        <w:tabs>
          <w:tab w:pos="3449" w:val="left" w:leader="none"/>
        </w:tabs>
        <w:spacing w:before="67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</w:r>
      <w:r>
        <w:rPr>
          <w:rFonts w:ascii="Theinhardt Black"/>
          <w:b/>
          <w:color w:val="231F20"/>
          <w:sz w:val="14"/>
          <w:u w:val="dotted" w:color="231F20"/>
        </w:rPr>
        <w:t>Technische </w:t>
      </w:r>
      <w:r>
        <w:rPr>
          <w:rFonts w:ascii="Theinhardt Black"/>
          <w:b/>
          <w:color w:val="231F20"/>
          <w:spacing w:val="1"/>
          <w:sz w:val="14"/>
          <w:u w:val="dotted" w:color="231F20"/>
        </w:rPr>
        <w:t>Daten</w:t>
      </w:r>
      <w:r>
        <w:rPr>
          <w:rFonts w:ascii="Theinhardt Black"/>
          <w:b/>
          <w:color w:val="231F20"/>
          <w:sz w:val="14"/>
          <w:u w:val="dotted" w:color="231F20"/>
        </w:rPr>
        <w:t> </w:t>
        <w:tab/>
      </w:r>
      <w:r>
        <w:rPr>
          <w:rFonts w:ascii="Theinhardt Black"/>
          <w:b/>
          <w:color w:val="231F20"/>
          <w:sz w:val="14"/>
        </w:rPr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tabs>
          <w:tab w:pos="3453" w:val="left" w:leader="none"/>
        </w:tabs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  <w:r>
        <w:rPr>
          <w:rFonts w:ascii="Theinhardt Black"/>
          <w:sz w:val="2"/>
        </w:rPr>
        <w:tab/>
      </w: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</w:p>
    <w:p>
      <w:pPr>
        <w:spacing w:line="172" w:lineRule="exact" w:before="66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191" w:val="left" w:leader="none"/>
          <w:tab w:pos="2599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  <w:t>20 cm 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  <w:t>0.18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z w:val="14"/>
        </w:rPr>
        <w:t>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191" w:val="left" w:leader="none"/>
          <w:tab w:pos="2598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Dach:</w:t>
        <w:tab/>
        <w:t>18 cm 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  <w:t>0.20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z w:val="14"/>
        </w:rPr>
        <w:t>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089" w:val="left" w:leader="none"/>
          <w:tab w:pos="2576" w:val="left" w:leader="none"/>
          <w:tab w:pos="2606" w:val="left" w:leader="none"/>
        </w:tabs>
        <w:spacing w:line="207" w:lineRule="auto" w:before="5"/>
        <w:ind w:left="117" w:right="20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Boden:</w:t>
        <w:tab/>
        <w:t>10 </w:t>
      </w:r>
      <w:r>
        <w:rPr>
          <w:rFonts w:ascii="Theinhardt Regular"/>
          <w:color w:val="231F20"/>
          <w:spacing w:val="1"/>
          <w:sz w:val="14"/>
        </w:rPr>
        <w:t>cm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  <w:tab/>
      </w:r>
      <w:r>
        <w:rPr>
          <w:rFonts w:ascii="Theinhardt Regular"/>
          <w:color w:val="231F20"/>
          <w:spacing w:val="-2"/>
          <w:sz w:val="14"/>
        </w:rPr>
        <w:t>0.19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z w:val="14"/>
        </w:rPr>
        <w:t>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color w:val="231F20"/>
          <w:spacing w:val="21"/>
          <w:sz w:val="14"/>
        </w:rPr>
        <w:t> </w:t>
      </w:r>
      <w:r>
        <w:rPr>
          <w:rFonts w:ascii="Theinhardt Regular"/>
          <w:color w:val="231F20"/>
          <w:sz w:val="14"/>
        </w:rPr>
        <w:t>Fenster:</w:t>
        <w:tab/>
        <w:t>dreifach 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  <w:t>0.93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W/m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72" w:lineRule="exact" w:before="38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</w:t>
      </w:r>
      <w:r>
        <w:rPr>
          <w:rFonts w:ascii="Theinhardt Bold"/>
          <w:sz w:val="14"/>
        </w:rPr>
      </w:r>
    </w:p>
    <w:p>
      <w:pPr>
        <w:tabs>
          <w:tab w:pos="1778" w:val="left" w:leader="none"/>
          <w:tab w:pos="2960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EBF: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2’871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a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</w:t>
      </w:r>
      <w:r>
        <w:rPr>
          <w:rFonts w:ascii="Theinhardt Regular" w:hAnsi="Theinhardt Regular" w:cs="Theinhardt Regular" w:eastAsia="Theinhardt Regular"/>
          <w:color w:val="231F20"/>
          <w:spacing w:val="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%</w:t>
        <w:tab/>
        <w:t>kWh/a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134" w:val="left" w:leader="none"/>
          <w:tab w:pos="2924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Warmwasser:</w:t>
        <w:tab/>
        <w:t>6.8   </w:t>
      </w:r>
      <w:r>
        <w:rPr>
          <w:rFonts w:ascii="Theinhardt Regular" w:hAnsi="Theinhardt Regular" w:cs="Theinhardt Regular" w:eastAsia="Theinhardt Regular"/>
          <w:color w:val="231F20"/>
          <w:spacing w:val="1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16</w:t>
        <w:tab/>
        <w:t>19’447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057" w:val="left" w:leader="none"/>
          <w:tab w:pos="2903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Elektrizität WP: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15.3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37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44’046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060" w:val="left" w:leader="none"/>
          <w:tab w:pos="2907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19.6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47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56’272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050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41.7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100   </w:t>
      </w:r>
      <w:r>
        <w:rPr>
          <w:rFonts w:ascii="Theinhardt Regular" w:hAnsi="Theinhardt Regular" w:cs="Theinhardt Regular" w:eastAsia="Theinhardt Regular"/>
          <w:color w:val="231F20"/>
          <w:spacing w:val="1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119’765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135" w:val="left" w:leader="none"/>
          <w:tab w:pos="2980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Eigen-EV:</w:t>
        <w:tab/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position w:val="5"/>
          <w:sz w:val="8"/>
        </w:rPr>
        <w:t>     </w:t>
      </w:r>
      <w:r>
        <w:rPr>
          <w:rFonts w:ascii="Theinhardt Regular"/>
          <w:color w:val="231F20"/>
          <w:spacing w:val="4"/>
          <w:position w:val="5"/>
          <w:sz w:val="8"/>
        </w:rPr>
        <w:t> </w:t>
      </w:r>
      <w:r>
        <w:rPr>
          <w:rFonts w:ascii="Theinhardt Regular"/>
          <w:color w:val="231F20"/>
          <w:sz w:val="14"/>
        </w:rPr>
        <w:t>kWp </w:t>
      </w:r>
      <w:r>
        <w:rPr>
          <w:rFonts w:ascii="Theinhardt Regular"/>
          <w:color w:val="231F20"/>
          <w:spacing w:val="6"/>
          <w:sz w:val="14"/>
        </w:rPr>
        <w:t> </w:t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    </w:t>
      </w:r>
      <w:r>
        <w:rPr>
          <w:rFonts w:ascii="Theinhardt Regular"/>
          <w:color w:val="231F20"/>
          <w:spacing w:val="2"/>
          <w:sz w:val="14"/>
        </w:rPr>
        <w:t> </w:t>
      </w:r>
      <w:r>
        <w:rPr>
          <w:rFonts w:ascii="Theinhardt Regular"/>
          <w:color w:val="231F20"/>
          <w:sz w:val="14"/>
        </w:rPr>
        <w:t>%</w:t>
        <w:tab/>
        <w:t>kWh/a</w:t>
      </w:r>
      <w:r>
        <w:rPr>
          <w:rFonts w:ascii="Theinhardt Regular"/>
          <w:sz w:val="14"/>
        </w:rPr>
      </w:r>
    </w:p>
    <w:p>
      <w:pPr>
        <w:tabs>
          <w:tab w:pos="2058" w:val="left" w:leader="none"/>
          <w:tab w:pos="2906" w:val="left" w:leader="none"/>
        </w:tabs>
        <w:spacing w:line="160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SK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gesamt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30.1</w:t>
        <w:tab/>
        <w:t>6.77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100</w:t>
        <w:tab/>
        <w:t>19’447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1049" w:val="left" w:leader="none"/>
          <w:tab w:pos="1529" w:val="left" w:leader="none"/>
          <w:tab w:pos="2097" w:val="left" w:leader="none"/>
          <w:tab w:pos="2918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PV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Dach: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248</w:t>
        <w:tab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43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132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55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32’612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538" w:val="left" w:leader="none"/>
          <w:tab w:pos="2254" w:val="left" w:leader="none"/>
          <w:tab w:pos="2997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PV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Fassade: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2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103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16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8   </w:t>
      </w:r>
      <w:r>
        <w:rPr>
          <w:rFonts w:ascii="Theinhardt Regular" w:hAnsi="Theinhardt Regular" w:cs="Theinhardt Regular" w:eastAsia="Theinhardt Regular"/>
          <w:color w:val="231F20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15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9’193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129" w:val="left" w:leader="none"/>
          <w:tab w:pos="1538" w:val="left" w:leader="none"/>
          <w:tab w:pos="2104" w:val="left" w:leader="none"/>
          <w:tab w:pos="2917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PV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LS-Wand:</w:t>
        <w:tab/>
        <w:t>83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18</w:t>
        <w:tab/>
      </w:r>
      <w:r>
        <w:rPr>
          <w:rFonts w:ascii="Theinhardt Regular" w:hAnsi="Theinhardt Regular" w:cs="Theinhardt Regular" w:eastAsia="Theinhardt Regular"/>
          <w:color w:val="231F20"/>
          <w:spacing w:val="-6"/>
          <w:sz w:val="14"/>
          <w:szCs w:val="14"/>
        </w:rPr>
        <w:t>211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30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17’528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530" w:val="left" w:leader="none"/>
          <w:tab w:pos="2428" w:val="left" w:leader="none"/>
          <w:tab w:pos="2891" w:val="left" w:leader="none"/>
        </w:tabs>
        <w:spacing w:line="160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PV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gesamt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434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77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59’333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890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Eigen-EV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78’780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548" w:val="left" w:leader="none"/>
          <w:tab w:pos="2960" w:val="left" w:leader="none"/>
        </w:tabs>
        <w:spacing w:line="172" w:lineRule="exact" w:before="32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Energiebilanz (Endenergie)</w:t>
        <w:tab/>
      </w:r>
      <w:r>
        <w:rPr>
          <w:rFonts w:ascii="Theinhardt Regular"/>
          <w:color w:val="231F20"/>
          <w:sz w:val="14"/>
        </w:rPr>
        <w:t>%</w:t>
        <w:tab/>
        <w:t>kWh/a</w:t>
      </w:r>
      <w:r>
        <w:rPr>
          <w:rFonts w:ascii="Theinhardt Regular"/>
          <w:sz w:val="14"/>
        </w:rPr>
      </w:r>
    </w:p>
    <w:p>
      <w:pPr>
        <w:tabs>
          <w:tab w:pos="2508" w:val="left" w:leader="none"/>
          <w:tab w:pos="2893" w:val="left" w:leader="none"/>
        </w:tabs>
        <w:spacing w:line="160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66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78’780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429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Gesamtenergiebedarf:</w:t>
        <w:tab/>
        <w:t>100   </w:t>
      </w:r>
      <w:r>
        <w:rPr>
          <w:rFonts w:ascii="Theinhardt Regular" w:hAnsi="Theinhardt Regular" w:cs="Theinhardt Regular" w:eastAsia="Theinhardt Regular"/>
          <w:color w:val="231F20"/>
          <w:spacing w:val="1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119’765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508" w:val="left" w:leader="none"/>
          <w:tab w:pos="2888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Fremdenergiezufuhr: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3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4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4"/>
          <w:szCs w:val="14"/>
        </w:rPr>
        <w:t>4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0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4"/>
          <w:szCs w:val="14"/>
        </w:rPr>
        <w:t>’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98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2"/>
          <w:sz w:val="14"/>
        </w:rPr>
        <w:t>Bestätigt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vom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Elektrizitätswerk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Reichenburg</w:t>
      </w:r>
      <w:r>
        <w:rPr>
          <w:rFonts w:ascii="Theinhardt Bold" w:hAnsi="Theinhardt Bold"/>
          <w:b/>
          <w:color w:val="231F20"/>
          <w:spacing w:val="2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am</w:t>
      </w:r>
      <w:r>
        <w:rPr>
          <w:rFonts w:ascii="Theinhardt Regular" w:hAnsi="Theinhardt Regular"/>
          <w:color w:val="231F20"/>
          <w:spacing w:val="34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15.06.2018,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Roman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Anderegg,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Tel.</w:t>
      </w:r>
      <w:r>
        <w:rPr>
          <w:rFonts w:ascii="Theinhardt Regular" w:hAnsi="Theinhardt Regular"/>
          <w:color w:val="231F20"/>
          <w:sz w:val="14"/>
        </w:rPr>
        <w:t> 055 </w:t>
      </w:r>
      <w:r>
        <w:rPr>
          <w:rFonts w:ascii="Theinhardt Regular" w:hAnsi="Theinhardt Regular"/>
          <w:color w:val="231F20"/>
          <w:spacing w:val="1"/>
          <w:sz w:val="14"/>
        </w:rPr>
        <w:t>464</w:t>
      </w:r>
      <w:r>
        <w:rPr>
          <w:rFonts w:ascii="Theinhardt Regular" w:hAnsi="Theinhardt Regular"/>
          <w:color w:val="231F20"/>
          <w:spacing w:val="37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30 </w:t>
      </w:r>
      <w:r>
        <w:rPr>
          <w:rFonts w:ascii="Theinhardt Regular" w:hAnsi="Theinhardt Regular"/>
          <w:color w:val="231F20"/>
          <w:spacing w:val="-1"/>
          <w:sz w:val="14"/>
        </w:rPr>
        <w:t>75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1"/>
          <w:sz w:val="14"/>
        </w:rPr>
        <w:t>Beteiligte</w:t>
      </w:r>
      <w:r>
        <w:rPr>
          <w:rFonts w:ascii="Theinhardt Black"/>
          <w:b/>
          <w:color w:val="231F20"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66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Bauherrschaft</w:t>
      </w:r>
      <w:r>
        <w:rPr>
          <w:rFonts w:ascii="Theinhardt Bold"/>
          <w:sz w:val="14"/>
        </w:rPr>
      </w:r>
    </w:p>
    <w:p>
      <w:pPr>
        <w:spacing w:line="207" w:lineRule="auto" w:before="5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Sanjo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Liegenschaften</w:t>
      </w:r>
      <w:r>
        <w:rPr>
          <w:rFonts w:ascii="Theinhardt Regular"/>
          <w:color w:val="231F20"/>
          <w:sz w:val="14"/>
        </w:rPr>
        <w:t> AG, </w:t>
      </w:r>
      <w:r>
        <w:rPr>
          <w:rFonts w:ascii="Theinhardt Regular"/>
          <w:color w:val="231F20"/>
          <w:spacing w:val="-2"/>
          <w:sz w:val="14"/>
        </w:rPr>
        <w:t>c/o</w:t>
      </w:r>
      <w:r>
        <w:rPr>
          <w:rFonts w:ascii="Theinhardt Regular"/>
          <w:color w:val="231F20"/>
          <w:sz w:val="14"/>
        </w:rPr>
        <w:t> CEO </w:t>
      </w:r>
      <w:r>
        <w:rPr>
          <w:rFonts w:ascii="Theinhardt Regular"/>
          <w:color w:val="231F20"/>
          <w:spacing w:val="1"/>
          <w:sz w:val="14"/>
        </w:rPr>
        <w:t>Joseph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M.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Grab</w:t>
      </w:r>
      <w:r>
        <w:rPr>
          <w:rFonts w:ascii="Theinhardt Regular"/>
          <w:color w:val="231F20"/>
          <w:spacing w:val="32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Bahnhofstrasse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1,</w:t>
      </w:r>
      <w:r>
        <w:rPr>
          <w:rFonts w:ascii="Theinhardt Regular"/>
          <w:color w:val="231F20"/>
          <w:sz w:val="14"/>
        </w:rPr>
        <w:t> 8852 </w:t>
      </w:r>
      <w:r>
        <w:rPr>
          <w:rFonts w:ascii="Theinhardt Regular"/>
          <w:color w:val="231F20"/>
          <w:spacing w:val="2"/>
          <w:sz w:val="14"/>
        </w:rPr>
        <w:t>Altendorf</w:t>
      </w:r>
      <w:r>
        <w:rPr>
          <w:rFonts w:ascii="Theinhardt Regular"/>
          <w:sz w:val="14"/>
        </w:rPr>
      </w:r>
    </w:p>
    <w:p>
      <w:pPr>
        <w:spacing w:line="172" w:lineRule="exact" w:before="38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Generalplaner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Sanjo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Management,</w:t>
      </w:r>
      <w:r>
        <w:rPr>
          <w:rFonts w:ascii="Theinhardt Regular"/>
          <w:color w:val="231F20"/>
          <w:sz w:val="14"/>
        </w:rPr>
        <w:t> CEO </w:t>
      </w:r>
      <w:r>
        <w:rPr>
          <w:rFonts w:ascii="Theinhardt Regular"/>
          <w:color w:val="231F20"/>
          <w:spacing w:val="1"/>
          <w:sz w:val="14"/>
        </w:rPr>
        <w:t>Joseph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M.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Grab,</w:t>
      </w:r>
      <w:r>
        <w:rPr>
          <w:rFonts w:ascii="Theinhardt Regular"/>
          <w:sz w:val="14"/>
        </w:rPr>
      </w:r>
    </w:p>
    <w:p>
      <w:pPr>
        <w:spacing w:line="207" w:lineRule="auto" w:before="5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c/o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Josef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Grab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sen.,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Abteilung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erneuerbare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Energien</w:t>
      </w:r>
      <w:r>
        <w:rPr>
          <w:rFonts w:ascii="Theinhardt Regular"/>
          <w:color w:val="231F20"/>
          <w:spacing w:val="34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Bahnhofstrasse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1,</w:t>
      </w:r>
      <w:r>
        <w:rPr>
          <w:rFonts w:ascii="Theinhardt Regular"/>
          <w:color w:val="231F20"/>
          <w:sz w:val="14"/>
        </w:rPr>
        <w:t> 8852 </w:t>
      </w:r>
      <w:r>
        <w:rPr>
          <w:rFonts w:ascii="Theinhardt Regular"/>
          <w:color w:val="231F20"/>
          <w:spacing w:val="2"/>
          <w:sz w:val="14"/>
        </w:rPr>
        <w:t>Altendorf</w:t>
      </w:r>
      <w:r>
        <w:rPr>
          <w:rFonts w:ascii="Theinhardt Regular"/>
          <w:sz w:val="14"/>
        </w:rPr>
      </w:r>
    </w:p>
    <w:p>
      <w:pPr>
        <w:spacing w:line="16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055 462 20 </w:t>
      </w:r>
      <w:r>
        <w:rPr>
          <w:rFonts w:ascii="Theinhardt Regular"/>
          <w:color w:val="231F20"/>
          <w:spacing w:val="-1"/>
          <w:sz w:val="14"/>
        </w:rPr>
        <w:t>2</w:t>
      </w:r>
      <w:hyperlink r:id="rId5">
        <w:r>
          <w:rPr>
            <w:rFonts w:ascii="Theinhardt Regular"/>
            <w:color w:val="231F20"/>
            <w:spacing w:val="-1"/>
            <w:sz w:val="14"/>
          </w:rPr>
          <w:t>6,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www.sanjo.ch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Ausführungsplanung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Bauleitung</w:t>
      </w:r>
      <w:r>
        <w:rPr>
          <w:rFonts w:ascii="Theinhardt Bold" w:hAns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Feusi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Architektur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Zürcherstrasse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12;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8716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Schmerikon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055 </w:t>
      </w:r>
      <w:r>
        <w:rPr>
          <w:rFonts w:ascii="Theinhardt Regular"/>
          <w:color w:val="231F20"/>
          <w:spacing w:val="-8"/>
          <w:sz w:val="14"/>
        </w:rPr>
        <w:t>511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77</w:t>
      </w:r>
      <w:hyperlink r:id="rId6">
        <w:r>
          <w:rPr>
            <w:rFonts w:ascii="Theinhardt Regular"/>
            <w:color w:val="231F20"/>
            <w:spacing w:val="-4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www.feusi-architektur.ch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Planung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Ausführung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Solaranlagen</w:t>
      </w:r>
      <w:r>
        <w:rPr>
          <w:rFonts w:ascii="Theinhardt Bold" w:hAnsi="Theinhardt Bold"/>
          <w:b/>
          <w:color w:val="231F20"/>
          <w:sz w:val="14"/>
        </w:rPr>
        <w:t> PV: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17" w:right="122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Clevergie</w:t>
      </w:r>
      <w:r>
        <w:rPr>
          <w:rFonts w:ascii="Theinhardt Regular"/>
          <w:color w:val="231F20"/>
          <w:sz w:val="14"/>
        </w:rPr>
        <w:t> AG, </w:t>
      </w:r>
      <w:r>
        <w:rPr>
          <w:rFonts w:ascii="Theinhardt Regular"/>
          <w:color w:val="231F20"/>
          <w:spacing w:val="1"/>
          <w:sz w:val="14"/>
        </w:rPr>
        <w:t>Ruedi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Schmid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Standort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Bennau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SZ</w:t>
      </w:r>
      <w:r>
        <w:rPr>
          <w:rFonts w:ascii="Theinhardt Regular"/>
          <w:sz w:val="14"/>
        </w:rPr>
      </w:r>
    </w:p>
    <w:p>
      <w:pPr>
        <w:spacing w:line="16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055 </w:t>
      </w:r>
      <w:r>
        <w:rPr>
          <w:rFonts w:ascii="Theinhardt Regular"/>
          <w:color w:val="231F20"/>
          <w:spacing w:val="-6"/>
          <w:sz w:val="14"/>
        </w:rPr>
        <w:t>412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24</w:t>
      </w:r>
      <w:r>
        <w:rPr>
          <w:rFonts w:ascii="Theinhardt Regular"/>
          <w:color w:val="231F20"/>
          <w:sz w:val="14"/>
        </w:rPr>
        <w:t> 6</w:t>
      </w:r>
      <w:hyperlink r:id="rId7">
        <w:r>
          <w:rPr>
            <w:rFonts w:ascii="Theinhardt Regular"/>
            <w:color w:val="231F20"/>
            <w:sz w:val="14"/>
          </w:rPr>
          <w:t>6, </w:t>
        </w:r>
        <w:r>
          <w:rPr>
            <w:rFonts w:ascii="Theinhardt Regular"/>
            <w:color w:val="231F20"/>
            <w:spacing w:val="1"/>
            <w:sz w:val="14"/>
          </w:rPr>
          <w:t>www.clevergie.ch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Planung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Ausführung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thermische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Anlagen: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17" w:right="77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Furrer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Solartechnik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GmbH</w:t>
      </w:r>
      <w:r>
        <w:rPr>
          <w:rFonts w:ascii="Theinhardt Regular"/>
          <w:color w:val="231F20"/>
          <w:spacing w:val="25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Langackerstrasse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5,</w:t>
      </w:r>
      <w:r>
        <w:rPr>
          <w:rFonts w:ascii="Theinhardt Regular"/>
          <w:color w:val="231F20"/>
          <w:sz w:val="14"/>
        </w:rPr>
        <w:t> 6330 </w:t>
      </w:r>
      <w:r>
        <w:rPr>
          <w:rFonts w:ascii="Theinhardt Regular"/>
          <w:color w:val="231F20"/>
          <w:spacing w:val="1"/>
          <w:sz w:val="14"/>
        </w:rPr>
        <w:t>Cham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ZG</w:t>
      </w:r>
      <w:r>
        <w:rPr>
          <w:rFonts w:ascii="Theinhardt Regular"/>
          <w:sz w:val="14"/>
        </w:rPr>
      </w:r>
    </w:p>
    <w:p>
      <w:pPr>
        <w:spacing w:line="16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780 </w:t>
      </w:r>
      <w:r>
        <w:rPr>
          <w:rFonts w:ascii="Theinhardt Regular"/>
          <w:color w:val="231F20"/>
          <w:spacing w:val="-1"/>
          <w:sz w:val="14"/>
        </w:rPr>
        <w:t>25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07</w:t>
      </w:r>
      <w:hyperlink r:id="rId8">
        <w:r>
          <w:rPr>
            <w:rFonts w:ascii="Theinhardt Regular"/>
            <w:color w:val="231F20"/>
            <w:spacing w:val="-4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www.furrer-solartechnik.ch</w:t>
        </w:r>
        <w:r>
          <w:rPr>
            <w:rFonts w:ascii="Theinhardt Regular"/>
            <w:sz w:val="14"/>
          </w:rPr>
        </w:r>
      </w:hyperlink>
    </w:p>
    <w:p>
      <w:pPr>
        <w:spacing w:after="0" w:line="16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40" w:bottom="280" w:left="620" w:right="920"/>
          <w:cols w:num="3" w:equalWidth="0">
            <w:col w:w="3472" w:space="99"/>
            <w:col w:w="3463" w:space="109"/>
            <w:col w:w="3567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0" w:lineRule="atLeast"/>
        <w:ind w:left="726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pict>
          <v:group style="width:167.25pt;height:60.25pt;mso-position-horizontal-relative:char;mso-position-vertical-relative:line" coordorigin="0,0" coordsize="3345,1205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  <v:shape style="position:absolute;left:0;top:63;width:3345;height:1142" type="#_x0000_t75" stroked="false">
                <v:imagedata r:id="rId9" o:title="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8" w:val="left" w:leader="none"/>
        </w:tabs>
        <w:spacing w:before="13"/>
        <w:ind w:left="12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36.849998pt;margin-top:-180.524002pt;width:345.827pt;height:180.142pt;mso-position-horizontal-relative:page;mso-position-vertical-relative:paragraph;z-index:1216" type="#_x0000_t75" stroked="false">
            <v:imagedata r:id="rId10" o:title=""/>
          </v:shape>
        </w:pict>
      </w:r>
      <w:r>
        <w:rPr>
          <w:rFonts w:ascii="Theinhardt Bold"/>
          <w:b/>
          <w:color w:val="231F20"/>
          <w:sz w:val="14"/>
        </w:rPr>
        <w:t>1</w:t>
        <w:tab/>
      </w:r>
      <w:r>
        <w:rPr>
          <w:rFonts w:ascii="Theinhardt Bold"/>
          <w:b/>
          <w:color w:val="231F20"/>
          <w:position w:val="1"/>
          <w:sz w:val="14"/>
        </w:rPr>
        <w:t>2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620" w:right="920"/>
        </w:sectPr>
      </w:pP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4"/>
        <w:ind w:left="343" w:right="0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Die 77 kW </w:t>
      </w:r>
      <w:r>
        <w:rPr>
          <w:rFonts w:ascii="Theinhardt Bold" w:hAnsi="Theinhardt Bold"/>
          <w:b/>
          <w:color w:val="231F20"/>
          <w:spacing w:val="-1"/>
          <w:sz w:val="14"/>
        </w:rPr>
        <w:t>starke</w:t>
      </w:r>
      <w:r>
        <w:rPr>
          <w:rFonts w:ascii="Theinhardt Bold" w:hAnsi="Theinhardt Bold"/>
          <w:b/>
          <w:color w:val="231F20"/>
          <w:sz w:val="14"/>
        </w:rPr>
        <w:t> PV-Anlage erstreckt </w:t>
      </w:r>
      <w:r>
        <w:rPr>
          <w:rFonts w:ascii="Theinhardt Bold" w:hAnsi="Theinhardt Bold"/>
          <w:b/>
          <w:color w:val="231F20"/>
          <w:spacing w:val="-1"/>
          <w:sz w:val="14"/>
        </w:rPr>
        <w:t>sich</w:t>
      </w:r>
      <w:r>
        <w:rPr>
          <w:rFonts w:ascii="Theinhardt Bold" w:hAnsi="Theinhardt Bold"/>
          <w:b/>
          <w:color w:val="231F20"/>
          <w:sz w:val="14"/>
        </w:rPr>
        <w:t> über</w:t>
      </w:r>
      <w:r>
        <w:rPr>
          <w:rFonts w:ascii="Theinhardt Bold" w:hAnsi="Theinhardt Bold"/>
          <w:b/>
          <w:color w:val="231F20"/>
          <w:spacing w:val="26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beiden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2"/>
          <w:sz w:val="14"/>
        </w:rPr>
        <w:t>Dächer,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Balkonbrüstungen</w:t>
      </w:r>
      <w:r>
        <w:rPr>
          <w:rFonts w:ascii="Theinhardt Bold" w:hAnsi="Theinhardt Bold"/>
          <w:b/>
          <w:color w:val="231F20"/>
          <w:sz w:val="14"/>
        </w:rPr>
        <w:t> und</w:t>
      </w:r>
      <w:r>
        <w:rPr>
          <w:rFonts w:ascii="Theinhardt Bold" w:hAnsi="Theinhardt Bold"/>
          <w:b/>
          <w:color w:val="231F20"/>
          <w:spacing w:val="53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Lärmschutzwand.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4"/>
        <w:ind w:left="343" w:right="3871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br w:type="column"/>
        <w:t>Die 30 </w:t>
      </w:r>
      <w:r>
        <w:rPr>
          <w:rFonts w:ascii="Theinhardt Bold"/>
          <w:b/>
          <w:color w:val="231F20"/>
          <w:spacing w:val="-1"/>
          <w:sz w:val="14"/>
        </w:rPr>
        <w:t>m</w:t>
      </w:r>
      <w:r>
        <w:rPr>
          <w:rFonts w:ascii="Theinhardt Bold"/>
          <w:b/>
          <w:color w:val="231F20"/>
          <w:spacing w:val="-1"/>
          <w:position w:val="5"/>
          <w:sz w:val="8"/>
        </w:rPr>
        <w:t>2</w:t>
      </w:r>
      <w:r>
        <w:rPr>
          <w:rFonts w:ascii="Theinhardt Bold"/>
          <w:b/>
          <w:color w:val="231F20"/>
          <w:spacing w:val="15"/>
          <w:position w:val="5"/>
          <w:sz w:val="8"/>
        </w:rPr>
        <w:t> </w:t>
      </w:r>
      <w:r>
        <w:rPr>
          <w:rFonts w:ascii="Theinhardt Bold"/>
          <w:b/>
          <w:color w:val="231F20"/>
          <w:spacing w:val="-1"/>
          <w:sz w:val="14"/>
        </w:rPr>
        <w:t>grosse</w:t>
      </w:r>
      <w:r>
        <w:rPr>
          <w:rFonts w:ascii="Theinhardt Bold"/>
          <w:b/>
          <w:color w:val="231F20"/>
          <w:sz w:val="14"/>
        </w:rPr>
        <w:t> solarthermische Anlage und</w:t>
      </w:r>
      <w:r>
        <w:rPr>
          <w:rFonts w:ascii="Theinhardt Bold"/>
          <w:b/>
          <w:color w:val="231F20"/>
          <w:spacing w:val="26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die</w:t>
      </w:r>
      <w:r>
        <w:rPr>
          <w:rFonts w:ascii="Theinhardt Bold"/>
          <w:b/>
          <w:color w:val="231F20"/>
          <w:sz w:val="14"/>
        </w:rPr>
        <w:t> PV-Anlagen </w:t>
      </w:r>
      <w:r>
        <w:rPr>
          <w:rFonts w:ascii="Theinhardt Bold"/>
          <w:b/>
          <w:color w:val="231F20"/>
          <w:spacing w:val="-1"/>
          <w:sz w:val="14"/>
        </w:rPr>
        <w:t>decken</w:t>
      </w:r>
      <w:r>
        <w:rPr>
          <w:rFonts w:ascii="Theinhardt Bold"/>
          <w:b/>
          <w:color w:val="231F20"/>
          <w:sz w:val="14"/>
        </w:rPr>
        <w:t> zusammen 66% des</w:t>
      </w:r>
      <w:r>
        <w:rPr>
          <w:rFonts w:ascii="Theinhardt Bold"/>
          <w:b/>
          <w:color w:val="231F20"/>
          <w:spacing w:val="26"/>
          <w:sz w:val="14"/>
        </w:rPr>
        <w:t> </w:t>
      </w:r>
      <w:r>
        <w:rPr>
          <w:rFonts w:ascii="Theinhardt Bold"/>
          <w:b/>
          <w:color w:val="231F20"/>
          <w:sz w:val="14"/>
        </w:rPr>
        <w:t>Gesamtenergiebedarfs.</w:t>
      </w:r>
      <w:r>
        <w:rPr>
          <w:rFonts w:asci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620" w:right="920"/>
          <w:cols w:num="2" w:equalWidth="0">
            <w:col w:w="3377" w:space="195"/>
            <w:col w:w="7138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18"/>
          <w:szCs w:val="18"/>
        </w:rPr>
      </w:pPr>
    </w:p>
    <w:p>
      <w:pPr>
        <w:spacing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78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sectPr>
      <w:type w:val="continuous"/>
      <w:pgSz w:w="12250" w:h="17180"/>
      <w:pgMar w:top="1040" w:bottom="280" w:left="62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3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47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50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53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56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60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63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66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70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 w:firstLine="22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sanjo.ch/" TargetMode="External"/><Relationship Id="rId6" Type="http://schemas.openxmlformats.org/officeDocument/2006/relationships/hyperlink" Target="http://www.feusi-architektur.ch/" TargetMode="External"/><Relationship Id="rId7" Type="http://schemas.openxmlformats.org/officeDocument/2006/relationships/hyperlink" Target="http://www.clevergie.ch/" TargetMode="External"/><Relationship Id="rId8" Type="http://schemas.openxmlformats.org/officeDocument/2006/relationships/hyperlink" Target="http://www.furrer-solartechnik.ch/" TargetMode="Externa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2018-10-02T10:10:20Z</dcterms:created>
  <dcterms:modified xsi:type="dcterms:W3CDTF">2018-10-02T10:10:20Z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