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30" w:lineRule="exact" w:before="38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14717pt;width:.1pt;height:.1pt;mso-position-horizontal-relative:page;mso-position-vertical-relative:paragraph;z-index:-5800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17pt;width:.1pt;height:.1pt;mso-position-horizontal-relative:page;mso-position-vertical-relative:paragraph;z-index:1144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647171pt;width:.1pt;height:.1pt;mso-position-horizontal-relative:page;mso-position-vertical-relative:paragraph;z-index:-5752" coordorigin="741,513" coordsize="2,2">
            <v:shape style="position:absolute;left:741;top:513;width:2;height:2" coordorigin="741,513" coordsize="0,0" path="m741,513l74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647171pt;width:.1pt;height:.1pt;mso-position-horizontal-relative:page;mso-position-vertical-relative:paragraph;z-index:1192" coordorigin="3185,513" coordsize="2,2">
            <v:shape style="position:absolute;left:3185;top:513;width:2;height:2" coordorigin="3185,513" coordsize="0,0" path="m3185,513l3185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850410pt;margin-top:53.884613pt;width:64.692734pt;height:26.111229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              </w:t>
      </w:r>
      <w:r>
        <w:rPr>
          <w:rFonts w:ascii="Theinhardt Black" w:hAnsi="Theinhardt Black"/>
          <w:b/>
          <w:color w:val="231F20"/>
          <w:spacing w:val="16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w w:val="95"/>
          <w:sz w:val="18"/>
          <w:u w:val="dotted" w:color="231F20"/>
        </w:rPr>
        <w:t>Gebäude: </w:t>
      </w:r>
      <w:r>
        <w:rPr>
          <w:rFonts w:ascii="Theinhardt Black" w:hAnsi="Theinhardt Black"/>
          <w:b/>
          <w:color w:val="231F20"/>
          <w:spacing w:val="4"/>
          <w:w w:val="95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Sanierungen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         </w:t>
      </w:r>
      <w:r>
        <w:rPr>
          <w:rFonts w:ascii="Theinhardt Black" w:hAnsi="Theinhardt Black"/>
          <w:b/>
          <w:color w:val="231F20"/>
          <w:spacing w:val="-6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pacing w:val="-6"/>
          <w:sz w:val="18"/>
        </w:rPr>
      </w:r>
      <w:r>
        <w:rPr>
          <w:rFonts w:ascii="Theinhardt Black" w:hAnsi="Theinhardt Black"/>
          <w:b/>
          <w:color w:val="231F20"/>
          <w:spacing w:val="16"/>
          <w:sz w:val="18"/>
        </w:rPr>
        <w:t> </w:t>
      </w:r>
      <w:r>
        <w:rPr>
          <w:rFonts w:ascii="Theinhardt Regular" w:hAnsi="Theinhardt Regular"/>
          <w:color w:val="231F20"/>
          <w:spacing w:val="-2"/>
          <w:sz w:val="18"/>
        </w:rPr>
        <w:t>HEV-Sondersolarpreis</w:t>
      </w:r>
      <w:r>
        <w:rPr>
          <w:rFonts w:ascii="Theinhardt Regular" w:hAnsi="Theinhardt Regular"/>
          <w:color w:val="231F20"/>
          <w:sz w:val="18"/>
        </w:rPr>
        <w:t> 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17" w:right="11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/>
          <w:b/>
          <w:color w:val="231F20"/>
          <w:spacing w:val="-1"/>
          <w:sz w:val="18"/>
        </w:rPr>
        <w:t>Reiheneinfamilienhäuser,</w:t>
      </w:r>
      <w:r>
        <w:rPr>
          <w:rFonts w:ascii="Theinhardt Bold" w:hAnsi="Theinhardt Bold"/>
          <w:b/>
          <w:color w:val="231F20"/>
          <w:spacing w:val="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insbesondere</w:t>
      </w:r>
      <w:r>
        <w:rPr>
          <w:rFonts w:ascii="Theinhardt Bold" w:hAnsi="Theinhardt Bold"/>
          <w:b/>
          <w:color w:val="231F20"/>
          <w:spacing w:val="14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wenn</w:t>
      </w:r>
      <w:r>
        <w:rPr>
          <w:rFonts w:ascii="Theinhardt Bold" w:hAnsi="Theinhardt Bold"/>
          <w:b/>
          <w:color w:val="231F20"/>
          <w:spacing w:val="1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sie</w:t>
      </w:r>
      <w:r>
        <w:rPr>
          <w:rFonts w:ascii="Theinhardt Bold" w:hAnsi="Theinhardt Bold"/>
          <w:b/>
          <w:color w:val="231F20"/>
          <w:spacing w:val="13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mit</w:t>
      </w:r>
      <w:r>
        <w:rPr>
          <w:rFonts w:ascii="Theinhardt Bold" w:hAnsi="Theinhardt Bold"/>
          <w:b/>
          <w:color w:val="231F20"/>
          <w:spacing w:val="14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denkmalschützenden</w:t>
      </w:r>
      <w:r>
        <w:rPr>
          <w:rFonts w:ascii="Theinhardt Bold" w:hAnsi="Theinhardt Bold"/>
          <w:b/>
          <w:color w:val="231F20"/>
          <w:spacing w:val="14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Auflagen</w:t>
      </w:r>
      <w:r>
        <w:rPr>
          <w:rFonts w:ascii="Theinhardt Bold" w:hAnsi="Theinhardt Bold"/>
          <w:b/>
          <w:color w:val="231F20"/>
          <w:spacing w:val="1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versehen</w:t>
      </w:r>
      <w:r>
        <w:rPr>
          <w:rFonts w:ascii="Theinhardt Bold" w:hAnsi="Theinhardt Bold"/>
          <w:b/>
          <w:color w:val="231F20"/>
          <w:spacing w:val="61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sind,</w:t>
      </w:r>
      <w:r>
        <w:rPr>
          <w:rFonts w:ascii="Theinhardt Bold" w:hAnsi="Theinhardt Bold"/>
          <w:b/>
          <w:color w:val="231F20"/>
          <w:spacing w:val="-18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bergen</w:t>
      </w:r>
      <w:r>
        <w:rPr>
          <w:rFonts w:ascii="Theinhardt Bold" w:hAnsi="Theinhardt Bold"/>
          <w:b/>
          <w:color w:val="231F20"/>
          <w:spacing w:val="-10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bei</w:t>
      </w:r>
      <w:r>
        <w:rPr>
          <w:rFonts w:ascii="Theinhardt Bold" w:hAnsi="Theinhardt Bold"/>
          <w:b/>
          <w:color w:val="231F20"/>
          <w:spacing w:val="-10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der</w:t>
      </w:r>
      <w:r>
        <w:rPr>
          <w:rFonts w:ascii="Theinhardt Bold" w:hAnsi="Theinhardt Bold"/>
          <w:b/>
          <w:color w:val="231F20"/>
          <w:spacing w:val="-10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Erneuerung</w:t>
      </w:r>
      <w:r>
        <w:rPr>
          <w:rFonts w:ascii="Theinhardt Bold" w:hAnsi="Theinhardt Bold"/>
          <w:b/>
          <w:color w:val="231F20"/>
          <w:spacing w:val="-10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besondere</w:t>
      </w:r>
      <w:r>
        <w:rPr>
          <w:rFonts w:ascii="Theinhardt Bold" w:hAnsi="Theinhardt Bold"/>
          <w:b/>
          <w:color w:val="231F20"/>
          <w:spacing w:val="-10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Herausforderungen.</w:t>
      </w:r>
      <w:r>
        <w:rPr>
          <w:rFonts w:ascii="Theinhardt Bold" w:hAnsi="Theinhardt Bold"/>
          <w:b/>
          <w:color w:val="231F20"/>
          <w:spacing w:val="-18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Die</w:t>
      </w:r>
      <w:r>
        <w:rPr>
          <w:rFonts w:ascii="Theinhardt Bold" w:hAnsi="Theinhardt Bold"/>
          <w:b/>
          <w:color w:val="231F20"/>
          <w:spacing w:val="-10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Umsetzung</w:t>
      </w:r>
      <w:r>
        <w:rPr>
          <w:rFonts w:ascii="Theinhardt Bold" w:hAnsi="Theinhardt Bold"/>
          <w:b/>
          <w:color w:val="231F20"/>
          <w:spacing w:val="-10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beim</w:t>
      </w:r>
      <w:r>
        <w:rPr>
          <w:rFonts w:ascii="Theinhardt Bold" w:hAnsi="Theinhardt Bold"/>
          <w:b/>
          <w:color w:val="231F20"/>
          <w:spacing w:val="-10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Zwischen-</w:t>
      </w:r>
      <w:r>
        <w:rPr>
          <w:rFonts w:ascii="Theinhardt Bold" w:hAnsi="Theinhardt Bold"/>
          <w:b/>
          <w:color w:val="231F20"/>
          <w:spacing w:val="55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haus</w:t>
      </w:r>
      <w:r>
        <w:rPr>
          <w:rFonts w:ascii="Theinhardt Bold" w:hAnsi="Theinhardt Bold"/>
          <w:b/>
          <w:color w:val="231F20"/>
          <w:spacing w:val="-13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Göblistrasse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29b</w:t>
      </w:r>
      <w:r>
        <w:rPr>
          <w:rFonts w:ascii="Theinhardt Bold" w:hAnsi="Theinhardt Bold"/>
          <w:b/>
          <w:color w:val="231F20"/>
          <w:spacing w:val="-13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in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Zug</w:t>
      </w:r>
      <w:r>
        <w:rPr>
          <w:rFonts w:ascii="Theinhardt Bold" w:hAnsi="Theinhardt Bold"/>
          <w:b/>
          <w:color w:val="231F20"/>
          <w:spacing w:val="-13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zeigt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exemplarisch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3"/>
          <w:sz w:val="18"/>
        </w:rPr>
        <w:t>auf,</w:t>
      </w:r>
      <w:r>
        <w:rPr>
          <w:rFonts w:ascii="Theinhardt Bold" w:hAnsi="Theinhardt Bold"/>
          <w:b/>
          <w:color w:val="231F20"/>
          <w:spacing w:val="-20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dass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Energieeffizienz</w:t>
      </w:r>
      <w:r>
        <w:rPr>
          <w:rFonts w:ascii="Theinhardt Bold" w:hAnsi="Theinhardt Bold"/>
          <w:b/>
          <w:color w:val="231F20"/>
          <w:spacing w:val="-13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und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Solarenergienut-</w:t>
      </w:r>
      <w:r>
        <w:rPr>
          <w:rFonts w:ascii="Theinhardt Bold" w:hAnsi="Theinhardt Bold"/>
          <w:b/>
          <w:color w:val="231F20"/>
          <w:spacing w:val="47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zung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nicht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zu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Lasten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des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Gesamtbilds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gehen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müssen.</w:t>
      </w:r>
      <w:r>
        <w:rPr>
          <w:rFonts w:ascii="Theinhardt Bold" w:hAnsi="Theinhardt Bold"/>
          <w:b/>
          <w:color w:val="231F20"/>
          <w:spacing w:val="-5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Dank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guter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Wärmedämmung,</w:t>
      </w:r>
      <w:r>
        <w:rPr>
          <w:rFonts w:ascii="Theinhardt Bold" w:hAnsi="Theinhardt Bold"/>
          <w:b/>
          <w:color w:val="231F20"/>
          <w:spacing w:val="-5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einer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nach</w:t>
      </w:r>
      <w:r>
        <w:rPr>
          <w:rFonts w:ascii="Theinhardt Bold" w:hAnsi="Theinhardt Bold"/>
          <w:b/>
          <w:color w:val="231F20"/>
          <w:spacing w:val="29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Süden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ausgerichteten,</w:t>
      </w:r>
      <w:r>
        <w:rPr>
          <w:rFonts w:ascii="Theinhardt Bold" w:hAnsi="Theinhardt Bold"/>
          <w:b/>
          <w:color w:val="231F20"/>
          <w:spacing w:val="-9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5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kW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starken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Photovoltaikanlage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und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einem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zentralen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Holzspeicherofen</w:t>
      </w:r>
      <w:r>
        <w:rPr>
          <w:rFonts w:ascii="Theinhardt Bold" w:hAnsi="Theinhardt Bold"/>
          <w:b/>
          <w:color w:val="231F20"/>
          <w:spacing w:val="67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benötigt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das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Mittelhaus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heute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weniger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als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halb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so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viel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Energie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und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deckt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diese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fast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ausschliess-</w:t>
      </w:r>
      <w:r>
        <w:rPr>
          <w:rFonts w:ascii="Theinhardt Bold" w:hAnsi="Theinhardt Bold"/>
          <w:b/>
          <w:color w:val="231F20"/>
          <w:spacing w:val="70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lich</w:t>
      </w:r>
      <w:r>
        <w:rPr>
          <w:rFonts w:ascii="Theinhardt Bold" w:hAnsi="Theinhardt Bold"/>
          <w:b/>
          <w:color w:val="231F20"/>
          <w:sz w:val="18"/>
        </w:rPr>
        <w:t> aus erneuerbaren Ressourcen.</w:t>
      </w:r>
      <w:r>
        <w:rPr>
          <w:rFonts w:ascii="Theinhardt Bold" w:hAnsi="Theinhardt Bold"/>
          <w:b/>
          <w:color w:val="231F20"/>
          <w:spacing w:val="-8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Es erhält deshalb </w:t>
      </w:r>
      <w:r>
        <w:rPr>
          <w:rFonts w:ascii="Theinhardt Bold" w:hAnsi="Theinhardt Bold"/>
          <w:b/>
          <w:color w:val="231F20"/>
          <w:spacing w:val="-1"/>
          <w:sz w:val="18"/>
        </w:rPr>
        <w:t>den</w:t>
      </w:r>
      <w:r>
        <w:rPr>
          <w:rFonts w:ascii="Theinhardt Bold" w:hAnsi="Theinhardt Bold"/>
          <w:b/>
          <w:color w:val="231F20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HEV-Sondersolarpreis</w:t>
      </w:r>
      <w:r>
        <w:rPr>
          <w:rFonts w:ascii="Theinhardt Bold" w:hAnsi="Theinhardt Bold"/>
          <w:b/>
          <w:color w:val="231F20"/>
          <w:sz w:val="18"/>
        </w:rPr>
        <w:t> 2018.</w:t>
      </w:r>
      <w:r>
        <w:rPr>
          <w:rFonts w:ascii="Theinhardt Bold" w:hAnsi="Theinhardt Bold"/>
          <w:sz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00"/>
          <w:cols w:num="2" w:equalWidth="0">
            <w:col w:w="2557" w:space="122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z w:val="40"/>
        </w:rPr>
        <w:t>REFH-Sanierung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pacing w:val="-26"/>
          <w:sz w:val="40"/>
        </w:rPr>
        <w:t>T</w:t>
      </w:r>
      <w:r>
        <w:rPr>
          <w:rFonts w:ascii="Theinhardt Black"/>
          <w:b/>
          <w:color w:val="0067B1"/>
          <w:spacing w:val="1"/>
          <w:sz w:val="40"/>
        </w:rPr>
        <w:t>o</w:t>
      </w:r>
      <w:r>
        <w:rPr>
          <w:rFonts w:ascii="Theinhardt Black"/>
          <w:b/>
          <w:color w:val="0067B1"/>
          <w:spacing w:val="8"/>
          <w:sz w:val="40"/>
        </w:rPr>
        <w:t>rr</w:t>
      </w:r>
      <w:r>
        <w:rPr>
          <w:rFonts w:ascii="Theinhardt Black"/>
          <w:b/>
          <w:color w:val="0067B1"/>
          <w:spacing w:val="14"/>
          <w:sz w:val="40"/>
        </w:rPr>
        <w:t>e</w:t>
      </w:r>
      <w:r>
        <w:rPr>
          <w:rFonts w:ascii="Theinhardt Black"/>
          <w:b/>
          <w:color w:val="0067B1"/>
          <w:sz w:val="40"/>
        </w:rPr>
        <w:t>s </w:t>
      </w:r>
      <w:r>
        <w:rPr>
          <w:rFonts w:ascii="Theinhardt Black"/>
          <w:b/>
          <w:color w:val="0067B1"/>
          <w:spacing w:val="2"/>
          <w:sz w:val="40"/>
        </w:rPr>
        <w:t>Nova,</w:t>
      </w:r>
      <w:r>
        <w:rPr>
          <w:rFonts w:ascii="Theinhardt Black"/>
          <w:b/>
          <w:color w:val="0067B1"/>
          <w:spacing w:val="-25"/>
          <w:sz w:val="40"/>
        </w:rPr>
        <w:t> </w:t>
      </w:r>
      <w:r>
        <w:rPr>
          <w:rFonts w:ascii="Theinhardt Black"/>
          <w:b/>
          <w:color w:val="0067B1"/>
          <w:sz w:val="40"/>
        </w:rPr>
        <w:t>6300 </w:t>
      </w:r>
      <w:r>
        <w:rPr>
          <w:rFonts w:ascii="Theinhardt Black"/>
          <w:b/>
          <w:color w:val="0067B1"/>
          <w:spacing w:val="2"/>
          <w:sz w:val="40"/>
        </w:rPr>
        <w:t>Zug/ZG</w:t>
      </w:r>
      <w:r>
        <w:rPr>
          <w:rFonts w:asci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pStyle w:val="Heading1"/>
        <w:spacing w:line="230" w:lineRule="exact" w:before="74"/>
        <w:ind w:right="0"/>
        <w:jc w:val="both"/>
      </w:pPr>
      <w:r>
        <w:rPr>
          <w:color w:val="383638"/>
        </w:rPr>
        <w:t>Am Ende der </w:t>
      </w:r>
      <w:r>
        <w:rPr>
          <w:color w:val="383638"/>
          <w:spacing w:val="-1"/>
        </w:rPr>
        <w:t>Göblistrasse</w:t>
      </w:r>
      <w:r>
        <w:rPr>
          <w:color w:val="383638"/>
        </w:rPr>
        <w:t> in Zug steht eine</w:t>
      </w:r>
      <w:r>
        <w:rPr>
          <w:color w:val="383638"/>
          <w:spacing w:val="20"/>
        </w:rPr>
        <w:t> </w:t>
      </w:r>
      <w:r>
        <w:rPr>
          <w:color w:val="383638"/>
        </w:rPr>
        <w:t>Siedlung</w:t>
      </w:r>
      <w:r>
        <w:rPr>
          <w:color w:val="383638"/>
          <w:spacing w:val="-10"/>
        </w:rPr>
        <w:t> </w:t>
      </w:r>
      <w:r>
        <w:rPr>
          <w:color w:val="383638"/>
        </w:rPr>
        <w:t>von</w:t>
      </w:r>
      <w:r>
        <w:rPr>
          <w:color w:val="383638"/>
          <w:spacing w:val="-10"/>
        </w:rPr>
        <w:t> </w:t>
      </w:r>
      <w:r>
        <w:rPr>
          <w:color w:val="383638"/>
        </w:rPr>
        <w:t>vier</w:t>
      </w:r>
      <w:r>
        <w:rPr>
          <w:color w:val="383638"/>
          <w:spacing w:val="-10"/>
        </w:rPr>
        <w:t> </w:t>
      </w:r>
      <w:r>
        <w:rPr>
          <w:color w:val="383638"/>
          <w:spacing w:val="-1"/>
        </w:rPr>
        <w:t>Reihenhäusern</w:t>
      </w:r>
      <w:r>
        <w:rPr>
          <w:color w:val="383638"/>
          <w:spacing w:val="-10"/>
        </w:rPr>
        <w:t> </w:t>
      </w:r>
      <w:r>
        <w:rPr>
          <w:color w:val="383638"/>
        </w:rPr>
        <w:t>mit</w:t>
      </w:r>
      <w:r>
        <w:rPr>
          <w:color w:val="383638"/>
          <w:spacing w:val="-10"/>
        </w:rPr>
        <w:t> </w:t>
      </w:r>
      <w:r>
        <w:rPr>
          <w:color w:val="383638"/>
          <w:spacing w:val="-1"/>
        </w:rPr>
        <w:t>jeweils</w:t>
      </w:r>
      <w:r>
        <w:rPr>
          <w:color w:val="383638"/>
          <w:spacing w:val="34"/>
        </w:rPr>
        <w:t> </w:t>
      </w:r>
      <w:r>
        <w:rPr>
          <w:color w:val="383638"/>
        </w:rPr>
        <w:t>fünf</w:t>
      </w:r>
      <w:r>
        <w:rPr>
          <w:color w:val="383638"/>
          <w:spacing w:val="23"/>
        </w:rPr>
        <w:t> </w:t>
      </w:r>
      <w:r>
        <w:rPr>
          <w:color w:val="383638"/>
          <w:spacing w:val="-1"/>
        </w:rPr>
        <w:t>Wohneinheiten.</w:t>
      </w:r>
      <w:r>
        <w:rPr>
          <w:color w:val="383638"/>
          <w:spacing w:val="13"/>
        </w:rPr>
        <w:t> </w:t>
      </w:r>
      <w:r>
        <w:rPr>
          <w:color w:val="383638"/>
          <w:spacing w:val="-1"/>
        </w:rPr>
        <w:t>Diese</w:t>
      </w:r>
      <w:r>
        <w:rPr>
          <w:color w:val="383638"/>
          <w:spacing w:val="24"/>
        </w:rPr>
        <w:t> </w:t>
      </w:r>
      <w:r>
        <w:rPr>
          <w:color w:val="383638"/>
        </w:rPr>
        <w:t>kleine</w:t>
      </w:r>
      <w:r>
        <w:rPr>
          <w:color w:val="383638"/>
          <w:spacing w:val="23"/>
        </w:rPr>
        <w:t> </w:t>
      </w:r>
      <w:r>
        <w:rPr>
          <w:color w:val="383638"/>
        </w:rPr>
        <w:t>Siedlung</w:t>
      </w:r>
      <w:r>
        <w:rPr>
          <w:color w:val="383638"/>
          <w:spacing w:val="28"/>
        </w:rPr>
        <w:t> </w:t>
      </w:r>
      <w:r>
        <w:rPr>
          <w:color w:val="383638"/>
          <w:spacing w:val="-2"/>
        </w:rPr>
        <w:t>wurde</w:t>
      </w:r>
      <w:r>
        <w:rPr>
          <w:color w:val="383638"/>
          <w:spacing w:val="27"/>
        </w:rPr>
        <w:t> </w:t>
      </w:r>
      <w:r>
        <w:rPr>
          <w:color w:val="383638"/>
        </w:rPr>
        <w:t>im</w:t>
      </w:r>
      <w:r>
        <w:rPr>
          <w:color w:val="383638"/>
          <w:spacing w:val="28"/>
        </w:rPr>
        <w:t> </w:t>
      </w:r>
      <w:r>
        <w:rPr>
          <w:color w:val="383638"/>
        </w:rPr>
        <w:t>Jahr</w:t>
      </w:r>
      <w:r>
        <w:rPr>
          <w:color w:val="383638"/>
          <w:spacing w:val="27"/>
        </w:rPr>
        <w:t> </w:t>
      </w:r>
      <w:r>
        <w:rPr>
          <w:color w:val="383638"/>
        </w:rPr>
        <w:t>1935</w:t>
      </w:r>
      <w:r>
        <w:rPr>
          <w:color w:val="383638"/>
          <w:spacing w:val="28"/>
        </w:rPr>
        <w:t> </w:t>
      </w:r>
      <w:r>
        <w:rPr>
          <w:color w:val="383638"/>
        </w:rPr>
        <w:t>erbaut</w:t>
      </w:r>
      <w:r>
        <w:rPr>
          <w:color w:val="383638"/>
          <w:spacing w:val="28"/>
        </w:rPr>
        <w:t> </w:t>
      </w:r>
      <w:r>
        <w:rPr>
          <w:color w:val="383638"/>
        </w:rPr>
        <w:t>und</w:t>
      </w:r>
      <w:r>
        <w:rPr>
          <w:color w:val="383638"/>
          <w:spacing w:val="27"/>
        </w:rPr>
        <w:t> </w:t>
      </w:r>
      <w:r>
        <w:rPr>
          <w:color w:val="383638"/>
        </w:rPr>
        <w:t>ist</w:t>
      </w:r>
      <w:r>
        <w:rPr>
          <w:color w:val="383638"/>
          <w:spacing w:val="28"/>
        </w:rPr>
        <w:t> </w:t>
      </w:r>
      <w:r>
        <w:rPr>
          <w:color w:val="383638"/>
        </w:rPr>
        <w:t>heute</w:t>
      </w:r>
      <w:r>
        <w:rPr>
          <w:color w:val="383638"/>
          <w:spacing w:val="24"/>
        </w:rPr>
        <w:t> </w:t>
      </w:r>
      <w:r>
        <w:rPr>
          <w:color w:val="383638"/>
        </w:rPr>
        <w:t>im</w:t>
      </w:r>
      <w:r>
        <w:rPr>
          <w:color w:val="383638"/>
          <w:spacing w:val="25"/>
        </w:rPr>
        <w:t> </w:t>
      </w:r>
      <w:r>
        <w:rPr>
          <w:color w:val="383638"/>
          <w:spacing w:val="-1"/>
        </w:rPr>
        <w:t>Inventar</w:t>
      </w:r>
      <w:r>
        <w:rPr>
          <w:color w:val="383638"/>
          <w:spacing w:val="26"/>
        </w:rPr>
        <w:t> </w:t>
      </w:r>
      <w:r>
        <w:rPr>
          <w:color w:val="383638"/>
        </w:rPr>
        <w:t>für</w:t>
      </w:r>
      <w:r>
        <w:rPr>
          <w:color w:val="383638"/>
          <w:spacing w:val="25"/>
        </w:rPr>
        <w:t> </w:t>
      </w:r>
      <w:r>
        <w:rPr>
          <w:color w:val="383638"/>
        </w:rPr>
        <w:t>schützenswerte</w:t>
      </w:r>
      <w:r>
        <w:rPr>
          <w:color w:val="383638"/>
          <w:spacing w:val="26"/>
        </w:rPr>
        <w:t> </w:t>
      </w:r>
      <w:r>
        <w:rPr>
          <w:color w:val="383638"/>
        </w:rPr>
        <w:t>Denkmäler</w:t>
      </w:r>
      <w:r>
        <w:rPr>
          <w:color w:val="383638"/>
          <w:spacing w:val="27"/>
        </w:rPr>
        <w:t> </w:t>
      </w:r>
      <w:r>
        <w:rPr>
          <w:color w:val="383638"/>
        </w:rPr>
        <w:t>aufgeführt.</w:t>
      </w:r>
      <w:r>
        <w:rPr/>
      </w:r>
    </w:p>
    <w:p>
      <w:pPr>
        <w:pStyle w:val="BodyText"/>
        <w:spacing w:line="230" w:lineRule="exact" w:before="74"/>
        <w:ind w:right="0"/>
        <w:jc w:val="both"/>
        <w:rPr>
          <w:i w:val="0"/>
        </w:rPr>
      </w:pPr>
      <w:r>
        <w:rPr>
          <w:i w:val="0"/>
        </w:rPr>
        <w:br w:type="column"/>
      </w:r>
      <w:r>
        <w:rPr>
          <w:color w:val="383638"/>
        </w:rPr>
        <w:t>Au</w:t>
      </w:r>
      <w:r>
        <w:rPr>
          <w:color w:val="383638"/>
          <w:spacing w:val="8"/>
        </w:rPr>
        <w:t> </w:t>
      </w:r>
      <w:r>
        <w:rPr>
          <w:color w:val="383638"/>
        </w:rPr>
        <w:t>bout</w:t>
      </w:r>
      <w:r>
        <w:rPr>
          <w:color w:val="383638"/>
          <w:spacing w:val="8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8"/>
        </w:rPr>
        <w:t> </w:t>
      </w:r>
      <w:r>
        <w:rPr>
          <w:color w:val="383638"/>
        </w:rPr>
        <w:t>la</w:t>
      </w:r>
      <w:r>
        <w:rPr>
          <w:color w:val="383638"/>
          <w:spacing w:val="8"/>
        </w:rPr>
        <w:t> </w:t>
      </w:r>
      <w:r>
        <w:rPr>
          <w:color w:val="383638"/>
        </w:rPr>
        <w:t>Göblistrasse</w:t>
      </w:r>
      <w:r>
        <w:rPr>
          <w:color w:val="383638"/>
          <w:spacing w:val="8"/>
        </w:rPr>
        <w:t> </w:t>
      </w:r>
      <w:r>
        <w:rPr>
          <w:color w:val="383638"/>
        </w:rPr>
        <w:t>à</w:t>
      </w:r>
      <w:r>
        <w:rPr>
          <w:color w:val="383638"/>
          <w:spacing w:val="8"/>
        </w:rPr>
        <w:t> </w:t>
      </w:r>
      <w:r>
        <w:rPr>
          <w:color w:val="383638"/>
          <w:spacing w:val="-2"/>
        </w:rPr>
        <w:t>Zoug</w:t>
      </w:r>
      <w:r>
        <w:rPr>
          <w:color w:val="383638"/>
          <w:spacing w:val="8"/>
        </w:rPr>
        <w:t> </w:t>
      </w:r>
      <w:r>
        <w:rPr>
          <w:color w:val="383638"/>
          <w:spacing w:val="-1"/>
        </w:rPr>
        <w:t>se</w:t>
      </w:r>
      <w:r>
        <w:rPr>
          <w:color w:val="383638"/>
          <w:spacing w:val="8"/>
        </w:rPr>
        <w:t> </w:t>
      </w:r>
      <w:r>
        <w:rPr>
          <w:color w:val="383638"/>
          <w:spacing w:val="-2"/>
        </w:rPr>
        <w:t>trouve</w:t>
      </w:r>
      <w:r>
        <w:rPr>
          <w:color w:val="383638"/>
          <w:spacing w:val="21"/>
        </w:rPr>
        <w:t> </w:t>
      </w:r>
      <w:r>
        <w:rPr>
          <w:color w:val="383638"/>
        </w:rPr>
        <w:t>un</w:t>
      </w:r>
      <w:r>
        <w:rPr>
          <w:color w:val="383638"/>
          <w:spacing w:val="-15"/>
        </w:rPr>
        <w:t> </w:t>
      </w:r>
      <w:r>
        <w:rPr>
          <w:color w:val="383638"/>
          <w:spacing w:val="-1"/>
        </w:rPr>
        <w:t>lotissement</w:t>
      </w:r>
      <w:r>
        <w:rPr>
          <w:color w:val="383638"/>
          <w:spacing w:val="-15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-15"/>
        </w:rPr>
        <w:t> </w:t>
      </w:r>
      <w:r>
        <w:rPr>
          <w:color w:val="383638"/>
          <w:spacing w:val="-1"/>
        </w:rPr>
        <w:t>quatre</w:t>
      </w:r>
      <w:r>
        <w:rPr>
          <w:color w:val="383638"/>
          <w:spacing w:val="-15"/>
        </w:rPr>
        <w:t> </w:t>
      </w:r>
      <w:r>
        <w:rPr>
          <w:color w:val="383638"/>
          <w:spacing w:val="-1"/>
        </w:rPr>
        <w:t>bâtiments</w:t>
      </w:r>
      <w:r>
        <w:rPr>
          <w:color w:val="383638"/>
          <w:spacing w:val="-15"/>
        </w:rPr>
        <w:t> </w:t>
      </w:r>
      <w:r>
        <w:rPr>
          <w:color w:val="383638"/>
          <w:spacing w:val="-1"/>
        </w:rPr>
        <w:t>en</w:t>
      </w:r>
      <w:r>
        <w:rPr>
          <w:color w:val="383638"/>
          <w:spacing w:val="-15"/>
        </w:rPr>
        <w:t> </w:t>
      </w:r>
      <w:r>
        <w:rPr>
          <w:color w:val="383638"/>
          <w:spacing w:val="-1"/>
        </w:rPr>
        <w:t>terras-</w:t>
      </w:r>
      <w:r>
        <w:rPr>
          <w:color w:val="383638"/>
          <w:spacing w:val="31"/>
        </w:rPr>
        <w:t> </w:t>
      </w:r>
      <w:r>
        <w:rPr>
          <w:color w:val="383638"/>
        </w:rPr>
        <w:t>ses,</w:t>
      </w:r>
      <w:r>
        <w:rPr>
          <w:color w:val="383638"/>
          <w:spacing w:val="-8"/>
        </w:rPr>
        <w:t> </w:t>
      </w:r>
      <w:r>
        <w:rPr>
          <w:color w:val="383638"/>
          <w:spacing w:val="-2"/>
        </w:rPr>
        <w:t>de</w:t>
      </w:r>
      <w:r>
        <w:rPr>
          <w:color w:val="383638"/>
        </w:rPr>
        <w:t> </w:t>
      </w:r>
      <w:r>
        <w:rPr>
          <w:color w:val="383638"/>
          <w:spacing w:val="-2"/>
        </w:rPr>
        <w:t>cinq</w:t>
      </w:r>
      <w:r>
        <w:rPr>
          <w:color w:val="383638"/>
        </w:rPr>
        <w:t> </w:t>
      </w:r>
      <w:r>
        <w:rPr>
          <w:color w:val="383638"/>
          <w:spacing w:val="-1"/>
        </w:rPr>
        <w:t>appartements chacun.</w:t>
      </w:r>
      <w:r>
        <w:rPr>
          <w:color w:val="383638"/>
          <w:spacing w:val="-8"/>
        </w:rPr>
        <w:t> </w:t>
      </w:r>
      <w:r>
        <w:rPr>
          <w:color w:val="383638"/>
        </w:rPr>
        <w:t>Construit</w:t>
      </w:r>
      <w:r>
        <w:rPr>
          <w:color w:val="383638"/>
          <w:spacing w:val="39"/>
        </w:rPr>
        <w:t> </w:t>
      </w:r>
      <w:r>
        <w:rPr>
          <w:color w:val="383638"/>
          <w:spacing w:val="-1"/>
        </w:rPr>
        <w:t>en</w:t>
      </w:r>
      <w:r>
        <w:rPr>
          <w:color w:val="383638"/>
          <w:spacing w:val="24"/>
        </w:rPr>
        <w:t> </w:t>
      </w:r>
      <w:r>
        <w:rPr>
          <w:color w:val="383638"/>
        </w:rPr>
        <w:t>1935,</w:t>
      </w:r>
      <w:r>
        <w:rPr>
          <w:color w:val="383638"/>
          <w:spacing w:val="17"/>
        </w:rPr>
        <w:t> </w:t>
      </w:r>
      <w:r>
        <w:rPr>
          <w:color w:val="383638"/>
        </w:rPr>
        <w:t>il</w:t>
      </w:r>
      <w:r>
        <w:rPr>
          <w:color w:val="383638"/>
          <w:spacing w:val="24"/>
        </w:rPr>
        <w:t> </w:t>
      </w:r>
      <w:r>
        <w:rPr>
          <w:color w:val="383638"/>
          <w:spacing w:val="-2"/>
        </w:rPr>
        <w:t>figure</w:t>
      </w:r>
      <w:r>
        <w:rPr>
          <w:color w:val="383638"/>
          <w:spacing w:val="25"/>
        </w:rPr>
        <w:t> </w:t>
      </w:r>
      <w:r>
        <w:rPr>
          <w:color w:val="383638"/>
          <w:spacing w:val="-1"/>
        </w:rPr>
        <w:t>aujourd’hui</w:t>
      </w:r>
      <w:r>
        <w:rPr>
          <w:color w:val="383638"/>
          <w:spacing w:val="24"/>
        </w:rPr>
        <w:t> </w:t>
      </w:r>
      <w:r>
        <w:rPr>
          <w:color w:val="383638"/>
        </w:rPr>
        <w:t>à</w:t>
      </w:r>
      <w:r>
        <w:rPr>
          <w:color w:val="383638"/>
          <w:spacing w:val="25"/>
        </w:rPr>
        <w:t> </w:t>
      </w:r>
      <w:r>
        <w:rPr>
          <w:color w:val="383638"/>
          <w:spacing w:val="-1"/>
        </w:rPr>
        <w:t>l’inventaire</w:t>
      </w:r>
      <w:r>
        <w:rPr>
          <w:color w:val="383638"/>
          <w:spacing w:val="33"/>
        </w:rPr>
        <w:t> </w:t>
      </w:r>
      <w:r>
        <w:rPr>
          <w:color w:val="383638"/>
          <w:spacing w:val="-1"/>
        </w:rPr>
        <w:t>des</w:t>
      </w:r>
      <w:r>
        <w:rPr>
          <w:color w:val="383638"/>
        </w:rPr>
        <w:t> </w:t>
      </w:r>
      <w:r>
        <w:rPr>
          <w:color w:val="383638"/>
          <w:spacing w:val="-1"/>
        </w:rPr>
        <w:t>monuments</w:t>
      </w:r>
      <w:r>
        <w:rPr>
          <w:color w:val="383638"/>
        </w:rPr>
        <w:t> </w:t>
      </w:r>
      <w:r>
        <w:rPr>
          <w:color w:val="383638"/>
          <w:spacing w:val="-1"/>
        </w:rPr>
        <w:t>historiques.</w:t>
      </w:r>
      <w:r>
        <w:rPr>
          <w:i w:val="0"/>
        </w:rPr>
      </w:r>
    </w:p>
    <w:p>
      <w:pPr>
        <w:pStyle w:val="BodyText"/>
        <w:spacing w:line="198" w:lineRule="exact" w:before="9"/>
        <w:ind w:left="343" w:right="0"/>
        <w:jc w:val="left"/>
        <w:rPr>
          <w:i w:val="0"/>
        </w:rPr>
      </w:pPr>
      <w:r>
        <w:rPr>
          <w:color w:val="383638"/>
        </w:rPr>
        <w:t>En</w:t>
      </w:r>
      <w:r>
        <w:rPr>
          <w:color w:val="383638"/>
          <w:spacing w:val="9"/>
        </w:rPr>
        <w:t> </w:t>
      </w:r>
      <w:r>
        <w:rPr>
          <w:color w:val="383638"/>
        </w:rPr>
        <w:t>1998,</w:t>
      </w:r>
      <w:r>
        <w:rPr>
          <w:color w:val="383638"/>
          <w:spacing w:val="2"/>
        </w:rPr>
        <w:t> </w:t>
      </w:r>
      <w:r>
        <w:rPr>
          <w:color w:val="383638"/>
        </w:rPr>
        <w:t>la</w:t>
      </w:r>
      <w:r>
        <w:rPr>
          <w:color w:val="383638"/>
          <w:spacing w:val="9"/>
        </w:rPr>
        <w:t> </w:t>
      </w:r>
      <w:r>
        <w:rPr>
          <w:color w:val="383638"/>
          <w:spacing w:val="-1"/>
        </w:rPr>
        <w:t>famille</w:t>
      </w:r>
      <w:r>
        <w:rPr>
          <w:color w:val="383638"/>
          <w:spacing w:val="1"/>
        </w:rPr>
        <w:t> </w:t>
      </w:r>
      <w:r>
        <w:rPr>
          <w:color w:val="383638"/>
          <w:spacing w:val="-4"/>
        </w:rPr>
        <w:t>Torres</w:t>
      </w:r>
      <w:r>
        <w:rPr>
          <w:color w:val="383638"/>
          <w:spacing w:val="9"/>
        </w:rPr>
        <w:t> </w:t>
      </w:r>
      <w:r>
        <w:rPr>
          <w:color w:val="383638"/>
          <w:spacing w:val="-1"/>
        </w:rPr>
        <w:t>Nova</w:t>
      </w:r>
      <w:r>
        <w:rPr>
          <w:color w:val="383638"/>
          <w:spacing w:val="9"/>
        </w:rPr>
        <w:t> </w:t>
      </w:r>
      <w:r>
        <w:rPr>
          <w:color w:val="383638"/>
        </w:rPr>
        <w:t>a</w:t>
      </w:r>
      <w:r>
        <w:rPr>
          <w:color w:val="383638"/>
          <w:spacing w:val="9"/>
        </w:rPr>
        <w:t> </w:t>
      </w:r>
      <w:r>
        <w:rPr>
          <w:color w:val="383638"/>
          <w:spacing w:val="-2"/>
        </w:rPr>
        <w:t>acheté</w:t>
      </w:r>
      <w:r>
        <w:rPr>
          <w:i w:val="0"/>
        </w:rPr>
      </w:r>
    </w:p>
    <w:p>
      <w:pPr>
        <w:spacing w:before="6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</w:t>
      </w:r>
      <w:r>
        <w:rPr>
          <w:rFonts w:ascii="Theinhardt Black"/>
          <w:b/>
          <w:color w:val="231F20"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6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191" w:val="left" w:leader="none"/>
          <w:tab w:pos="2599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  <w:t>24 cm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  <w:t>0.13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191" w:val="left" w:leader="none"/>
          <w:tab w:pos="2606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Dach:</w:t>
        <w:tab/>
      </w:r>
      <w:r>
        <w:rPr>
          <w:rFonts w:ascii="Theinhardt Regular"/>
          <w:color w:val="231F20"/>
          <w:spacing w:val="-1"/>
          <w:sz w:val="14"/>
        </w:rPr>
        <w:t>26</w:t>
      </w:r>
      <w:r>
        <w:rPr>
          <w:rFonts w:ascii="Theinhardt Regular"/>
          <w:color w:val="231F20"/>
          <w:sz w:val="14"/>
        </w:rPr>
        <w:t> cm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</w:r>
      <w:r>
        <w:rPr>
          <w:rFonts w:ascii="Theinhardt Regular"/>
          <w:color w:val="231F20"/>
          <w:spacing w:val="-2"/>
          <w:sz w:val="14"/>
        </w:rPr>
        <w:t>0.16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089" w:val="left" w:leader="none"/>
          <w:tab w:pos="2606" w:val="left" w:leader="none"/>
        </w:tabs>
        <w:spacing w:line="207" w:lineRule="auto" w:before="5"/>
        <w:ind w:left="117" w:right="22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Boden:</w:t>
        <w:tab/>
        <w:t>15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</w:r>
      <w:r>
        <w:rPr>
          <w:rFonts w:ascii="Theinhardt Regular"/>
          <w:color w:val="231F20"/>
          <w:spacing w:val="-2"/>
          <w:sz w:val="14"/>
        </w:rPr>
        <w:t>0.16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21"/>
          <w:sz w:val="14"/>
        </w:rPr>
        <w:t> </w:t>
      </w:r>
      <w:r>
        <w:rPr>
          <w:rFonts w:ascii="Theinhardt Regular"/>
          <w:color w:val="231F20"/>
          <w:sz w:val="14"/>
        </w:rPr>
        <w:t>Fenster:</w:t>
        <w:tab/>
        <w:t>dreifach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  <w:t>0.5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</w:t>
      </w:r>
      <w:r>
        <w:rPr>
          <w:rFonts w:ascii="Theinhardt Bold"/>
          <w:b/>
          <w:color w:val="231F20"/>
          <w:spacing w:val="1"/>
          <w:sz w:val="14"/>
        </w:rPr>
        <w:t>vor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Sanierung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(100%)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63" w:space="109"/>
            <w:col w:w="3463" w:space="109"/>
            <w:col w:w="3586"/>
          </w:cols>
        </w:sectPr>
      </w:pPr>
    </w:p>
    <w:p>
      <w:pPr>
        <w:pStyle w:val="Heading1"/>
        <w:spacing w:line="130" w:lineRule="exact"/>
        <w:ind w:left="343" w:right="0"/>
        <w:jc w:val="left"/>
      </w:pPr>
      <w:r>
        <w:rPr>
          <w:color w:val="383638"/>
        </w:rPr>
        <w:t>1998</w:t>
      </w:r>
      <w:r>
        <w:rPr>
          <w:color w:val="383638"/>
          <w:spacing w:val="-8"/>
        </w:rPr>
        <w:t> </w:t>
      </w:r>
      <w:r>
        <w:rPr>
          <w:color w:val="383638"/>
          <w:spacing w:val="-2"/>
        </w:rPr>
        <w:t>konnte</w:t>
      </w:r>
      <w:r>
        <w:rPr>
          <w:color w:val="383638"/>
          <w:spacing w:val="-8"/>
        </w:rPr>
        <w:t> </w:t>
      </w:r>
      <w:r>
        <w:rPr>
          <w:color w:val="383638"/>
          <w:spacing w:val="-1"/>
        </w:rPr>
        <w:t>Familie</w:t>
      </w:r>
      <w:r>
        <w:rPr>
          <w:color w:val="383638"/>
          <w:spacing w:val="-23"/>
        </w:rPr>
        <w:t> </w:t>
      </w:r>
      <w:r>
        <w:rPr>
          <w:color w:val="383638"/>
          <w:spacing w:val="-4"/>
        </w:rPr>
        <w:t>Torres</w:t>
      </w:r>
      <w:r>
        <w:rPr>
          <w:color w:val="383638"/>
          <w:spacing w:val="-8"/>
        </w:rPr>
        <w:t> </w:t>
      </w:r>
      <w:r>
        <w:rPr>
          <w:color w:val="383638"/>
        </w:rPr>
        <w:t>Nova</w:t>
      </w:r>
      <w:r>
        <w:rPr>
          <w:color w:val="383638"/>
          <w:spacing w:val="-8"/>
        </w:rPr>
        <w:t> </w:t>
      </w:r>
      <w:r>
        <w:rPr>
          <w:color w:val="383638"/>
        </w:rPr>
        <w:t>ein</w:t>
      </w:r>
      <w:r>
        <w:rPr>
          <w:color w:val="383638"/>
          <w:spacing w:val="-8"/>
        </w:rPr>
        <w:t> </w:t>
      </w:r>
      <w:r>
        <w:rPr>
          <w:color w:val="383638"/>
        </w:rPr>
        <w:t>Mit-</w:t>
      </w:r>
      <w:r>
        <w:rPr/>
      </w:r>
    </w:p>
    <w:p>
      <w:pPr>
        <w:pStyle w:val="BodyText"/>
        <w:spacing w:line="130" w:lineRule="exact" w:before="9"/>
        <w:ind w:left="186" w:right="0"/>
        <w:jc w:val="left"/>
        <w:rPr>
          <w:i w:val="0"/>
        </w:rPr>
      </w:pPr>
      <w:r>
        <w:rPr>
          <w:i w:val="0"/>
        </w:rPr>
        <w:br w:type="column"/>
      </w:r>
      <w:r>
        <w:rPr>
          <w:color w:val="383638"/>
          <w:spacing w:val="-1"/>
        </w:rPr>
        <w:t>une</w:t>
      </w:r>
      <w:r>
        <w:rPr>
          <w:color w:val="383638"/>
          <w:spacing w:val="19"/>
        </w:rPr>
        <w:t> </w:t>
      </w:r>
      <w:r>
        <w:rPr>
          <w:color w:val="383638"/>
          <w:spacing w:val="-1"/>
        </w:rPr>
        <w:t>maison</w:t>
      </w:r>
      <w:r>
        <w:rPr>
          <w:color w:val="383638"/>
          <w:spacing w:val="19"/>
        </w:rPr>
        <w:t> </w:t>
      </w:r>
      <w:r>
        <w:rPr>
          <w:color w:val="383638"/>
          <w:spacing w:val="-2"/>
        </w:rPr>
        <w:t>contiguë.</w:t>
      </w:r>
      <w:r>
        <w:rPr>
          <w:color w:val="383638"/>
          <w:spacing w:val="12"/>
        </w:rPr>
        <w:t> </w:t>
      </w:r>
      <w:r>
        <w:rPr>
          <w:color w:val="383638"/>
        </w:rPr>
        <w:t>Quinze</w:t>
      </w:r>
      <w:r>
        <w:rPr>
          <w:color w:val="383638"/>
          <w:spacing w:val="19"/>
        </w:rPr>
        <w:t> </w:t>
      </w:r>
      <w:r>
        <w:rPr>
          <w:color w:val="383638"/>
        </w:rPr>
        <w:t>ans</w:t>
      </w:r>
      <w:r>
        <w:rPr>
          <w:color w:val="383638"/>
          <w:spacing w:val="19"/>
        </w:rPr>
        <w:t> </w:t>
      </w:r>
      <w:r>
        <w:rPr>
          <w:color w:val="383638"/>
        </w:rPr>
        <w:t>plus</w:t>
      </w:r>
      <w:r>
        <w:rPr>
          <w:color w:val="383638"/>
          <w:spacing w:val="19"/>
        </w:rPr>
        <w:t> </w:t>
      </w:r>
      <w:r>
        <w:rPr>
          <w:color w:val="383638"/>
          <w:spacing w:val="-1"/>
        </w:rPr>
        <w:t>tard,</w:t>
      </w:r>
      <w:r>
        <w:rPr>
          <w:i w:val="0"/>
        </w:rPr>
      </w:r>
    </w:p>
    <w:p>
      <w:pPr>
        <w:spacing w:line="134" w:lineRule="exact" w:before="0"/>
        <w:ind w:left="179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EBF: 99 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525" w:val="left" w:leader="none"/>
        </w:tabs>
        <w:spacing w:line="134" w:lineRule="exact" w:before="0"/>
        <w:ind w:left="34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    </w:t>
      </w:r>
      <w:r>
        <w:rPr>
          <w:rFonts w:ascii="Theinhardt Regular"/>
          <w:color w:val="231F20"/>
          <w:spacing w:val="2"/>
          <w:sz w:val="14"/>
        </w:rPr>
        <w:t> </w:t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4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4" w:equalWidth="0">
            <w:col w:w="3462" w:space="40"/>
            <w:col w:w="3539" w:space="40"/>
            <w:col w:w="870" w:space="627"/>
            <w:col w:w="2152"/>
          </w:cols>
        </w:sectPr>
      </w:pPr>
    </w:p>
    <w:p>
      <w:pPr>
        <w:pStyle w:val="Heading1"/>
        <w:spacing w:line="230" w:lineRule="exact" w:before="90"/>
        <w:ind w:right="8"/>
        <w:jc w:val="both"/>
      </w:pPr>
      <w:r>
        <w:rPr>
          <w:color w:val="383638"/>
        </w:rPr>
        <w:t>telhaus</w:t>
      </w:r>
      <w:r>
        <w:rPr>
          <w:color w:val="383638"/>
          <w:spacing w:val="10"/>
        </w:rPr>
        <w:t> </w:t>
      </w:r>
      <w:r>
        <w:rPr>
          <w:color w:val="383638"/>
        </w:rPr>
        <w:t>erwerben</w:t>
      </w:r>
      <w:r>
        <w:rPr>
          <w:color w:val="383638"/>
          <w:spacing w:val="10"/>
        </w:rPr>
        <w:t> </w:t>
      </w:r>
      <w:r>
        <w:rPr>
          <w:color w:val="383638"/>
        </w:rPr>
        <w:t>und</w:t>
      </w:r>
      <w:r>
        <w:rPr>
          <w:color w:val="383638"/>
          <w:spacing w:val="10"/>
        </w:rPr>
        <w:t> </w:t>
      </w:r>
      <w:r>
        <w:rPr>
          <w:color w:val="383638"/>
        </w:rPr>
        <w:t>15</w:t>
      </w:r>
      <w:r>
        <w:rPr>
          <w:color w:val="383638"/>
          <w:spacing w:val="10"/>
        </w:rPr>
        <w:t> </w:t>
      </w:r>
      <w:r>
        <w:rPr>
          <w:color w:val="383638"/>
          <w:spacing w:val="-2"/>
        </w:rPr>
        <w:t>Jahre</w:t>
      </w:r>
      <w:r>
        <w:rPr>
          <w:color w:val="383638"/>
          <w:spacing w:val="10"/>
        </w:rPr>
        <w:t> </w:t>
      </w:r>
      <w:r>
        <w:rPr>
          <w:color w:val="383638"/>
          <w:spacing w:val="-1"/>
        </w:rPr>
        <w:t>später</w:t>
      </w:r>
      <w:r>
        <w:rPr>
          <w:color w:val="383638"/>
          <w:spacing w:val="10"/>
        </w:rPr>
        <w:t> </w:t>
      </w:r>
      <w:r>
        <w:rPr>
          <w:color w:val="383638"/>
          <w:spacing w:val="-1"/>
        </w:rPr>
        <w:t>um-</w:t>
      </w:r>
      <w:r>
        <w:rPr>
          <w:color w:val="383638"/>
          <w:spacing w:val="31"/>
        </w:rPr>
        <w:t> </w:t>
      </w:r>
      <w:r>
        <w:rPr>
          <w:color w:val="383638"/>
          <w:spacing w:val="-1"/>
        </w:rPr>
        <w:t>fassend</w:t>
      </w:r>
      <w:r>
        <w:rPr>
          <w:color w:val="383638"/>
          <w:spacing w:val="15"/>
        </w:rPr>
        <w:t> </w:t>
      </w:r>
      <w:r>
        <w:rPr>
          <w:color w:val="383638"/>
        </w:rPr>
        <w:t>erneuern.</w:t>
      </w:r>
      <w:r>
        <w:rPr>
          <w:color w:val="383638"/>
          <w:spacing w:val="5"/>
        </w:rPr>
        <w:t> </w:t>
      </w:r>
      <w:r>
        <w:rPr>
          <w:color w:val="383638"/>
          <w:spacing w:val="1"/>
        </w:rPr>
        <w:t>Das </w:t>
      </w:r>
      <w:r>
        <w:rPr>
          <w:color w:val="383638"/>
          <w:spacing w:val="-2"/>
        </w:rPr>
        <w:t>Treppenhaus</w:t>
      </w:r>
      <w:r>
        <w:rPr>
          <w:color w:val="383638"/>
          <w:spacing w:val="15"/>
        </w:rPr>
        <w:t> </w:t>
      </w:r>
      <w:r>
        <w:rPr>
          <w:color w:val="383638"/>
          <w:spacing w:val="-2"/>
        </w:rPr>
        <w:t>wurde</w:t>
      </w:r>
      <w:r>
        <w:rPr>
          <w:color w:val="383638"/>
          <w:spacing w:val="28"/>
        </w:rPr>
        <w:t> </w:t>
      </w:r>
      <w:r>
        <w:rPr>
          <w:color w:val="383638"/>
        </w:rPr>
        <w:t>in</w:t>
      </w:r>
      <w:r>
        <w:rPr>
          <w:color w:val="383638"/>
          <w:spacing w:val="43"/>
        </w:rPr>
        <w:t> </w:t>
      </w:r>
      <w:r>
        <w:rPr>
          <w:color w:val="383638"/>
        </w:rPr>
        <w:t>einen</w:t>
      </w:r>
      <w:r>
        <w:rPr>
          <w:color w:val="383638"/>
          <w:spacing w:val="44"/>
        </w:rPr>
        <w:t> </w:t>
      </w:r>
      <w:r>
        <w:rPr>
          <w:color w:val="383638"/>
        </w:rPr>
        <w:t>Anbau</w:t>
      </w:r>
      <w:r>
        <w:rPr>
          <w:color w:val="383638"/>
          <w:spacing w:val="43"/>
        </w:rPr>
        <w:t> </w:t>
      </w:r>
      <w:r>
        <w:rPr>
          <w:color w:val="383638"/>
        </w:rPr>
        <w:t>ausgelagert</w:t>
      </w:r>
      <w:r>
        <w:rPr>
          <w:color w:val="383638"/>
          <w:spacing w:val="44"/>
        </w:rPr>
        <w:t> </w:t>
      </w:r>
      <w:r>
        <w:rPr>
          <w:color w:val="383638"/>
        </w:rPr>
        <w:t>und</w:t>
      </w:r>
      <w:r>
        <w:rPr>
          <w:color w:val="383638"/>
          <w:spacing w:val="44"/>
        </w:rPr>
        <w:t> </w:t>
      </w:r>
      <w:r>
        <w:rPr>
          <w:color w:val="383638"/>
        </w:rPr>
        <w:t>schaffte</w:t>
      </w:r>
      <w:r>
        <w:rPr>
          <w:color w:val="383638"/>
          <w:spacing w:val="29"/>
        </w:rPr>
        <w:t> </w:t>
      </w:r>
      <w:r>
        <w:rPr>
          <w:color w:val="383638"/>
          <w:spacing w:val="-1"/>
        </w:rPr>
        <w:t>dadurch</w:t>
      </w:r>
      <w:r>
        <w:rPr>
          <w:color w:val="383638"/>
          <w:spacing w:val="17"/>
        </w:rPr>
        <w:t> </w:t>
      </w:r>
      <w:r>
        <w:rPr>
          <w:color w:val="383638"/>
          <w:spacing w:val="1"/>
        </w:rPr>
        <w:t>Platz</w:t>
      </w:r>
      <w:r>
        <w:rPr>
          <w:color w:val="383638"/>
          <w:spacing w:val="17"/>
        </w:rPr>
        <w:t> </w:t>
      </w:r>
      <w:r>
        <w:rPr>
          <w:color w:val="383638"/>
        </w:rPr>
        <w:t>für</w:t>
      </w:r>
      <w:r>
        <w:rPr>
          <w:color w:val="383638"/>
          <w:spacing w:val="17"/>
        </w:rPr>
        <w:t> </w:t>
      </w:r>
      <w:r>
        <w:rPr>
          <w:color w:val="383638"/>
          <w:spacing w:val="-2"/>
        </w:rPr>
        <w:t>grosszügigere</w:t>
      </w:r>
      <w:r>
        <w:rPr>
          <w:color w:val="383638"/>
          <w:spacing w:val="17"/>
        </w:rPr>
        <w:t> </w:t>
      </w:r>
      <w:r>
        <w:rPr>
          <w:color w:val="383638"/>
        </w:rPr>
        <w:t>Räume</w:t>
      </w:r>
      <w:r>
        <w:rPr>
          <w:color w:val="383638"/>
          <w:spacing w:val="17"/>
        </w:rPr>
        <w:t> </w:t>
      </w:r>
      <w:r>
        <w:rPr>
          <w:color w:val="383638"/>
        </w:rPr>
        <w:t>im</w:t>
      </w:r>
      <w:r>
        <w:rPr>
          <w:color w:val="383638"/>
          <w:spacing w:val="25"/>
        </w:rPr>
        <w:t> </w:t>
      </w:r>
      <w:r>
        <w:rPr>
          <w:color w:val="383638"/>
        </w:rPr>
        <w:t>Unter-,</w:t>
      </w:r>
      <w:r>
        <w:rPr>
          <w:color w:val="383638"/>
          <w:spacing w:val="37"/>
        </w:rPr>
        <w:t> </w:t>
      </w:r>
      <w:r>
        <w:rPr>
          <w:color w:val="383638"/>
          <w:spacing w:val="-2"/>
        </w:rPr>
        <w:t>Erd-</w:t>
      </w:r>
      <w:r>
        <w:rPr>
          <w:color w:val="383638"/>
        </w:rPr>
        <w:t> und </w:t>
      </w:r>
      <w:r>
        <w:rPr>
          <w:color w:val="383638"/>
          <w:spacing w:val="-1"/>
        </w:rPr>
        <w:t>Obergeschoss.</w:t>
      </w:r>
      <w:r>
        <w:rPr/>
      </w:r>
    </w:p>
    <w:p>
      <w:pPr>
        <w:tabs>
          <w:tab w:pos="3164" w:val="left" w:leader="none"/>
        </w:tabs>
        <w:spacing w:line="230" w:lineRule="exact" w:before="0"/>
        <w:ind w:left="117" w:right="0" w:firstLine="226"/>
        <w:jc w:val="right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Aussenwände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erhielten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eine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24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cm</w:t>
      </w:r>
      <w:r>
        <w:rPr>
          <w:rFonts w:ascii="Theinhardt Regular" w:hAnsi="Theinhardt Regular" w:cs="Theinhardt Regular" w:eastAsia="Theinhardt Regular"/>
          <w:color w:val="383638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dicke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Wärmedämmung.</w:t>
      </w:r>
      <w:r>
        <w:rPr>
          <w:rFonts w:ascii="Theinhardt Regular" w:hAnsi="Theinhardt Regular" w:cs="Theinhardt Regular" w:eastAsia="Theinhardt Regular"/>
          <w:color w:val="383638"/>
          <w:spacing w:val="4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Dach </w:t>
      </w:r>
      <w:r>
        <w:rPr>
          <w:rFonts w:ascii="Theinhardt Regular" w:hAnsi="Theinhardt Regular" w:cs="Theinhardt Regular" w:eastAsia="Theinhardt Regular"/>
          <w:color w:val="383638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wurde</w:t>
      </w:r>
      <w:r>
        <w:rPr>
          <w:rFonts w:ascii="Theinhardt Regular" w:hAnsi="Theinhardt Regular" w:cs="Theinhardt Regular" w:eastAsia="Theinhardt Regular"/>
          <w:color w:val="383638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innen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her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gedämmt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einer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neuen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Hinterlüftung</w:t>
      </w:r>
      <w:r>
        <w:rPr>
          <w:rFonts w:ascii="Theinhardt Regular" w:hAnsi="Theinhardt Regular" w:cs="Theinhardt Regular" w:eastAsia="Theinhardt Regular"/>
          <w:color w:val="383638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ausgestattet.</w:t>
      </w:r>
      <w:r>
        <w:rPr>
          <w:rFonts w:ascii="Theinhardt Regular" w:hAnsi="Theinhardt Regular" w:cs="Theinhardt Regular" w:eastAsia="Theinhardt Regular"/>
          <w:color w:val="383638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Zusammen</w:t>
      </w:r>
      <w:r>
        <w:rPr>
          <w:rFonts w:ascii="Theinhardt Regular" w:hAnsi="Theinhardt Regular" w:cs="Theinhardt Regular" w:eastAsia="Theinhardt Regular"/>
          <w:color w:val="383638"/>
          <w:spacing w:val="3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color w:val="383638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color w:val="383638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Dämmung</w:t>
      </w:r>
      <w:r>
        <w:rPr>
          <w:rFonts w:ascii="Theinhardt Regular" w:hAnsi="Theinhardt Regular" w:cs="Theinhardt Regular" w:eastAsia="Theinhardt Regular"/>
          <w:color w:val="383638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color w:val="383638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Kellerbodens</w:t>
      </w:r>
      <w:r>
        <w:rPr>
          <w:rFonts w:ascii="Theinhardt Regular" w:hAnsi="Theinhardt Regular" w:cs="Theinhardt Regular" w:eastAsia="Theinhardt Regular"/>
          <w:color w:val="383638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color w:val="383638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15</w:t>
      </w:r>
      <w:r>
        <w:rPr>
          <w:rFonts w:ascii="Theinhardt Regular" w:hAnsi="Theinhardt Regular" w:cs="Theinhardt Regular" w:eastAsia="Theinhardt Regular"/>
          <w:color w:val="383638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cm</w:t>
      </w:r>
      <w:r>
        <w:rPr>
          <w:rFonts w:ascii="Theinhardt Regular" w:hAnsi="Theinhardt Regular" w:cs="Theinhardt Regular" w:eastAsia="Theinhardt Regular"/>
          <w:color w:val="383638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color w:val="383638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color w:val="383638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dreifach-Isolierverglasungen</w:t>
      </w:r>
      <w:r>
        <w:rPr>
          <w:rFonts w:ascii="Theinhardt Regular" w:hAnsi="Theinhardt Regular" w:cs="Theinhardt Regular" w:eastAsia="Theinhardt Regular"/>
          <w:color w:val="383638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konn-</w:t>
      </w:r>
      <w:r>
        <w:rPr>
          <w:rFonts w:ascii="Theinhardt Regular" w:hAnsi="Theinhardt Regular" w:cs="Theinhardt Regular" w:eastAsia="Theinhardt Regular"/>
          <w:color w:val="383638"/>
          <w:spacing w:val="5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te 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der 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Energiebedarf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von 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24’900 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kWh/a</w:t>
      </w:r>
      <w:r>
        <w:rPr>
          <w:rFonts w:ascii="Theinhardt Regular" w:hAnsi="Theinhardt Regular" w:cs="Theinhardt Regular" w:eastAsia="Theinhardt Regular"/>
          <w:color w:val="383638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vor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Sanierung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auf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rund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10’200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kWh/a</w:t>
      </w:r>
      <w:r>
        <w:rPr>
          <w:rFonts w:ascii="Theinhardt Regular" w:hAnsi="Theinhardt Regular" w:cs="Theinhardt Regular" w:eastAsia="Theinhardt Regular"/>
          <w:color w:val="383638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mehr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als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halbiert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werden.</w:t>
      </w:r>
      <w:r>
        <w:rPr>
          <w:rFonts w:ascii="Theinhardt Regular" w:hAnsi="Theinhardt Regular" w:cs="Theinhardt Regular" w:eastAsia="Theinhardt Regular"/>
          <w:color w:val="383638"/>
          <w:spacing w:val="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5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kW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starke</w:t>
      </w:r>
      <w:r>
        <w:rPr>
          <w:rFonts w:ascii="Theinhardt Regular" w:hAnsi="Theinhardt Regular" w:cs="Theinhardt Regular" w:eastAsia="Theinhardt Regular"/>
          <w:color w:val="383638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Photovoltaikanlage </w:t>
      </w:r>
      <w:r>
        <w:rPr>
          <w:rFonts w:ascii="Theinhardt Regular" w:hAnsi="Theinhardt Regular" w:cs="Theinhardt Regular" w:eastAsia="Theinhardt Regular"/>
          <w:color w:val="383638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von </w:t>
      </w:r>
      <w:r>
        <w:rPr>
          <w:rFonts w:ascii="Theinhardt Regular" w:hAnsi="Theinhardt Regular" w:cs="Theinhardt Regular" w:eastAsia="Theinhardt Regular"/>
          <w:color w:val="383638"/>
          <w:spacing w:val="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29.5 </w:t>
      </w:r>
      <w:r>
        <w:rPr>
          <w:rFonts w:ascii="Theinhardt Regular" w:hAnsi="Theinhardt Regular" w:cs="Theinhardt Regular" w:eastAsia="Theinhardt Regular"/>
          <w:color w:val="383638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m</w:t>
      </w:r>
      <w:r>
        <w:rPr>
          <w:rFonts w:ascii="Theinhardt Regular" w:hAnsi="Theinhardt Regular" w:cs="Theinhardt Regular" w:eastAsia="Theinhardt Regular"/>
          <w:color w:val="231F20"/>
          <w:position w:val="6"/>
          <w:sz w:val="10"/>
          <w:szCs w:val="10"/>
        </w:rPr>
        <w:t>2  </w:t>
      </w:r>
      <w:r>
        <w:rPr>
          <w:rFonts w:ascii="Theinhardt Regular" w:hAnsi="Theinhardt Regular" w:cs="Theinhardt Regular" w:eastAsia="Theinhardt Regular"/>
          <w:color w:val="231F20"/>
          <w:spacing w:val="24"/>
          <w:position w:val="6"/>
          <w:sz w:val="10"/>
          <w:szCs w:val="10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bedeckt</w:t>
      </w:r>
      <w:r>
        <w:rPr>
          <w:rFonts w:ascii="Theinhardt Regular" w:hAnsi="Theinhardt Regular" w:cs="Theinhardt Regular" w:eastAsia="Theinhardt Regular"/>
          <w:color w:val="383638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Südseite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Giebeldaches.</w:t>
      </w:r>
      <w:r>
        <w:rPr>
          <w:rFonts w:ascii="Theinhardt Regular" w:hAnsi="Theinhardt Regular" w:cs="Theinhardt Regular" w:eastAsia="Theinhardt Regular"/>
          <w:color w:val="383638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Sie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erzeugt</w:t>
      </w:r>
      <w:r>
        <w:rPr>
          <w:rFonts w:ascii="Theinhardt Regular" w:hAnsi="Theinhardt Regular" w:cs="Theinhardt Regular" w:eastAsia="Theinhardt Regular"/>
          <w:color w:val="383638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jährlich</w:t>
      </w:r>
      <w:r>
        <w:rPr>
          <w:rFonts w:ascii="Theinhardt Regular" w:hAnsi="Theinhardt Regular" w:cs="Theinhardt Regular" w:eastAsia="Theinhardt Regular"/>
          <w:color w:val="383638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5’850</w:t>
      </w:r>
      <w:r>
        <w:rPr>
          <w:rFonts w:ascii="Theinhardt Regular" w:hAnsi="Theinhardt Regular" w:cs="Theinhardt Regular" w:eastAsia="Theinhardt Regular"/>
          <w:color w:val="383638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kWh</w:t>
      </w:r>
      <w:r>
        <w:rPr>
          <w:rFonts w:ascii="Theinhardt Regular" w:hAnsi="Theinhardt Regular" w:cs="Theinhardt Regular" w:eastAsia="Theinhardt Regular"/>
          <w:color w:val="383638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Strom</w:t>
      </w:r>
      <w:r>
        <w:rPr>
          <w:rFonts w:ascii="Theinhardt Regular" w:hAnsi="Theinhardt Regular" w:cs="Theinhardt Regular" w:eastAsia="Theinhardt Regular"/>
          <w:color w:val="383638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color w:val="383638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deckt</w:t>
      </w:r>
      <w:r>
        <w:rPr>
          <w:rFonts w:ascii="Theinhardt Regular" w:hAnsi="Theinhardt Regular" w:cs="Theinhardt Regular" w:eastAsia="Theinhardt Regular"/>
          <w:color w:val="383638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damit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Strombedarf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über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3"/>
          <w:sz w:val="18"/>
          <w:szCs w:val="18"/>
        </w:rPr>
        <w:t>Jahr.</w:t>
      </w:r>
      <w:r>
        <w:rPr>
          <w:rFonts w:ascii="Theinhardt Regular" w:hAnsi="Theinhardt Regular" w:cs="Theinhardt Regular" w:eastAsia="Theinhardt Regular"/>
          <w:color w:val="383638"/>
          <w:spacing w:val="-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restliche</w:t>
      </w:r>
      <w:r>
        <w:rPr>
          <w:rFonts w:ascii="Theinhardt Regular" w:hAnsi="Theinhardt Regular" w:cs="Theinhardt Regular" w:eastAsia="Theinhardt Regular"/>
          <w:color w:val="383638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Wärmeenergie</w:t>
      </w:r>
      <w:r>
        <w:rPr>
          <w:rFonts w:ascii="Theinhardt Regular" w:hAnsi="Theinhardt Regular" w:cs="Theinhardt Regular" w:eastAsia="Theinhardt Regular"/>
          <w:color w:val="383638"/>
          <w:spacing w:val="-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wird</w:t>
      </w:r>
      <w:r>
        <w:rPr>
          <w:rFonts w:ascii="Theinhardt Regular" w:hAnsi="Theinhardt Regular" w:cs="Theinhardt Regular" w:eastAsia="Theinhardt Regular"/>
          <w:color w:val="383638"/>
          <w:spacing w:val="-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vom</w:t>
      </w:r>
      <w:r>
        <w:rPr>
          <w:rFonts w:ascii="Theinhardt Regular" w:hAnsi="Theinhardt Regular" w:cs="Theinhardt Regular" w:eastAsia="Theinhardt Regular"/>
          <w:color w:val="383638"/>
          <w:spacing w:val="-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zentralen</w:t>
      </w:r>
      <w:r>
        <w:rPr>
          <w:rFonts w:ascii="Theinhardt Regular" w:hAnsi="Theinhardt Regular" w:cs="Theinhardt Regular" w:eastAsia="Theinhardt Regular"/>
          <w:color w:val="383638"/>
          <w:spacing w:val="-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Speicher-</w:t>
      </w:r>
      <w:r>
        <w:rPr>
          <w:rFonts w:ascii="Theinhardt Regular" w:hAnsi="Theinhardt Regular" w:cs="Theinhardt Regular" w:eastAsia="Theinhardt Regular"/>
          <w:color w:val="383638"/>
          <w:spacing w:val="4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ofen</w:t>
      </w:r>
      <w:r>
        <w:rPr>
          <w:rFonts w:ascii="Theinhardt Regular" w:hAnsi="Theinhardt Regular" w:cs="Theinhardt Regular" w:eastAsia="Theinhardt Regular"/>
          <w:color w:val="383638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color w:val="383638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Warmwasserregister</w:t>
      </w:r>
      <w:r>
        <w:rPr>
          <w:rFonts w:ascii="Theinhardt Regular" w:hAnsi="Theinhardt Regular" w:cs="Theinhardt Regular" w:eastAsia="Theinhardt Regular"/>
          <w:color w:val="383638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bereitgestellt.</w:t>
      </w:r>
      <w:r>
        <w:rPr>
          <w:rFonts w:ascii="Theinhardt Regular" w:hAnsi="Theinhardt Regular" w:cs="Theinhardt Regular" w:eastAsia="Theinhardt Regular"/>
          <w:color w:val="383638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3"/>
          <w:sz w:val="18"/>
          <w:szCs w:val="18"/>
        </w:rPr>
        <w:t>Pro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Jahr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benötigt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Familie</w:t>
        <w:tab/>
      </w:r>
      <w:r>
        <w:rPr>
          <w:rFonts w:ascii="Theinhardt Regular" w:hAnsi="Theinhardt Regular" w:cs="Theinhardt Regular" w:eastAsia="Theinhardt Regular"/>
          <w:color w:val="383638"/>
          <w:spacing w:val="-4"/>
          <w:sz w:val="18"/>
          <w:szCs w:val="18"/>
        </w:rPr>
        <w:t>Tor-</w:t>
      </w:r>
      <w:r>
        <w:rPr>
          <w:rFonts w:ascii="Theinhardt Regular" w:hAnsi="Theinhardt Regular" w:cs="Theinhardt Regular" w:eastAsia="Theinhardt Regular"/>
          <w:color w:val="383638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res</w:t>
      </w:r>
      <w:r>
        <w:rPr>
          <w:rFonts w:ascii="Theinhardt Regular" w:hAnsi="Theinhardt Regular" w:cs="Theinhardt Regular" w:eastAsia="Theinhardt Regular"/>
          <w:color w:val="383638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Nova</w:t>
      </w:r>
      <w:r>
        <w:rPr>
          <w:rFonts w:ascii="Theinhardt Regular" w:hAnsi="Theinhardt Regular" w:cs="Theinhardt Regular" w:eastAsia="Theinhardt Regular"/>
          <w:color w:val="383638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etwa</w:t>
      </w:r>
      <w:r>
        <w:rPr>
          <w:rFonts w:ascii="Theinhardt Regular" w:hAnsi="Theinhardt Regular" w:cs="Theinhardt Regular" w:eastAsia="Theinhardt Regular"/>
          <w:color w:val="383638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zwei</w:t>
      </w:r>
      <w:r>
        <w:rPr>
          <w:rFonts w:ascii="Theinhardt Regular" w:hAnsi="Theinhardt Regular" w:cs="Theinhardt Regular" w:eastAsia="Theinhardt Regular"/>
          <w:color w:val="383638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Ster</w:t>
      </w:r>
      <w:r>
        <w:rPr>
          <w:rFonts w:ascii="Theinhardt Regular" w:hAnsi="Theinhardt Regular" w:cs="Theinhardt Regular" w:eastAsia="Theinhardt Regular"/>
          <w:color w:val="383638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Holz.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In</w:t>
      </w:r>
      <w:r>
        <w:rPr>
          <w:rFonts w:ascii="Theinhardt Regular" w:hAnsi="Theinhardt Regular" w:cs="Theinhardt Regular" w:eastAsia="Theinhardt Regular"/>
          <w:color w:val="383638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color w:val="383638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Som-</w:t>
      </w:r>
      <w:r>
        <w:rPr>
          <w:rFonts w:ascii="Theinhardt Regular" w:hAnsi="Theinhardt Regular" w:cs="Theinhardt Regular" w:eastAsia="Theinhardt Regular"/>
          <w:color w:val="383638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mermonaten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wird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Warmwasser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mittels</w:t>
      </w:r>
      <w:r>
        <w:rPr>
          <w:rFonts w:ascii="Theinhardt Regular" w:hAnsi="Theinhardt Regular" w:cs="Theinhardt Regular" w:eastAsia="Theinhardt Regular"/>
          <w:color w:val="383638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Luftwasserwärmepumpe  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erwärmt.  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Somit</w:t>
      </w:r>
      <w:r>
        <w:rPr>
          <w:rFonts w:ascii="Theinhardt Regular" w:hAnsi="Theinhardt Regular" w:cs="Theinhardt Regular" w:eastAsia="Theinhardt Regular"/>
          <w:color w:val="383638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deckt</w:t>
      </w:r>
      <w:r>
        <w:rPr>
          <w:rFonts w:ascii="Theinhardt Regular" w:hAnsi="Theinhardt Regular" w:cs="Theinhardt Regular" w:eastAsia="Theinhardt Regular"/>
          <w:color w:val="383638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color w:val="383638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Haus</w:t>
      </w:r>
      <w:r>
        <w:rPr>
          <w:rFonts w:ascii="Theinhardt Regular" w:hAnsi="Theinhardt Regular" w:cs="Theinhardt Regular" w:eastAsia="Theinhardt Regular"/>
          <w:color w:val="383638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seinen</w:t>
      </w:r>
      <w:r>
        <w:rPr>
          <w:rFonts w:ascii="Theinhardt Regular" w:hAnsi="Theinhardt Regular" w:cs="Theinhardt Regular" w:eastAsia="Theinhardt Regular"/>
          <w:color w:val="383638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Energiebedarf</w:t>
      </w:r>
      <w:r>
        <w:rPr>
          <w:rFonts w:ascii="Theinhardt Regular" w:hAnsi="Theinhardt Regular" w:cs="Theinhardt Regular" w:eastAsia="Theinhardt Regular"/>
          <w:color w:val="383638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fast</w:t>
      </w:r>
      <w:r>
        <w:rPr>
          <w:rFonts w:ascii="Theinhardt Regular" w:hAnsi="Theinhardt Regular" w:cs="Theinhardt Regular" w:eastAsia="Theinhardt Regular"/>
          <w:color w:val="383638"/>
          <w:spacing w:val="3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ausschliesslich aus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erneuerbaren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Energien.</w:t>
      </w:r>
      <w:r>
        <w:rPr>
          <w:rFonts w:ascii="Theinhardt Regular" w:hAnsi="Theinhardt Regular" w:cs="Theinhardt Regular" w:eastAsia="Theinhardt Regular"/>
          <w:color w:val="383638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Sanierung </w:t>
      </w:r>
      <w:r>
        <w:rPr>
          <w:rFonts w:ascii="Theinhardt Regular" w:hAnsi="Theinhardt Regular" w:cs="Theinhardt Regular" w:eastAsia="Theinhardt Regular"/>
          <w:color w:val="383638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des </w:t>
      </w:r>
      <w:r>
        <w:rPr>
          <w:rFonts w:ascii="Theinhardt Regular" w:hAnsi="Theinhardt Regular" w:cs="Theinhardt Regular" w:eastAsia="Theinhardt Regular"/>
          <w:color w:val="383638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REFH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Göblistrasse</w:t>
      </w:r>
      <w:r>
        <w:rPr>
          <w:rFonts w:ascii="Theinhardt Regular" w:hAnsi="Theinhardt Regular" w:cs="Theinhardt Regular" w:eastAsia="Theinhardt Regular"/>
          <w:color w:val="383638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zeigt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exemplarisch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auf,</w:t>
      </w:r>
      <w:r>
        <w:rPr>
          <w:rFonts w:ascii="Theinhardt Regular" w:hAnsi="Theinhardt Regular" w:cs="Theinhardt Regular" w:eastAsia="Theinhardt Regular"/>
          <w:color w:val="383638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dass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auch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im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Rah-</w:t>
      </w:r>
      <w:r>
        <w:rPr>
          <w:rFonts w:ascii="Theinhardt Regular" w:hAnsi="Theinhardt Regular" w:cs="Theinhardt Regular" w:eastAsia="Theinhardt Regular"/>
          <w:color w:val="383638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men</w:t>
      </w:r>
      <w:r>
        <w:rPr>
          <w:rFonts w:ascii="Theinhardt Regular" w:hAnsi="Theinhardt Regular" w:cs="Theinhardt Regular" w:eastAsia="Theinhardt Regular"/>
          <w:color w:val="383638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einer</w:t>
      </w:r>
      <w:r>
        <w:rPr>
          <w:rFonts w:ascii="Theinhardt Regular" w:hAnsi="Theinhardt Regular" w:cs="Theinhardt Regular" w:eastAsia="Theinhardt Regular"/>
          <w:color w:val="383638"/>
          <w:spacing w:val="4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energetischen</w:t>
      </w:r>
      <w:r>
        <w:rPr>
          <w:rFonts w:ascii="Theinhardt Regular" w:hAnsi="Theinhardt Regular" w:cs="Theinhardt Regular" w:eastAsia="Theinhardt Regular"/>
          <w:color w:val="383638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Erneuerung</w:t>
      </w:r>
      <w:r>
        <w:rPr>
          <w:rFonts w:ascii="Theinhardt Regular" w:hAnsi="Theinhardt Regular" w:cs="Theinhardt Regular" w:eastAsia="Theinhardt Regular"/>
          <w:color w:val="383638"/>
          <w:spacing w:val="4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color w:val="383638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dem</w:t>
      </w:r>
      <w:r>
        <w:rPr>
          <w:rFonts w:ascii="Theinhardt Regular" w:hAnsi="Theinhardt Regular" w:cs="Theinhardt Regular" w:eastAsia="Theinhardt Regular"/>
          <w:color w:val="383638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Einbezug</w:t>
      </w:r>
      <w:r>
        <w:rPr>
          <w:rFonts w:ascii="Theinhardt Regular" w:hAnsi="Theinhardt Regular" w:cs="Theinhardt Regular" w:eastAsia="Theinhardt Regular"/>
          <w:color w:val="383638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color w:val="383638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Solarenergie,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dank</w:t>
      </w:r>
      <w:r>
        <w:rPr>
          <w:rFonts w:ascii="Theinhardt Regular" w:hAnsi="Theinhardt Regular" w:cs="Theinhardt Regular" w:eastAsia="Theinhardt Regular"/>
          <w:color w:val="383638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fein-</w:t>
      </w:r>
      <w:r>
        <w:rPr>
          <w:rFonts w:ascii="Theinhardt Regular" w:hAnsi="Theinhardt Regular" w:cs="Theinhardt Regular" w:eastAsia="Theinhardt Regular"/>
          <w:color w:val="383638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fühliger </w:t>
      </w:r>
      <w:r>
        <w:rPr>
          <w:rFonts w:ascii="Theinhardt Regular" w:hAnsi="Theinhardt Regular" w:cs="Theinhardt Regular" w:eastAsia="Theinhardt Regular"/>
          <w:color w:val="383638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Anpassung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an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die </w:t>
      </w:r>
      <w:r>
        <w:rPr>
          <w:rFonts w:ascii="Theinhardt Regular" w:hAnsi="Theinhardt Regular" w:cs="Theinhardt Regular" w:eastAsia="Theinhardt Regular"/>
          <w:color w:val="383638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benachbarte</w:t>
      </w:r>
      <w:r>
        <w:rPr>
          <w:rFonts w:ascii="Theinhardt Regular" w:hAnsi="Theinhardt Regular" w:cs="Theinhardt Regular" w:eastAsia="Theinhardt Regular"/>
          <w:color w:val="383638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Bausubstanz,</w:t>
      </w:r>
      <w:r>
        <w:rPr>
          <w:rFonts w:ascii="Theinhardt Regular" w:hAnsi="Theinhardt Regular" w:cs="Theinhardt Regular" w:eastAsia="Theinhardt Regular"/>
          <w:color w:val="383638"/>
          <w:spacing w:val="-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color w:val="383638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Gesamtbild</w:t>
      </w:r>
      <w:r>
        <w:rPr>
          <w:rFonts w:ascii="Theinhardt Regular" w:hAnsi="Theinhardt Regular" w:cs="Theinhardt Regular" w:eastAsia="Theinhardt Regular"/>
          <w:color w:val="383638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eines</w:t>
      </w:r>
      <w:r>
        <w:rPr>
          <w:rFonts w:ascii="Theinhardt Regular" w:hAnsi="Theinhardt Regular" w:cs="Theinhardt Regular" w:eastAsia="Theinhardt Regular"/>
          <w:color w:val="383638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Reihen-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spacing w:before="9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/>
          <w:color w:val="383638"/>
          <w:spacing w:val="-1"/>
          <w:sz w:val="18"/>
        </w:rPr>
        <w:t>hauses</w:t>
      </w:r>
      <w:r>
        <w:rPr>
          <w:rFonts w:ascii="Theinhardt Regular"/>
          <w:color w:val="383638"/>
          <w:sz w:val="18"/>
        </w:rPr>
        <w:t> </w:t>
      </w:r>
      <w:r>
        <w:rPr>
          <w:rFonts w:ascii="Theinhardt Regular"/>
          <w:color w:val="383638"/>
          <w:spacing w:val="-1"/>
          <w:sz w:val="18"/>
        </w:rPr>
        <w:t>gewahrt</w:t>
      </w:r>
      <w:r>
        <w:rPr>
          <w:rFonts w:ascii="Theinhardt Regular"/>
          <w:color w:val="383638"/>
          <w:sz w:val="18"/>
        </w:rPr>
        <w:t> </w:t>
      </w:r>
      <w:r>
        <w:rPr>
          <w:rFonts w:ascii="Theinhardt Regular"/>
          <w:color w:val="383638"/>
          <w:spacing w:val="-1"/>
          <w:sz w:val="18"/>
        </w:rPr>
        <w:t>werden</w:t>
      </w:r>
      <w:r>
        <w:rPr>
          <w:rFonts w:ascii="Theinhardt Regular"/>
          <w:color w:val="383638"/>
          <w:sz w:val="18"/>
        </w:rPr>
        <w:t> </w:t>
      </w:r>
      <w:r>
        <w:rPr>
          <w:rFonts w:ascii="Theinhardt Regular"/>
          <w:color w:val="383638"/>
          <w:spacing w:val="-1"/>
          <w:sz w:val="18"/>
        </w:rPr>
        <w:t>kann.</w:t>
      </w:r>
      <w:r>
        <w:rPr>
          <w:rFonts w:ascii="Theinhardt Regular"/>
          <w:sz w:val="18"/>
        </w:rPr>
      </w:r>
    </w:p>
    <w:p>
      <w:pPr>
        <w:pStyle w:val="BodyText"/>
        <w:spacing w:line="230" w:lineRule="exact" w:before="90"/>
        <w:ind w:right="0"/>
        <w:jc w:val="both"/>
        <w:rPr>
          <w:i w:val="0"/>
        </w:rPr>
      </w:pPr>
      <w:r>
        <w:rPr>
          <w:i w:val="0"/>
        </w:rPr>
        <w:br w:type="column"/>
      </w:r>
      <w:r>
        <w:rPr>
          <w:color w:val="383638"/>
          <w:spacing w:val="-1"/>
        </w:rPr>
        <w:t>celle-ci</w:t>
      </w:r>
      <w:r>
        <w:rPr>
          <w:color w:val="383638"/>
          <w:spacing w:val="23"/>
        </w:rPr>
        <w:t> </w:t>
      </w:r>
      <w:r>
        <w:rPr>
          <w:color w:val="383638"/>
        </w:rPr>
        <w:t>a</w:t>
      </w:r>
      <w:r>
        <w:rPr>
          <w:color w:val="383638"/>
          <w:spacing w:val="23"/>
        </w:rPr>
        <w:t> </w:t>
      </w:r>
      <w:r>
        <w:rPr>
          <w:color w:val="383638"/>
        </w:rPr>
        <w:t>fait</w:t>
      </w:r>
      <w:r>
        <w:rPr>
          <w:color w:val="383638"/>
          <w:spacing w:val="23"/>
        </w:rPr>
        <w:t> </w:t>
      </w:r>
      <w:r>
        <w:rPr>
          <w:color w:val="383638"/>
          <w:spacing w:val="-2"/>
        </w:rPr>
        <w:t>l’objet</w:t>
      </w:r>
      <w:r>
        <w:rPr>
          <w:color w:val="383638"/>
          <w:spacing w:val="23"/>
        </w:rPr>
        <w:t> </w:t>
      </w:r>
      <w:r>
        <w:rPr>
          <w:color w:val="383638"/>
          <w:spacing w:val="-1"/>
        </w:rPr>
        <w:t>d’une</w:t>
      </w:r>
      <w:r>
        <w:rPr>
          <w:color w:val="383638"/>
          <w:spacing w:val="23"/>
        </w:rPr>
        <w:t> </w:t>
      </w:r>
      <w:r>
        <w:rPr>
          <w:color w:val="383638"/>
          <w:spacing w:val="-2"/>
        </w:rPr>
        <w:t>rénovation</w:t>
      </w:r>
      <w:r>
        <w:rPr>
          <w:color w:val="383638"/>
          <w:spacing w:val="23"/>
        </w:rPr>
        <w:t> </w:t>
      </w:r>
      <w:r>
        <w:rPr>
          <w:color w:val="383638"/>
          <w:spacing w:val="-1"/>
        </w:rPr>
        <w:t>com-</w:t>
      </w:r>
      <w:r>
        <w:rPr>
          <w:color w:val="383638"/>
          <w:spacing w:val="35"/>
        </w:rPr>
        <w:t> </w:t>
      </w:r>
      <w:r>
        <w:rPr>
          <w:color w:val="383638"/>
          <w:spacing w:val="-2"/>
        </w:rPr>
        <w:t>plète.</w:t>
      </w:r>
      <w:r>
        <w:rPr>
          <w:color w:val="383638"/>
          <w:spacing w:val="20"/>
        </w:rPr>
        <w:t> </w:t>
      </w:r>
      <w:r>
        <w:rPr>
          <w:color w:val="383638"/>
          <w:spacing w:val="-4"/>
        </w:rPr>
        <w:t>L’escalier</w:t>
      </w:r>
      <w:r>
        <w:rPr>
          <w:color w:val="383638"/>
          <w:spacing w:val="26"/>
        </w:rPr>
        <w:t> </w:t>
      </w:r>
      <w:r>
        <w:rPr>
          <w:color w:val="383638"/>
        </w:rPr>
        <w:t>a</w:t>
      </w:r>
      <w:r>
        <w:rPr>
          <w:color w:val="383638"/>
          <w:spacing w:val="27"/>
        </w:rPr>
        <w:t> </w:t>
      </w:r>
      <w:r>
        <w:rPr>
          <w:color w:val="383638"/>
          <w:spacing w:val="-2"/>
        </w:rPr>
        <w:t>été</w:t>
      </w:r>
      <w:r>
        <w:rPr>
          <w:color w:val="383638"/>
          <w:spacing w:val="26"/>
        </w:rPr>
        <w:t> </w:t>
      </w:r>
      <w:r>
        <w:rPr>
          <w:color w:val="383638"/>
          <w:spacing w:val="-1"/>
        </w:rPr>
        <w:t>déplacé</w:t>
      </w:r>
      <w:r>
        <w:rPr>
          <w:color w:val="383638"/>
          <w:spacing w:val="27"/>
        </w:rPr>
        <w:t> </w:t>
      </w:r>
      <w:r>
        <w:rPr>
          <w:color w:val="383638"/>
          <w:spacing w:val="-1"/>
        </w:rPr>
        <w:t>vers</w:t>
      </w:r>
      <w:r>
        <w:rPr>
          <w:color w:val="383638"/>
          <w:spacing w:val="27"/>
        </w:rPr>
        <w:t> </w:t>
      </w:r>
      <w:r>
        <w:rPr>
          <w:color w:val="383638"/>
          <w:spacing w:val="-1"/>
        </w:rPr>
        <w:t>cet</w:t>
      </w:r>
      <w:r>
        <w:rPr>
          <w:color w:val="383638"/>
          <w:spacing w:val="26"/>
        </w:rPr>
        <w:t> </w:t>
      </w:r>
      <w:r>
        <w:rPr>
          <w:color w:val="383638"/>
        </w:rPr>
        <w:t>ag-</w:t>
      </w:r>
      <w:r>
        <w:rPr>
          <w:color w:val="383638"/>
          <w:spacing w:val="31"/>
        </w:rPr>
        <w:t> </w:t>
      </w:r>
      <w:r>
        <w:rPr>
          <w:color w:val="383638"/>
          <w:spacing w:val="-1"/>
        </w:rPr>
        <w:t>randissement,</w:t>
      </w:r>
      <w:r>
        <w:rPr>
          <w:color w:val="383638"/>
          <w:spacing w:val="-12"/>
        </w:rPr>
        <w:t> </w:t>
      </w:r>
      <w:r>
        <w:rPr>
          <w:color w:val="383638"/>
        </w:rPr>
        <w:t>libérant</w:t>
      </w:r>
      <w:r>
        <w:rPr>
          <w:color w:val="383638"/>
          <w:spacing w:val="-4"/>
        </w:rPr>
        <w:t> </w:t>
      </w:r>
      <w:r>
        <w:rPr>
          <w:color w:val="383638"/>
        </w:rPr>
        <w:t>ainsi</w:t>
      </w:r>
      <w:r>
        <w:rPr>
          <w:color w:val="383638"/>
          <w:spacing w:val="-4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-4"/>
        </w:rPr>
        <w:t> </w:t>
      </w:r>
      <w:r>
        <w:rPr>
          <w:color w:val="383638"/>
          <w:spacing w:val="-2"/>
        </w:rPr>
        <w:t>l’espace</w:t>
      </w:r>
      <w:r>
        <w:rPr>
          <w:color w:val="383638"/>
          <w:spacing w:val="-4"/>
        </w:rPr>
        <w:t> </w:t>
      </w:r>
      <w:r>
        <w:rPr>
          <w:color w:val="383638"/>
        </w:rPr>
        <w:t>pour</w:t>
      </w:r>
      <w:r>
        <w:rPr>
          <w:color w:val="383638"/>
          <w:spacing w:val="35"/>
        </w:rPr>
        <w:t> </w:t>
      </w:r>
      <w:r>
        <w:rPr>
          <w:color w:val="383638"/>
          <w:spacing w:val="-1"/>
        </w:rPr>
        <w:t>des</w:t>
      </w:r>
      <w:r>
        <w:rPr>
          <w:color w:val="383638"/>
          <w:spacing w:val="21"/>
        </w:rPr>
        <w:t> </w:t>
      </w:r>
      <w:r>
        <w:rPr>
          <w:color w:val="383638"/>
          <w:spacing w:val="-2"/>
        </w:rPr>
        <w:t>pièces</w:t>
      </w:r>
      <w:r>
        <w:rPr>
          <w:color w:val="383638"/>
          <w:spacing w:val="21"/>
        </w:rPr>
        <w:t> </w:t>
      </w:r>
      <w:r>
        <w:rPr>
          <w:color w:val="383638"/>
        </w:rPr>
        <w:t>plus</w:t>
      </w:r>
      <w:r>
        <w:rPr>
          <w:color w:val="383638"/>
          <w:spacing w:val="21"/>
        </w:rPr>
        <w:t> </w:t>
      </w:r>
      <w:r>
        <w:rPr>
          <w:color w:val="383638"/>
          <w:spacing w:val="-1"/>
        </w:rPr>
        <w:t>spacieuses</w:t>
      </w:r>
      <w:r>
        <w:rPr>
          <w:color w:val="383638"/>
          <w:spacing w:val="21"/>
        </w:rPr>
        <w:t> </w:t>
      </w:r>
      <w:r>
        <w:rPr>
          <w:color w:val="383638"/>
          <w:spacing w:val="1"/>
        </w:rPr>
        <w:t>au</w:t>
      </w:r>
      <w:r>
        <w:rPr>
          <w:color w:val="383638"/>
          <w:spacing w:val="21"/>
        </w:rPr>
        <w:t> </w:t>
      </w:r>
      <w:r>
        <w:rPr>
          <w:color w:val="383638"/>
          <w:spacing w:val="-1"/>
        </w:rPr>
        <w:t>sous-sol,</w:t>
      </w:r>
      <w:r>
        <w:rPr>
          <w:color w:val="383638"/>
          <w:spacing w:val="14"/>
        </w:rPr>
        <w:t> </w:t>
      </w:r>
      <w:r>
        <w:rPr>
          <w:color w:val="383638"/>
          <w:spacing w:val="1"/>
        </w:rPr>
        <w:t>au</w:t>
      </w:r>
      <w:r>
        <w:rPr>
          <w:color w:val="383638"/>
          <w:spacing w:val="23"/>
        </w:rPr>
        <w:t> </w:t>
      </w:r>
      <w:r>
        <w:rPr>
          <w:color w:val="383638"/>
          <w:spacing w:val="-1"/>
        </w:rPr>
        <w:t>rez-de-chaussée</w:t>
      </w:r>
      <w:r>
        <w:rPr>
          <w:color w:val="383638"/>
        </w:rPr>
        <w:t> et </w:t>
      </w:r>
      <w:r>
        <w:rPr>
          <w:color w:val="383638"/>
          <w:spacing w:val="1"/>
        </w:rPr>
        <w:t>au</w:t>
      </w:r>
      <w:r>
        <w:rPr>
          <w:color w:val="383638"/>
        </w:rPr>
        <w:t> </w:t>
      </w:r>
      <w:r>
        <w:rPr>
          <w:color w:val="383638"/>
          <w:spacing w:val="-2"/>
        </w:rPr>
        <w:t>premier</w:t>
      </w:r>
      <w:r>
        <w:rPr>
          <w:color w:val="383638"/>
        </w:rPr>
        <w:t> </w:t>
      </w:r>
      <w:r>
        <w:rPr>
          <w:color w:val="383638"/>
          <w:spacing w:val="-1"/>
        </w:rPr>
        <w:t>étage.</w:t>
      </w:r>
      <w:r>
        <w:rPr>
          <w:i w:val="0"/>
        </w:rPr>
      </w:r>
    </w:p>
    <w:p>
      <w:pPr>
        <w:pStyle w:val="BodyText"/>
        <w:spacing w:line="230" w:lineRule="exact"/>
        <w:ind w:right="0" w:firstLine="226"/>
        <w:jc w:val="both"/>
        <w:rPr>
          <w:i w:val="0"/>
        </w:rPr>
      </w:pPr>
      <w:r>
        <w:rPr>
          <w:color w:val="383638"/>
          <w:spacing w:val="-3"/>
        </w:rPr>
        <w:t>Les</w:t>
      </w:r>
      <w:r>
        <w:rPr>
          <w:color w:val="383638"/>
          <w:spacing w:val="-12"/>
        </w:rPr>
        <w:t> </w:t>
      </w:r>
      <w:r>
        <w:rPr>
          <w:color w:val="383638"/>
        </w:rPr>
        <w:t>murs</w:t>
      </w:r>
      <w:r>
        <w:rPr>
          <w:color w:val="383638"/>
          <w:spacing w:val="-12"/>
        </w:rPr>
        <w:t> </w:t>
      </w:r>
      <w:r>
        <w:rPr>
          <w:color w:val="383638"/>
          <w:spacing w:val="-2"/>
        </w:rPr>
        <w:t>extérieurs</w:t>
      </w:r>
      <w:r>
        <w:rPr>
          <w:color w:val="383638"/>
          <w:spacing w:val="-12"/>
        </w:rPr>
        <w:t> </w:t>
      </w:r>
      <w:r>
        <w:rPr>
          <w:color w:val="383638"/>
          <w:spacing w:val="-1"/>
        </w:rPr>
        <w:t>se</w:t>
      </w:r>
      <w:r>
        <w:rPr>
          <w:color w:val="383638"/>
          <w:spacing w:val="-12"/>
        </w:rPr>
        <w:t> </w:t>
      </w:r>
      <w:r>
        <w:rPr>
          <w:color w:val="383638"/>
          <w:spacing w:val="-1"/>
        </w:rPr>
        <w:t>sont</w:t>
      </w:r>
      <w:r>
        <w:rPr>
          <w:color w:val="383638"/>
          <w:spacing w:val="-12"/>
        </w:rPr>
        <w:t> </w:t>
      </w:r>
      <w:r>
        <w:rPr>
          <w:color w:val="383638"/>
          <w:spacing w:val="-1"/>
        </w:rPr>
        <w:t>épaissis</w:t>
      </w:r>
      <w:r>
        <w:rPr>
          <w:color w:val="383638"/>
          <w:spacing w:val="-12"/>
        </w:rPr>
        <w:t> </w:t>
      </w:r>
      <w:r>
        <w:rPr>
          <w:color w:val="383638"/>
          <w:spacing w:val="-1"/>
        </w:rPr>
        <w:t>d’une</w:t>
      </w:r>
      <w:r>
        <w:rPr>
          <w:color w:val="383638"/>
          <w:spacing w:val="37"/>
        </w:rPr>
        <w:t> </w:t>
      </w:r>
      <w:r>
        <w:rPr>
          <w:color w:val="383638"/>
          <w:spacing w:val="-1"/>
        </w:rPr>
        <w:t>isolation</w:t>
      </w:r>
      <w:r>
        <w:rPr>
          <w:color w:val="383638"/>
          <w:spacing w:val="-7"/>
        </w:rPr>
        <w:t> </w:t>
      </w:r>
      <w:r>
        <w:rPr>
          <w:color w:val="383638"/>
          <w:spacing w:val="-2"/>
        </w:rPr>
        <w:t>thermique</w:t>
      </w:r>
      <w:r>
        <w:rPr>
          <w:color w:val="383638"/>
          <w:spacing w:val="-7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-7"/>
        </w:rPr>
        <w:t> </w:t>
      </w:r>
      <w:r>
        <w:rPr>
          <w:color w:val="383638"/>
        </w:rPr>
        <w:t>24</w:t>
      </w:r>
      <w:r>
        <w:rPr>
          <w:color w:val="383638"/>
          <w:spacing w:val="-7"/>
        </w:rPr>
        <w:t> </w:t>
      </w:r>
      <w:r>
        <w:rPr>
          <w:color w:val="383638"/>
          <w:spacing w:val="-1"/>
        </w:rPr>
        <w:t>cm</w:t>
      </w:r>
      <w:r>
        <w:rPr>
          <w:color w:val="383638"/>
          <w:spacing w:val="-7"/>
        </w:rPr>
        <w:t> </w:t>
      </w:r>
      <w:r>
        <w:rPr>
          <w:color w:val="383638"/>
          <w:spacing w:val="-3"/>
        </w:rPr>
        <w:t>d’épaisseur.</w:t>
      </w:r>
      <w:r>
        <w:rPr>
          <w:color w:val="383638"/>
          <w:spacing w:val="-14"/>
        </w:rPr>
        <w:t> </w:t>
      </w:r>
      <w:r>
        <w:rPr>
          <w:color w:val="383638"/>
          <w:spacing w:val="-5"/>
        </w:rPr>
        <w:t>Le</w:t>
      </w:r>
      <w:r>
        <w:rPr>
          <w:color w:val="383638"/>
          <w:spacing w:val="51"/>
        </w:rPr>
        <w:t> </w:t>
      </w:r>
      <w:r>
        <w:rPr>
          <w:color w:val="383638"/>
          <w:spacing w:val="-1"/>
        </w:rPr>
        <w:t>toit</w:t>
      </w:r>
      <w:r>
        <w:rPr>
          <w:color w:val="383638"/>
          <w:spacing w:val="6"/>
        </w:rPr>
        <w:t> </w:t>
      </w:r>
      <w:r>
        <w:rPr>
          <w:color w:val="383638"/>
        </w:rPr>
        <w:t>a</w:t>
      </w:r>
      <w:r>
        <w:rPr>
          <w:color w:val="383638"/>
          <w:spacing w:val="6"/>
        </w:rPr>
        <w:t> </w:t>
      </w:r>
      <w:r>
        <w:rPr>
          <w:color w:val="383638"/>
          <w:spacing w:val="-2"/>
        </w:rPr>
        <w:t>été</w:t>
      </w:r>
      <w:r>
        <w:rPr>
          <w:color w:val="383638"/>
          <w:spacing w:val="6"/>
        </w:rPr>
        <w:t> </w:t>
      </w:r>
      <w:r>
        <w:rPr>
          <w:color w:val="383638"/>
          <w:spacing w:val="-1"/>
        </w:rPr>
        <w:t>isolé</w:t>
      </w:r>
      <w:r>
        <w:rPr>
          <w:color w:val="383638"/>
          <w:spacing w:val="6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6"/>
        </w:rPr>
        <w:t> </w:t>
      </w:r>
      <w:r>
        <w:rPr>
          <w:color w:val="383638"/>
          <w:spacing w:val="-1"/>
        </w:rPr>
        <w:t>l’intérieur</w:t>
      </w:r>
      <w:r>
        <w:rPr>
          <w:color w:val="383638"/>
          <w:spacing w:val="6"/>
        </w:rPr>
        <w:t> </w:t>
      </w:r>
      <w:r>
        <w:rPr>
          <w:color w:val="383638"/>
        </w:rPr>
        <w:t>et</w:t>
      </w:r>
      <w:r>
        <w:rPr>
          <w:color w:val="383638"/>
          <w:spacing w:val="6"/>
        </w:rPr>
        <w:t> </w:t>
      </w:r>
      <w:r>
        <w:rPr>
          <w:color w:val="383638"/>
          <w:spacing w:val="-1"/>
        </w:rPr>
        <w:t>équipé</w:t>
      </w:r>
      <w:r>
        <w:rPr>
          <w:color w:val="383638"/>
          <w:spacing w:val="6"/>
        </w:rPr>
        <w:t> </w:t>
      </w:r>
      <w:r>
        <w:rPr>
          <w:color w:val="383638"/>
          <w:spacing w:val="-1"/>
        </w:rPr>
        <w:t>d’une</w:t>
      </w:r>
      <w:r>
        <w:rPr>
          <w:color w:val="383638"/>
          <w:spacing w:val="27"/>
        </w:rPr>
        <w:t> </w:t>
      </w:r>
      <w:r>
        <w:rPr>
          <w:color w:val="383638"/>
          <w:spacing w:val="-2"/>
        </w:rPr>
        <w:t>nouvelle</w:t>
      </w:r>
      <w:r>
        <w:rPr>
          <w:color w:val="383638"/>
          <w:spacing w:val="-14"/>
        </w:rPr>
        <w:t> </w:t>
      </w:r>
      <w:r>
        <w:rPr>
          <w:color w:val="383638"/>
          <w:spacing w:val="-1"/>
        </w:rPr>
        <w:t>aération</w:t>
      </w:r>
      <w:r>
        <w:rPr>
          <w:color w:val="383638"/>
          <w:spacing w:val="-14"/>
        </w:rPr>
        <w:t> </w:t>
      </w:r>
      <w:r>
        <w:rPr>
          <w:color w:val="383638"/>
        </w:rPr>
        <w:t>par</w:t>
      </w:r>
      <w:r>
        <w:rPr>
          <w:color w:val="383638"/>
          <w:spacing w:val="-14"/>
        </w:rPr>
        <w:t> </w:t>
      </w:r>
      <w:r>
        <w:rPr>
          <w:color w:val="383638"/>
          <w:spacing w:val="-1"/>
        </w:rPr>
        <w:t>l’arrière.</w:t>
      </w:r>
      <w:r>
        <w:rPr>
          <w:color w:val="383638"/>
          <w:spacing w:val="-21"/>
        </w:rPr>
        <w:t> </w:t>
      </w:r>
      <w:r>
        <w:rPr>
          <w:color w:val="383638"/>
          <w:spacing w:val="-1"/>
        </w:rPr>
        <w:t>Avec</w:t>
      </w:r>
      <w:r>
        <w:rPr>
          <w:color w:val="383638"/>
          <w:spacing w:val="-14"/>
        </w:rPr>
        <w:t> </w:t>
      </w:r>
      <w:r>
        <w:rPr>
          <w:color w:val="383638"/>
          <w:spacing w:val="-1"/>
        </w:rPr>
        <w:t>les</w:t>
      </w:r>
      <w:r>
        <w:rPr>
          <w:color w:val="383638"/>
          <w:spacing w:val="-14"/>
        </w:rPr>
        <w:t> </w:t>
      </w:r>
      <w:r>
        <w:rPr>
          <w:color w:val="383638"/>
        </w:rPr>
        <w:t>15</w:t>
      </w:r>
      <w:r>
        <w:rPr>
          <w:color w:val="383638"/>
          <w:spacing w:val="-14"/>
        </w:rPr>
        <w:t> </w:t>
      </w:r>
      <w:r>
        <w:rPr>
          <w:color w:val="383638"/>
          <w:spacing w:val="-1"/>
        </w:rPr>
        <w:t>cm</w:t>
      </w:r>
      <w:r>
        <w:rPr>
          <w:color w:val="383638"/>
          <w:spacing w:val="33"/>
        </w:rPr>
        <w:t> </w:t>
      </w:r>
      <w:r>
        <w:rPr>
          <w:color w:val="383638"/>
          <w:spacing w:val="-1"/>
        </w:rPr>
        <w:t>d’isolation</w:t>
      </w:r>
      <w:r>
        <w:rPr>
          <w:color w:val="383638"/>
          <w:spacing w:val="2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2"/>
        </w:rPr>
        <w:t> </w:t>
      </w:r>
      <w:r>
        <w:rPr>
          <w:color w:val="383638"/>
        </w:rPr>
        <w:t>la</w:t>
      </w:r>
      <w:r>
        <w:rPr>
          <w:color w:val="383638"/>
          <w:spacing w:val="2"/>
        </w:rPr>
        <w:t> </w:t>
      </w:r>
      <w:r>
        <w:rPr>
          <w:color w:val="383638"/>
          <w:spacing w:val="-1"/>
        </w:rPr>
        <w:t>dalle</w:t>
      </w:r>
      <w:r>
        <w:rPr>
          <w:color w:val="383638"/>
          <w:spacing w:val="2"/>
        </w:rPr>
        <w:t> </w:t>
      </w:r>
      <w:r>
        <w:rPr>
          <w:color w:val="383638"/>
        </w:rPr>
        <w:t>du</w:t>
      </w:r>
      <w:r>
        <w:rPr>
          <w:color w:val="383638"/>
          <w:spacing w:val="2"/>
        </w:rPr>
        <w:t> </w:t>
      </w:r>
      <w:r>
        <w:rPr>
          <w:color w:val="383638"/>
          <w:spacing w:val="-1"/>
        </w:rPr>
        <w:t>sous-sol</w:t>
      </w:r>
      <w:r>
        <w:rPr>
          <w:color w:val="383638"/>
          <w:spacing w:val="2"/>
        </w:rPr>
        <w:t> </w:t>
      </w:r>
      <w:r>
        <w:rPr>
          <w:color w:val="383638"/>
        </w:rPr>
        <w:t>et</w:t>
      </w:r>
      <w:r>
        <w:rPr>
          <w:color w:val="383638"/>
          <w:spacing w:val="2"/>
        </w:rPr>
        <w:t> </w:t>
      </w:r>
      <w:r>
        <w:rPr>
          <w:color w:val="383638"/>
          <w:spacing w:val="-2"/>
        </w:rPr>
        <w:t>le</w:t>
      </w:r>
      <w:r>
        <w:rPr>
          <w:color w:val="383638"/>
          <w:spacing w:val="2"/>
        </w:rPr>
        <w:t> </w:t>
      </w:r>
      <w:r>
        <w:rPr>
          <w:color w:val="383638"/>
          <w:spacing w:val="-1"/>
        </w:rPr>
        <w:t>triple</w:t>
      </w:r>
      <w:r>
        <w:rPr>
          <w:color w:val="383638"/>
          <w:spacing w:val="39"/>
        </w:rPr>
        <w:t> </w:t>
      </w:r>
      <w:r>
        <w:rPr>
          <w:color w:val="383638"/>
          <w:spacing w:val="-1"/>
        </w:rPr>
        <w:t>vitrage,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les</w:t>
      </w:r>
      <w:r>
        <w:rPr>
          <w:color w:val="383638"/>
          <w:spacing w:val="18"/>
        </w:rPr>
        <w:t> </w:t>
      </w:r>
      <w:r>
        <w:rPr>
          <w:color w:val="383638"/>
          <w:spacing w:val="-1"/>
        </w:rPr>
        <w:t>besoins</w:t>
      </w:r>
      <w:r>
        <w:rPr>
          <w:color w:val="383638"/>
          <w:spacing w:val="18"/>
        </w:rPr>
        <w:t> </w:t>
      </w:r>
      <w:r>
        <w:rPr>
          <w:color w:val="383638"/>
          <w:spacing w:val="-1"/>
        </w:rPr>
        <w:t>en</w:t>
      </w:r>
      <w:r>
        <w:rPr>
          <w:color w:val="383638"/>
          <w:spacing w:val="18"/>
        </w:rPr>
        <w:t> </w:t>
      </w:r>
      <w:r>
        <w:rPr>
          <w:color w:val="383638"/>
          <w:spacing w:val="-2"/>
        </w:rPr>
        <w:t>énergie</w:t>
      </w:r>
      <w:r>
        <w:rPr>
          <w:color w:val="383638"/>
          <w:spacing w:val="18"/>
        </w:rPr>
        <w:t> </w:t>
      </w:r>
      <w:r>
        <w:rPr>
          <w:color w:val="383638"/>
        </w:rPr>
        <w:t>ont</w:t>
      </w:r>
      <w:r>
        <w:rPr>
          <w:color w:val="383638"/>
          <w:spacing w:val="18"/>
        </w:rPr>
        <w:t> </w:t>
      </w:r>
      <w:r>
        <w:rPr>
          <w:color w:val="383638"/>
          <w:spacing w:val="-1"/>
        </w:rPr>
        <w:t>diminué</w:t>
      </w:r>
      <w:r>
        <w:rPr>
          <w:color w:val="383638"/>
          <w:spacing w:val="37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8"/>
        </w:rPr>
        <w:t> </w:t>
      </w:r>
      <w:r>
        <w:rPr>
          <w:color w:val="383638"/>
        </w:rPr>
        <w:t>plus</w:t>
      </w:r>
      <w:r>
        <w:rPr>
          <w:color w:val="383638"/>
          <w:spacing w:val="8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8"/>
        </w:rPr>
        <w:t> </w:t>
      </w:r>
      <w:r>
        <w:rPr>
          <w:color w:val="383638"/>
        </w:rPr>
        <w:t>50%,</w:t>
      </w:r>
      <w:r>
        <w:rPr>
          <w:color w:val="383638"/>
          <w:spacing w:val="1"/>
        </w:rPr>
        <w:t> </w:t>
      </w:r>
      <w:r>
        <w:rPr>
          <w:color w:val="383638"/>
        </w:rPr>
        <w:t>passant</w:t>
      </w:r>
      <w:r>
        <w:rPr>
          <w:color w:val="383638"/>
          <w:spacing w:val="8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8"/>
        </w:rPr>
        <w:t> </w:t>
      </w:r>
      <w:r>
        <w:rPr>
          <w:color w:val="383638"/>
        </w:rPr>
        <w:t>24’900</w:t>
      </w:r>
      <w:r>
        <w:rPr>
          <w:color w:val="383638"/>
          <w:spacing w:val="8"/>
        </w:rPr>
        <w:t> </w:t>
      </w:r>
      <w:r>
        <w:rPr>
          <w:color w:val="383638"/>
          <w:spacing w:val="-3"/>
        </w:rPr>
        <w:t>kWh/a</w:t>
      </w:r>
      <w:r>
        <w:rPr>
          <w:color w:val="383638"/>
          <w:spacing w:val="26"/>
        </w:rPr>
        <w:t> </w:t>
      </w:r>
      <w:r>
        <w:rPr>
          <w:color w:val="383638"/>
        </w:rPr>
        <w:t>à</w:t>
      </w:r>
      <w:r>
        <w:rPr>
          <w:color w:val="383638"/>
          <w:spacing w:val="5"/>
        </w:rPr>
        <w:t> </w:t>
      </w:r>
      <w:r>
        <w:rPr>
          <w:color w:val="383638"/>
        </w:rPr>
        <w:t>10’200</w:t>
      </w:r>
      <w:r>
        <w:rPr>
          <w:color w:val="383638"/>
          <w:spacing w:val="5"/>
        </w:rPr>
        <w:t> </w:t>
      </w:r>
      <w:r>
        <w:rPr>
          <w:color w:val="383638"/>
          <w:spacing w:val="-2"/>
        </w:rPr>
        <w:t>kWh/a. L’installation</w:t>
      </w:r>
      <w:r>
        <w:rPr>
          <w:color w:val="383638"/>
          <w:spacing w:val="5"/>
        </w:rPr>
        <w:t> </w:t>
      </w:r>
      <w:r>
        <w:rPr>
          <w:color w:val="383638"/>
          <w:spacing w:val="1"/>
        </w:rPr>
        <w:t>PV</w:t>
      </w:r>
      <w:r>
        <w:rPr>
          <w:color w:val="383638"/>
          <w:spacing w:val="5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5"/>
        </w:rPr>
        <w:t> </w:t>
      </w:r>
      <w:r>
        <w:rPr>
          <w:color w:val="383638"/>
        </w:rPr>
        <w:t>5</w:t>
      </w:r>
      <w:r>
        <w:rPr>
          <w:color w:val="383638"/>
          <w:spacing w:val="5"/>
        </w:rPr>
        <w:t> </w:t>
      </w:r>
      <w:r>
        <w:rPr>
          <w:color w:val="383638"/>
          <w:spacing w:val="-2"/>
        </w:rPr>
        <w:t>kWc</w:t>
      </w:r>
      <w:r>
        <w:rPr>
          <w:color w:val="383638"/>
          <w:spacing w:val="23"/>
        </w:rPr>
        <w:t> </w:t>
      </w:r>
      <w:r>
        <w:rPr>
          <w:color w:val="383638"/>
        </w:rPr>
        <w:t>et</w:t>
      </w:r>
      <w:r>
        <w:rPr>
          <w:color w:val="383638"/>
          <w:spacing w:val="5"/>
        </w:rPr>
        <w:t> </w:t>
      </w:r>
      <w:r>
        <w:rPr>
          <w:color w:val="383638"/>
        </w:rPr>
        <w:t>29,5</w:t>
      </w:r>
      <w:r>
        <w:rPr>
          <w:color w:val="383638"/>
          <w:spacing w:val="5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 </w:t>
      </w:r>
      <w:r>
        <w:rPr>
          <w:color w:val="383638"/>
          <w:spacing w:val="-2"/>
        </w:rPr>
        <w:t>recouvre</w:t>
      </w:r>
      <w:r>
        <w:rPr>
          <w:color w:val="383638"/>
          <w:spacing w:val="5"/>
        </w:rPr>
        <w:t> </w:t>
      </w:r>
      <w:r>
        <w:rPr>
          <w:color w:val="383638"/>
          <w:spacing w:val="-2"/>
        </w:rPr>
        <w:t>le</w:t>
      </w:r>
      <w:r>
        <w:rPr>
          <w:color w:val="383638"/>
          <w:spacing w:val="6"/>
        </w:rPr>
        <w:t> </w:t>
      </w:r>
      <w:r>
        <w:rPr>
          <w:color w:val="383638"/>
          <w:spacing w:val="-2"/>
        </w:rPr>
        <w:t>côté</w:t>
      </w:r>
      <w:r>
        <w:rPr>
          <w:color w:val="383638"/>
          <w:spacing w:val="5"/>
        </w:rPr>
        <w:t> </w:t>
      </w:r>
      <w:r>
        <w:rPr>
          <w:color w:val="383638"/>
          <w:spacing w:val="-2"/>
        </w:rPr>
        <w:t>sud</w:t>
      </w:r>
      <w:r>
        <w:rPr>
          <w:color w:val="383638"/>
          <w:spacing w:val="5"/>
        </w:rPr>
        <w:t> </w:t>
      </w:r>
      <w:r>
        <w:rPr>
          <w:color w:val="383638"/>
        </w:rPr>
        <w:t>du</w:t>
      </w:r>
      <w:r>
        <w:rPr>
          <w:color w:val="383638"/>
          <w:spacing w:val="5"/>
        </w:rPr>
        <w:t> </w:t>
      </w:r>
      <w:r>
        <w:rPr>
          <w:color w:val="383638"/>
          <w:spacing w:val="-1"/>
        </w:rPr>
        <w:t>toit</w:t>
      </w:r>
      <w:r>
        <w:rPr>
          <w:color w:val="383638"/>
          <w:spacing w:val="6"/>
        </w:rPr>
        <w:t> </w:t>
      </w:r>
      <w:r>
        <w:rPr>
          <w:color w:val="383638"/>
        </w:rPr>
        <w:t>à</w:t>
      </w:r>
      <w:r>
        <w:rPr>
          <w:color w:val="383638"/>
          <w:spacing w:val="5"/>
        </w:rPr>
        <w:t> </w:t>
      </w:r>
      <w:r>
        <w:rPr>
          <w:color w:val="383638"/>
          <w:spacing w:val="-1"/>
        </w:rPr>
        <w:t>pi-</w:t>
      </w:r>
      <w:r>
        <w:rPr>
          <w:color w:val="383638"/>
          <w:spacing w:val="30"/>
        </w:rPr>
        <w:t> </w:t>
      </w:r>
      <w:r>
        <w:rPr>
          <w:color w:val="383638"/>
          <w:spacing w:val="-1"/>
        </w:rPr>
        <w:t>gnon.</w:t>
      </w:r>
      <w:r>
        <w:rPr>
          <w:color w:val="383638"/>
          <w:spacing w:val="19"/>
        </w:rPr>
        <w:t> </w:t>
      </w:r>
      <w:r>
        <w:rPr>
          <w:color w:val="383638"/>
          <w:spacing w:val="-1"/>
        </w:rPr>
        <w:t>Elle</w:t>
      </w:r>
      <w:r>
        <w:rPr>
          <w:color w:val="383638"/>
          <w:spacing w:val="25"/>
        </w:rPr>
        <w:t> </w:t>
      </w:r>
      <w:r>
        <w:rPr>
          <w:color w:val="383638"/>
          <w:spacing w:val="-1"/>
        </w:rPr>
        <w:t>fournit</w:t>
      </w:r>
      <w:r>
        <w:rPr>
          <w:color w:val="383638"/>
          <w:spacing w:val="26"/>
        </w:rPr>
        <w:t> </w:t>
      </w:r>
      <w:r>
        <w:rPr>
          <w:color w:val="383638"/>
          <w:spacing w:val="-2"/>
        </w:rPr>
        <w:t>quelque</w:t>
      </w:r>
      <w:r>
        <w:rPr>
          <w:color w:val="383638"/>
          <w:spacing w:val="25"/>
        </w:rPr>
        <w:t> </w:t>
      </w:r>
      <w:r>
        <w:rPr>
          <w:color w:val="383638"/>
        </w:rPr>
        <w:t>5’850</w:t>
      </w:r>
      <w:r>
        <w:rPr>
          <w:color w:val="383638"/>
          <w:spacing w:val="26"/>
        </w:rPr>
        <w:t> </w:t>
      </w:r>
      <w:r>
        <w:rPr>
          <w:color w:val="383638"/>
          <w:spacing w:val="-3"/>
        </w:rPr>
        <w:t>kWh/a</w:t>
      </w:r>
      <w:r>
        <w:rPr>
          <w:color w:val="383638"/>
          <w:spacing w:val="26"/>
        </w:rPr>
        <w:t> </w:t>
      </w:r>
      <w:r>
        <w:rPr>
          <w:color w:val="383638"/>
        </w:rPr>
        <w:t>et</w:t>
      </w:r>
      <w:r>
        <w:rPr>
          <w:color w:val="383638"/>
          <w:spacing w:val="29"/>
        </w:rPr>
        <w:t> </w:t>
      </w:r>
      <w:r>
        <w:rPr>
          <w:color w:val="383638"/>
          <w:spacing w:val="-2"/>
        </w:rPr>
        <w:t>répond</w:t>
      </w:r>
      <w:r>
        <w:rPr>
          <w:color w:val="383638"/>
          <w:spacing w:val="30"/>
        </w:rPr>
        <w:t> </w:t>
      </w:r>
      <w:r>
        <w:rPr>
          <w:color w:val="383638"/>
        </w:rPr>
        <w:t>ainsi</w:t>
      </w:r>
      <w:r>
        <w:rPr>
          <w:color w:val="383638"/>
          <w:spacing w:val="31"/>
        </w:rPr>
        <w:t> </w:t>
      </w:r>
      <w:r>
        <w:rPr>
          <w:color w:val="383638"/>
        </w:rPr>
        <w:t>aux</w:t>
      </w:r>
      <w:r>
        <w:rPr>
          <w:color w:val="383638"/>
          <w:spacing w:val="30"/>
        </w:rPr>
        <w:t> </w:t>
      </w:r>
      <w:r>
        <w:rPr>
          <w:color w:val="383638"/>
          <w:spacing w:val="-1"/>
        </w:rPr>
        <w:t>besoins</w:t>
      </w:r>
      <w:r>
        <w:rPr>
          <w:color w:val="383638"/>
          <w:spacing w:val="31"/>
        </w:rPr>
        <w:t> </w:t>
      </w:r>
      <w:r>
        <w:rPr>
          <w:color w:val="383638"/>
          <w:spacing w:val="-1"/>
        </w:rPr>
        <w:t>en</w:t>
      </w:r>
      <w:r>
        <w:rPr>
          <w:color w:val="383638"/>
          <w:spacing w:val="31"/>
        </w:rPr>
        <w:t> </w:t>
      </w:r>
      <w:r>
        <w:rPr>
          <w:color w:val="383638"/>
          <w:spacing w:val="-2"/>
        </w:rPr>
        <w:t>électricité.</w:t>
      </w:r>
      <w:r>
        <w:rPr>
          <w:color w:val="383638"/>
          <w:spacing w:val="23"/>
        </w:rPr>
        <w:t> </w:t>
      </w:r>
      <w:r>
        <w:rPr>
          <w:color w:val="383638"/>
          <w:spacing w:val="-5"/>
        </w:rPr>
        <w:t>Le</w:t>
      </w:r>
      <w:r>
        <w:rPr>
          <w:color w:val="383638"/>
          <w:spacing w:val="49"/>
        </w:rPr>
        <w:t> </w:t>
      </w:r>
      <w:r>
        <w:rPr>
          <w:color w:val="383638"/>
          <w:spacing w:val="-2"/>
        </w:rPr>
        <w:t>solde</w:t>
      </w:r>
      <w:r>
        <w:rPr>
          <w:color w:val="383638"/>
          <w:spacing w:val="4"/>
        </w:rPr>
        <w:t> </w:t>
      </w:r>
      <w:r>
        <w:rPr>
          <w:color w:val="383638"/>
          <w:spacing w:val="-2"/>
        </w:rPr>
        <w:t>d’énergie</w:t>
      </w:r>
      <w:r>
        <w:rPr>
          <w:color w:val="383638"/>
        </w:rPr>
        <w:t> </w:t>
      </w:r>
      <w:r>
        <w:rPr>
          <w:color w:val="383638"/>
          <w:spacing w:val="4"/>
        </w:rPr>
        <w:t> </w:t>
      </w:r>
      <w:r>
        <w:rPr>
          <w:color w:val="383638"/>
          <w:spacing w:val="-2"/>
        </w:rPr>
        <w:t>thermique</w:t>
      </w:r>
      <w:r>
        <w:rPr>
          <w:color w:val="383638"/>
        </w:rPr>
        <w:t> </w:t>
      </w:r>
      <w:r>
        <w:rPr>
          <w:color w:val="383638"/>
          <w:spacing w:val="4"/>
        </w:rPr>
        <w:t> </w:t>
      </w:r>
      <w:r>
        <w:rPr>
          <w:color w:val="383638"/>
          <w:spacing w:val="-1"/>
        </w:rPr>
        <w:t>vient</w:t>
      </w:r>
      <w:r>
        <w:rPr>
          <w:color w:val="383638"/>
        </w:rPr>
        <w:t> </w:t>
      </w:r>
      <w:r>
        <w:rPr>
          <w:color w:val="383638"/>
          <w:spacing w:val="4"/>
        </w:rPr>
        <w:t> </w:t>
      </w:r>
      <w:r>
        <w:rPr>
          <w:color w:val="383638"/>
        </w:rPr>
        <w:t>du </w:t>
      </w:r>
      <w:r>
        <w:rPr>
          <w:color w:val="383638"/>
          <w:spacing w:val="4"/>
        </w:rPr>
        <w:t> </w:t>
      </w:r>
      <w:r>
        <w:rPr>
          <w:color w:val="383638"/>
          <w:spacing w:val="-1"/>
        </w:rPr>
        <w:t>poêle</w:t>
      </w:r>
      <w:r>
        <w:rPr>
          <w:color w:val="383638"/>
          <w:spacing w:val="25"/>
        </w:rPr>
        <w:t> </w:t>
      </w:r>
      <w:r>
        <w:rPr>
          <w:color w:val="383638"/>
        </w:rPr>
        <w:t>à</w:t>
      </w:r>
      <w:r>
        <w:rPr>
          <w:color w:val="383638"/>
          <w:spacing w:val="37"/>
        </w:rPr>
        <w:t> </w:t>
      </w:r>
      <w:r>
        <w:rPr>
          <w:color w:val="383638"/>
          <w:spacing w:val="-1"/>
        </w:rPr>
        <w:t>accumulation</w:t>
      </w:r>
      <w:r>
        <w:rPr>
          <w:color w:val="383638"/>
          <w:spacing w:val="38"/>
        </w:rPr>
        <w:t> </w:t>
      </w:r>
      <w:r>
        <w:rPr>
          <w:color w:val="383638"/>
          <w:spacing w:val="-1"/>
        </w:rPr>
        <w:t>central</w:t>
      </w:r>
      <w:r>
        <w:rPr>
          <w:color w:val="383638"/>
          <w:spacing w:val="37"/>
        </w:rPr>
        <w:t> </w:t>
      </w:r>
      <w:r>
        <w:rPr>
          <w:color w:val="383638"/>
          <w:spacing w:val="-2"/>
        </w:rPr>
        <w:t>avec</w:t>
      </w:r>
      <w:r>
        <w:rPr>
          <w:color w:val="383638"/>
          <w:spacing w:val="38"/>
        </w:rPr>
        <w:t> </w:t>
      </w:r>
      <w:r>
        <w:rPr>
          <w:color w:val="383638"/>
          <w:spacing w:val="-2"/>
        </w:rPr>
        <w:t>registre</w:t>
      </w:r>
      <w:r>
        <w:rPr>
          <w:color w:val="383638"/>
          <w:spacing w:val="38"/>
        </w:rPr>
        <w:t> </w:t>
      </w:r>
      <w:r>
        <w:rPr>
          <w:color w:val="383638"/>
          <w:spacing w:val="-1"/>
        </w:rPr>
        <w:t>d’eau</w:t>
      </w:r>
      <w:r>
        <w:rPr>
          <w:color w:val="383638"/>
          <w:spacing w:val="35"/>
        </w:rPr>
        <w:t> </w:t>
      </w:r>
      <w:r>
        <w:rPr>
          <w:color w:val="383638"/>
          <w:spacing w:val="-1"/>
        </w:rPr>
        <w:t>chaude.</w:t>
      </w:r>
      <w:r>
        <w:rPr>
          <w:color w:val="383638"/>
          <w:spacing w:val="-15"/>
        </w:rPr>
        <w:t> </w:t>
      </w:r>
      <w:r>
        <w:rPr>
          <w:color w:val="383638"/>
          <w:spacing w:val="-2"/>
        </w:rPr>
        <w:t>La</w:t>
      </w:r>
      <w:r>
        <w:rPr>
          <w:color w:val="383638"/>
          <w:spacing w:val="-8"/>
        </w:rPr>
        <w:t> </w:t>
      </w:r>
      <w:r>
        <w:rPr>
          <w:color w:val="383638"/>
          <w:spacing w:val="-1"/>
        </w:rPr>
        <w:t>famille</w:t>
      </w:r>
      <w:r>
        <w:rPr>
          <w:color w:val="383638"/>
          <w:spacing w:val="-15"/>
        </w:rPr>
        <w:t> </w:t>
      </w:r>
      <w:r>
        <w:rPr>
          <w:color w:val="383638"/>
          <w:spacing w:val="-4"/>
        </w:rPr>
        <w:t>Torres</w:t>
      </w:r>
      <w:r>
        <w:rPr>
          <w:color w:val="383638"/>
          <w:spacing w:val="-8"/>
        </w:rPr>
        <w:t> </w:t>
      </w:r>
      <w:r>
        <w:rPr>
          <w:color w:val="383638"/>
          <w:spacing w:val="-1"/>
        </w:rPr>
        <w:t>Nova</w:t>
      </w:r>
      <w:r>
        <w:rPr>
          <w:color w:val="383638"/>
          <w:spacing w:val="-8"/>
        </w:rPr>
        <w:t> </w:t>
      </w:r>
      <w:r>
        <w:rPr>
          <w:color w:val="383638"/>
          <w:spacing w:val="-1"/>
        </w:rPr>
        <w:t>utilise</w:t>
      </w:r>
      <w:r>
        <w:rPr>
          <w:color w:val="383638"/>
          <w:spacing w:val="-8"/>
        </w:rPr>
        <w:t> </w:t>
      </w:r>
      <w:r>
        <w:rPr>
          <w:color w:val="383638"/>
          <w:spacing w:val="-1"/>
        </w:rPr>
        <w:t>environ</w:t>
      </w:r>
      <w:r>
        <w:rPr>
          <w:color w:val="383638"/>
          <w:spacing w:val="35"/>
        </w:rPr>
        <w:t> </w:t>
      </w:r>
      <w:r>
        <w:rPr>
          <w:color w:val="383638"/>
          <w:spacing w:val="-1"/>
        </w:rPr>
        <w:t>deux</w:t>
      </w:r>
      <w:r>
        <w:rPr>
          <w:color w:val="383638"/>
          <w:spacing w:val="-3"/>
        </w:rPr>
        <w:t> </w:t>
      </w:r>
      <w:r>
        <w:rPr>
          <w:color w:val="383638"/>
          <w:spacing w:val="-2"/>
        </w:rPr>
        <w:t>stères</w:t>
      </w:r>
      <w:r>
        <w:rPr>
          <w:color w:val="383638"/>
          <w:spacing w:val="-3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-3"/>
        </w:rPr>
        <w:t> </w:t>
      </w:r>
      <w:r>
        <w:rPr>
          <w:color w:val="383638"/>
        </w:rPr>
        <w:t>bois</w:t>
      </w:r>
      <w:r>
        <w:rPr>
          <w:color w:val="383638"/>
          <w:spacing w:val="-3"/>
        </w:rPr>
        <w:t> </w:t>
      </w:r>
      <w:r>
        <w:rPr>
          <w:color w:val="383638"/>
        </w:rPr>
        <w:t>par</w:t>
      </w:r>
      <w:r>
        <w:rPr>
          <w:color w:val="383638"/>
          <w:spacing w:val="-3"/>
        </w:rPr>
        <w:t> </w:t>
      </w:r>
      <w:r>
        <w:rPr>
          <w:color w:val="383638"/>
        </w:rPr>
        <w:t>an.</w:t>
      </w:r>
      <w:r>
        <w:rPr>
          <w:color w:val="383638"/>
          <w:spacing w:val="-11"/>
        </w:rPr>
        <w:t> </w:t>
      </w:r>
      <w:r>
        <w:rPr>
          <w:color w:val="383638"/>
          <w:spacing w:val="-1"/>
        </w:rPr>
        <w:t>Pendant</w:t>
      </w:r>
      <w:r>
        <w:rPr>
          <w:color w:val="383638"/>
          <w:spacing w:val="-3"/>
        </w:rPr>
        <w:t> </w:t>
      </w:r>
      <w:r>
        <w:rPr>
          <w:color w:val="383638"/>
          <w:spacing w:val="-1"/>
        </w:rPr>
        <w:t>les</w:t>
      </w:r>
      <w:r>
        <w:rPr>
          <w:color w:val="383638"/>
          <w:spacing w:val="-3"/>
        </w:rPr>
        <w:t> </w:t>
      </w:r>
      <w:r>
        <w:rPr>
          <w:color w:val="383638"/>
          <w:spacing w:val="-1"/>
        </w:rPr>
        <w:t>mois</w:t>
      </w:r>
      <w:r>
        <w:rPr>
          <w:color w:val="383638"/>
          <w:spacing w:val="26"/>
        </w:rPr>
        <w:t> </w:t>
      </w:r>
      <w:r>
        <w:rPr>
          <w:color w:val="383638"/>
          <w:spacing w:val="-2"/>
        </w:rPr>
        <w:t>d’été,</w:t>
      </w:r>
      <w:r>
        <w:rPr>
          <w:color w:val="383638"/>
          <w:spacing w:val="10"/>
        </w:rPr>
        <w:t> </w:t>
      </w:r>
      <w:r>
        <w:rPr>
          <w:color w:val="383638"/>
          <w:spacing w:val="-1"/>
        </w:rPr>
        <w:t>une</w:t>
      </w:r>
      <w:r>
        <w:rPr>
          <w:color w:val="383638"/>
          <w:spacing w:val="17"/>
        </w:rPr>
        <w:t> </w:t>
      </w:r>
      <w:r>
        <w:rPr>
          <w:color w:val="383638"/>
        </w:rPr>
        <w:t>pompe</w:t>
      </w:r>
      <w:r>
        <w:rPr>
          <w:color w:val="383638"/>
          <w:spacing w:val="17"/>
        </w:rPr>
        <w:t> </w:t>
      </w:r>
      <w:r>
        <w:rPr>
          <w:color w:val="383638"/>
        </w:rPr>
        <w:t>à</w:t>
      </w:r>
      <w:r>
        <w:rPr>
          <w:color w:val="383638"/>
          <w:spacing w:val="17"/>
        </w:rPr>
        <w:t> </w:t>
      </w:r>
      <w:r>
        <w:rPr>
          <w:color w:val="383638"/>
          <w:spacing w:val="-1"/>
        </w:rPr>
        <w:t>chaleur</w:t>
      </w:r>
      <w:r>
        <w:rPr>
          <w:color w:val="383638"/>
          <w:spacing w:val="17"/>
        </w:rPr>
        <w:t> </w:t>
      </w:r>
      <w:r>
        <w:rPr>
          <w:color w:val="383638"/>
        </w:rPr>
        <w:t>air-eau</w:t>
      </w:r>
      <w:r>
        <w:rPr>
          <w:color w:val="383638"/>
          <w:spacing w:val="17"/>
        </w:rPr>
        <w:t> </w:t>
      </w:r>
      <w:r>
        <w:rPr>
          <w:color w:val="383638"/>
        </w:rPr>
        <w:t>chauffe</w:t>
      </w:r>
      <w:r>
        <w:rPr>
          <w:color w:val="383638"/>
          <w:spacing w:val="23"/>
        </w:rPr>
        <w:t> </w:t>
      </w:r>
      <w:r>
        <w:rPr>
          <w:color w:val="383638"/>
          <w:spacing w:val="-1"/>
        </w:rPr>
        <w:t>l’eau.</w:t>
      </w:r>
      <w:r>
        <w:rPr>
          <w:color w:val="383638"/>
        </w:rPr>
        <w:t> Ainsi, la</w:t>
      </w:r>
      <w:r>
        <w:rPr>
          <w:color w:val="383638"/>
          <w:spacing w:val="7"/>
        </w:rPr>
        <w:t> </w:t>
      </w:r>
      <w:r>
        <w:rPr>
          <w:color w:val="383638"/>
          <w:spacing w:val="-1"/>
        </w:rPr>
        <w:t>maison</w:t>
      </w:r>
      <w:r>
        <w:rPr>
          <w:color w:val="383638"/>
          <w:spacing w:val="7"/>
        </w:rPr>
        <w:t> </w:t>
      </w:r>
      <w:r>
        <w:rPr>
          <w:color w:val="383638"/>
          <w:spacing w:val="-2"/>
        </w:rPr>
        <w:t>couvre</w:t>
      </w:r>
      <w:r>
        <w:rPr>
          <w:color w:val="383638"/>
          <w:spacing w:val="7"/>
        </w:rPr>
        <w:t> </w:t>
      </w:r>
      <w:r>
        <w:rPr>
          <w:color w:val="383638"/>
        </w:rPr>
        <w:t>sa</w:t>
      </w:r>
      <w:r>
        <w:rPr>
          <w:color w:val="383638"/>
          <w:spacing w:val="7"/>
        </w:rPr>
        <w:t> </w:t>
      </w:r>
      <w:r>
        <w:rPr>
          <w:color w:val="383638"/>
          <w:spacing w:val="-1"/>
        </w:rPr>
        <w:t>consomma-</w:t>
      </w:r>
      <w:r>
        <w:rPr>
          <w:color w:val="383638"/>
          <w:spacing w:val="31"/>
        </w:rPr>
        <w:t> </w:t>
      </w:r>
      <w:r>
        <w:rPr>
          <w:color w:val="383638"/>
          <w:spacing w:val="-1"/>
        </w:rPr>
        <w:t>tion</w:t>
      </w:r>
      <w:r>
        <w:rPr>
          <w:color w:val="383638"/>
          <w:spacing w:val="14"/>
        </w:rPr>
        <w:t> </w:t>
      </w:r>
      <w:r>
        <w:rPr>
          <w:color w:val="383638"/>
          <w:spacing w:val="-2"/>
        </w:rPr>
        <w:t>presque</w:t>
      </w:r>
      <w:r>
        <w:rPr>
          <w:color w:val="383638"/>
          <w:spacing w:val="14"/>
        </w:rPr>
        <w:t> </w:t>
      </w:r>
      <w:r>
        <w:rPr>
          <w:color w:val="383638"/>
          <w:spacing w:val="-2"/>
        </w:rPr>
        <w:t>uniquement</w:t>
      </w:r>
      <w:r>
        <w:rPr>
          <w:color w:val="383638"/>
          <w:spacing w:val="14"/>
        </w:rPr>
        <w:t> </w:t>
      </w:r>
      <w:r>
        <w:rPr>
          <w:color w:val="383638"/>
          <w:spacing w:val="-2"/>
        </w:rPr>
        <w:t>avec</w:t>
      </w:r>
      <w:r>
        <w:rPr>
          <w:color w:val="383638"/>
          <w:spacing w:val="14"/>
        </w:rPr>
        <w:t> </w:t>
      </w:r>
      <w:r>
        <w:rPr>
          <w:color w:val="383638"/>
          <w:spacing w:val="-1"/>
        </w:rPr>
        <w:t>des</w:t>
      </w:r>
      <w:r>
        <w:rPr>
          <w:color w:val="383638"/>
          <w:spacing w:val="14"/>
        </w:rPr>
        <w:t> </w:t>
      </w:r>
      <w:r>
        <w:rPr>
          <w:color w:val="383638"/>
          <w:spacing w:val="-2"/>
        </w:rPr>
        <w:t>énergies</w:t>
      </w:r>
      <w:r>
        <w:rPr>
          <w:color w:val="383638"/>
          <w:spacing w:val="37"/>
        </w:rPr>
        <w:t> </w:t>
      </w:r>
      <w:r>
        <w:rPr>
          <w:color w:val="383638"/>
          <w:spacing w:val="-1"/>
        </w:rPr>
        <w:t>renouvelables.</w:t>
      </w:r>
      <w:r>
        <w:rPr>
          <w:i w:val="0"/>
        </w:rPr>
      </w:r>
    </w:p>
    <w:p>
      <w:pPr>
        <w:pStyle w:val="BodyText"/>
        <w:spacing w:line="230" w:lineRule="exact"/>
        <w:ind w:right="0" w:firstLine="226"/>
        <w:jc w:val="both"/>
        <w:rPr>
          <w:i w:val="0"/>
        </w:rPr>
      </w:pPr>
      <w:r>
        <w:rPr>
          <w:color w:val="383638"/>
          <w:spacing w:val="-2"/>
        </w:rPr>
        <w:t>La</w:t>
      </w:r>
      <w:r>
        <w:rPr>
          <w:color w:val="383638"/>
          <w:spacing w:val="2"/>
        </w:rPr>
        <w:t> </w:t>
      </w:r>
      <w:r>
        <w:rPr>
          <w:color w:val="383638"/>
          <w:spacing w:val="-1"/>
        </w:rPr>
        <w:t>transformation</w:t>
      </w:r>
      <w:r>
        <w:rPr>
          <w:color w:val="383638"/>
        </w:rPr>
        <w:t> </w:t>
      </w:r>
      <w:r>
        <w:rPr>
          <w:color w:val="383638"/>
          <w:spacing w:val="2"/>
        </w:rPr>
        <w:t> </w:t>
      </w:r>
      <w:r>
        <w:rPr>
          <w:color w:val="383638"/>
          <w:spacing w:val="-2"/>
        </w:rPr>
        <w:t>de</w:t>
      </w:r>
      <w:r>
        <w:rPr>
          <w:color w:val="383638"/>
        </w:rPr>
        <w:t> </w:t>
      </w:r>
      <w:r>
        <w:rPr>
          <w:color w:val="383638"/>
          <w:spacing w:val="2"/>
        </w:rPr>
        <w:t> </w:t>
      </w:r>
      <w:r>
        <w:rPr>
          <w:color w:val="383638"/>
        </w:rPr>
        <w:t>la </w:t>
      </w:r>
      <w:r>
        <w:rPr>
          <w:color w:val="383638"/>
          <w:spacing w:val="2"/>
        </w:rPr>
        <w:t> </w:t>
      </w:r>
      <w:r>
        <w:rPr>
          <w:color w:val="383638"/>
        </w:rPr>
        <w:t>Göblistrasse</w:t>
      </w:r>
      <w:r>
        <w:rPr>
          <w:color w:val="383638"/>
          <w:spacing w:val="27"/>
        </w:rPr>
        <w:t> </w:t>
      </w:r>
      <w:r>
        <w:rPr>
          <w:color w:val="383638"/>
        </w:rPr>
        <w:t>29b</w:t>
      </w:r>
      <w:r>
        <w:rPr>
          <w:color w:val="383638"/>
          <w:spacing w:val="9"/>
        </w:rPr>
        <w:t> </w:t>
      </w:r>
      <w:r>
        <w:rPr>
          <w:color w:val="383638"/>
          <w:spacing w:val="-1"/>
        </w:rPr>
        <w:t>montre,</w:t>
      </w:r>
      <w:r>
        <w:rPr>
          <w:color w:val="383638"/>
          <w:spacing w:val="2"/>
        </w:rPr>
        <w:t> </w:t>
      </w:r>
      <w:r>
        <w:rPr>
          <w:color w:val="383638"/>
          <w:spacing w:val="-2"/>
        </w:rPr>
        <w:t>de</w:t>
      </w:r>
      <w:r>
        <w:rPr>
          <w:color w:val="383638"/>
          <w:spacing w:val="9"/>
        </w:rPr>
        <w:t> </w:t>
      </w:r>
      <w:r>
        <w:rPr>
          <w:color w:val="383638"/>
          <w:spacing w:val="-2"/>
        </w:rPr>
        <w:t>manière</w:t>
      </w:r>
      <w:r>
        <w:rPr>
          <w:color w:val="383638"/>
          <w:spacing w:val="9"/>
        </w:rPr>
        <w:t> </w:t>
      </w:r>
      <w:r>
        <w:rPr>
          <w:color w:val="383638"/>
          <w:spacing w:val="-2"/>
        </w:rPr>
        <w:t>exemplaire,</w:t>
      </w:r>
      <w:r>
        <w:rPr>
          <w:color w:val="383638"/>
          <w:spacing w:val="2"/>
        </w:rPr>
        <w:t> </w:t>
      </w:r>
      <w:r>
        <w:rPr>
          <w:color w:val="383638"/>
          <w:spacing w:val="-2"/>
        </w:rPr>
        <w:t>que</w:t>
      </w:r>
      <w:r>
        <w:rPr>
          <w:color w:val="383638"/>
          <w:spacing w:val="29"/>
        </w:rPr>
        <w:t> </w:t>
      </w:r>
      <w:r>
        <w:rPr>
          <w:color w:val="383638"/>
          <w:spacing w:val="-1"/>
        </w:rPr>
        <w:t>l’aspect</w:t>
      </w:r>
      <w:r>
        <w:rPr>
          <w:color w:val="383638"/>
          <w:spacing w:val="1"/>
        </w:rPr>
        <w:t> </w:t>
      </w:r>
      <w:r>
        <w:rPr>
          <w:color w:val="383638"/>
          <w:spacing w:val="-1"/>
        </w:rPr>
        <w:t>général</w:t>
      </w:r>
      <w:r>
        <w:rPr>
          <w:color w:val="383638"/>
          <w:spacing w:val="1"/>
        </w:rPr>
        <w:t> </w:t>
      </w:r>
      <w:r>
        <w:rPr>
          <w:color w:val="383638"/>
          <w:spacing w:val="-1"/>
        </w:rPr>
        <w:t>d’une</w:t>
      </w:r>
      <w:r>
        <w:rPr>
          <w:color w:val="383638"/>
          <w:spacing w:val="1"/>
        </w:rPr>
        <w:t> </w:t>
      </w:r>
      <w:r>
        <w:rPr>
          <w:color w:val="383638"/>
          <w:spacing w:val="-1"/>
        </w:rPr>
        <w:t>maison</w:t>
      </w:r>
      <w:r>
        <w:rPr>
          <w:color w:val="383638"/>
          <w:spacing w:val="1"/>
        </w:rPr>
        <w:t> </w:t>
      </w:r>
      <w:r>
        <w:rPr>
          <w:color w:val="383638"/>
          <w:spacing w:val="-2"/>
        </w:rPr>
        <w:t>contiguë</w:t>
      </w:r>
      <w:r>
        <w:rPr>
          <w:color w:val="383638"/>
          <w:spacing w:val="1"/>
        </w:rPr>
        <w:t> </w:t>
      </w:r>
      <w:r>
        <w:rPr>
          <w:color w:val="383638"/>
        </w:rPr>
        <w:t>peut</w:t>
      </w:r>
      <w:r>
        <w:rPr>
          <w:color w:val="383638"/>
          <w:spacing w:val="37"/>
        </w:rPr>
        <w:t> </w:t>
      </w:r>
      <w:r>
        <w:rPr>
          <w:color w:val="383638"/>
          <w:spacing w:val="-1"/>
        </w:rPr>
        <w:t>être</w:t>
      </w:r>
      <w:r>
        <w:rPr>
          <w:color w:val="383638"/>
          <w:spacing w:val="40"/>
        </w:rPr>
        <w:t> </w:t>
      </w:r>
      <w:r>
        <w:rPr>
          <w:color w:val="383638"/>
          <w:spacing w:val="-1"/>
        </w:rPr>
        <w:t>préservé</w:t>
      </w:r>
      <w:r>
        <w:rPr>
          <w:color w:val="383638"/>
          <w:spacing w:val="41"/>
        </w:rPr>
        <w:t> </w:t>
      </w:r>
      <w:r>
        <w:rPr>
          <w:color w:val="383638"/>
          <w:spacing w:val="-2"/>
        </w:rPr>
        <w:t>même</w:t>
      </w:r>
      <w:r>
        <w:rPr>
          <w:color w:val="383638"/>
          <w:spacing w:val="40"/>
        </w:rPr>
        <w:t> </w:t>
      </w:r>
      <w:r>
        <w:rPr>
          <w:color w:val="383638"/>
          <w:spacing w:val="-1"/>
        </w:rPr>
        <w:t>lors</w:t>
      </w:r>
      <w:r>
        <w:rPr>
          <w:color w:val="383638"/>
          <w:spacing w:val="41"/>
        </w:rPr>
        <w:t> </w:t>
      </w:r>
      <w:r>
        <w:rPr>
          <w:color w:val="383638"/>
          <w:spacing w:val="-1"/>
        </w:rPr>
        <w:t>d’une</w:t>
      </w:r>
      <w:r>
        <w:rPr>
          <w:color w:val="383638"/>
          <w:spacing w:val="41"/>
        </w:rPr>
        <w:t> </w:t>
      </w:r>
      <w:r>
        <w:rPr>
          <w:color w:val="383638"/>
          <w:spacing w:val="-2"/>
        </w:rPr>
        <w:t>rénovation</w:t>
      </w:r>
      <w:r>
        <w:rPr>
          <w:color w:val="383638"/>
          <w:spacing w:val="33"/>
        </w:rPr>
        <w:t> </w:t>
      </w:r>
      <w:r>
        <w:rPr>
          <w:color w:val="383638"/>
          <w:spacing w:val="-2"/>
        </w:rPr>
        <w:t>énergétique</w:t>
      </w:r>
      <w:r>
        <w:rPr>
          <w:color w:val="383638"/>
          <w:spacing w:val="20"/>
        </w:rPr>
        <w:t> </w:t>
      </w:r>
      <w:r>
        <w:rPr>
          <w:color w:val="383638"/>
        </w:rPr>
        <w:t>et</w:t>
      </w:r>
      <w:r>
        <w:rPr>
          <w:color w:val="383638"/>
          <w:spacing w:val="20"/>
        </w:rPr>
        <w:t> </w:t>
      </w:r>
      <w:r>
        <w:rPr>
          <w:color w:val="383638"/>
        </w:rPr>
        <w:t>du</w:t>
      </w:r>
      <w:r>
        <w:rPr>
          <w:color w:val="383638"/>
          <w:spacing w:val="20"/>
        </w:rPr>
        <w:t> </w:t>
      </w:r>
      <w:r>
        <w:rPr>
          <w:color w:val="383638"/>
          <w:spacing w:val="-2"/>
        </w:rPr>
        <w:t>recours</w:t>
      </w:r>
      <w:r>
        <w:rPr>
          <w:color w:val="383638"/>
          <w:spacing w:val="20"/>
        </w:rPr>
        <w:t> </w:t>
      </w:r>
      <w:r>
        <w:rPr>
          <w:color w:val="383638"/>
          <w:spacing w:val="1"/>
        </w:rPr>
        <w:t>au</w:t>
      </w:r>
      <w:r>
        <w:rPr>
          <w:color w:val="383638"/>
          <w:spacing w:val="20"/>
        </w:rPr>
        <w:t> </w:t>
      </w:r>
      <w:r>
        <w:rPr>
          <w:color w:val="383638"/>
          <w:spacing w:val="-1"/>
        </w:rPr>
        <w:t>solaire,</w:t>
      </w:r>
      <w:r>
        <w:rPr>
          <w:color w:val="383638"/>
          <w:spacing w:val="13"/>
        </w:rPr>
        <w:t> </w:t>
      </w:r>
      <w:r>
        <w:rPr>
          <w:color w:val="383638"/>
          <w:spacing w:val="-1"/>
        </w:rPr>
        <w:t>grâce</w:t>
      </w:r>
      <w:r>
        <w:rPr>
          <w:color w:val="383638"/>
          <w:spacing w:val="27"/>
        </w:rPr>
        <w:t> </w:t>
      </w:r>
      <w:r>
        <w:rPr>
          <w:color w:val="383638"/>
        </w:rPr>
        <w:t>à</w:t>
      </w:r>
      <w:r>
        <w:rPr>
          <w:color w:val="383638"/>
          <w:spacing w:val="26"/>
        </w:rPr>
        <w:t> </w:t>
      </w:r>
      <w:r>
        <w:rPr>
          <w:color w:val="383638"/>
          <w:spacing w:val="-1"/>
        </w:rPr>
        <w:t>une</w:t>
      </w:r>
      <w:r>
        <w:rPr>
          <w:color w:val="383638"/>
          <w:spacing w:val="27"/>
        </w:rPr>
        <w:t> </w:t>
      </w:r>
      <w:r>
        <w:rPr>
          <w:color w:val="383638"/>
          <w:spacing w:val="-1"/>
        </w:rPr>
        <w:t>adaptation</w:t>
      </w:r>
      <w:r>
        <w:rPr>
          <w:color w:val="383638"/>
          <w:spacing w:val="26"/>
        </w:rPr>
        <w:t> </w:t>
      </w:r>
      <w:r>
        <w:rPr>
          <w:color w:val="383638"/>
          <w:spacing w:val="-1"/>
        </w:rPr>
        <w:t>minutieuse</w:t>
      </w:r>
      <w:r>
        <w:rPr>
          <w:color w:val="383638"/>
          <w:spacing w:val="27"/>
        </w:rPr>
        <w:t> </w:t>
      </w:r>
      <w:r>
        <w:rPr>
          <w:color w:val="383638"/>
          <w:spacing w:val="1"/>
        </w:rPr>
        <w:t>au</w:t>
      </w:r>
      <w:r>
        <w:rPr>
          <w:color w:val="383638"/>
          <w:spacing w:val="27"/>
        </w:rPr>
        <w:t> </w:t>
      </w:r>
      <w:r>
        <w:rPr>
          <w:color w:val="383638"/>
          <w:spacing w:val="-1"/>
        </w:rPr>
        <w:t>patrimoine</w:t>
      </w:r>
      <w:r>
        <w:rPr>
          <w:color w:val="383638"/>
          <w:spacing w:val="35"/>
        </w:rPr>
        <w:t> </w:t>
      </w:r>
      <w:r>
        <w:rPr>
          <w:color w:val="383638"/>
          <w:spacing w:val="-1"/>
        </w:rPr>
        <w:t>architectural</w:t>
      </w:r>
      <w:r>
        <w:rPr>
          <w:color w:val="383638"/>
        </w:rPr>
        <w:t> </w:t>
      </w:r>
      <w:r>
        <w:rPr>
          <w:color w:val="383638"/>
          <w:spacing w:val="-1"/>
        </w:rPr>
        <w:t>voisin.</w:t>
      </w:r>
      <w:r>
        <w:rPr>
          <w:i w:val="0"/>
        </w:rPr>
      </w:r>
    </w:p>
    <w:p>
      <w:pPr>
        <w:tabs>
          <w:tab w:pos="1966" w:val="left" w:leader="none"/>
          <w:tab w:pos="2892" w:val="left" w:leader="none"/>
        </w:tabs>
        <w:spacing w:line="14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Heizung/WW: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202.0   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80</w:t>
        <w:tab/>
        <w:t>20’000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50" w:val="left" w:leader="none"/>
          <w:tab w:pos="2983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Elektrizität:</w:t>
        <w:tab/>
        <w:t>49.5  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20</w:t>
        <w:tab/>
        <w:t>4’900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970" w:val="left" w:leader="none"/>
          <w:tab w:pos="2891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Gesamt-EB*: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251.5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24’900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* Zwei </w:t>
      </w:r>
      <w:r>
        <w:rPr>
          <w:rFonts w:ascii="Theinhardt Regular"/>
          <w:color w:val="231F20"/>
          <w:spacing w:val="1"/>
          <w:sz w:val="14"/>
        </w:rPr>
        <w:t>Personen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als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Wochenaufenthalter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</w:t>
      </w:r>
      <w:r>
        <w:rPr>
          <w:rFonts w:ascii="Theinhardt Bold"/>
          <w:b/>
          <w:color w:val="231F20"/>
          <w:spacing w:val="1"/>
          <w:sz w:val="14"/>
        </w:rPr>
        <w:t>nach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Sanierung</w:t>
      </w:r>
      <w:r>
        <w:rPr>
          <w:rFonts w:ascii="Theinhardt Bold"/>
          <w:b/>
          <w:color w:val="231F20"/>
          <w:sz w:val="14"/>
        </w:rPr>
        <w:t> (40%)</w:t>
      </w:r>
      <w:r>
        <w:rPr>
          <w:rFonts w:ascii="Theinhardt Bold"/>
          <w:sz w:val="14"/>
        </w:rPr>
      </w:r>
    </w:p>
    <w:p>
      <w:pPr>
        <w:tabs>
          <w:tab w:pos="1778" w:val="left" w:leader="none"/>
          <w:tab w:pos="2055" w:val="left" w:leader="none"/>
          <w:tab w:pos="2960" w:val="left" w:leader="none"/>
        </w:tabs>
        <w:spacing w:line="207" w:lineRule="auto" w:before="5"/>
        <w:ind w:left="117" w:right="22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EBF: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165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    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Heizung/WW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(2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Ster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Holz):</w:t>
        <w:tab/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24.4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39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4’032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49" w:val="left" w:leader="none"/>
          <w:tab w:pos="2988" w:val="left" w:leader="none"/>
        </w:tabs>
        <w:spacing w:line="154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Elektrizität:</w:t>
        <w:tab/>
        <w:t>36.8   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59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6’075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33" w:val="left" w:leader="none"/>
          <w:tab w:pos="2574" w:val="left" w:leader="none"/>
          <w:tab w:pos="3356" w:val="righ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Kochen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(Flüssiggas):</w:t>
        <w:tab/>
      </w:r>
      <w:r>
        <w:rPr>
          <w:rFonts w:ascii="Theinhardt Regular" w:hAnsi="Theinhardt Regular"/>
          <w:color w:val="231F20"/>
          <w:w w:val="95"/>
          <w:sz w:val="14"/>
        </w:rPr>
        <w:t>0.9</w:t>
        <w:tab/>
      </w:r>
      <w:r>
        <w:rPr>
          <w:rFonts w:ascii="Theinhardt Regular" w:hAnsi="Theinhardt Regular"/>
          <w:color w:val="231F20"/>
          <w:sz w:val="14"/>
        </w:rPr>
        <w:t>2</w:t>
        <w:tab/>
      </w:r>
      <w:r>
        <w:rPr>
          <w:rFonts w:ascii="Theinhardt Regular" w:hAnsi="Theinhardt Regular"/>
          <w:color w:val="231F20"/>
          <w:spacing w:val="-3"/>
          <w:sz w:val="14"/>
        </w:rPr>
        <w:t>149</w:t>
      </w:r>
      <w:r>
        <w:rPr>
          <w:rFonts w:ascii="Theinhardt Regular" w:hAnsi="Theinhardt Regular"/>
          <w:sz w:val="14"/>
        </w:rPr>
      </w:r>
    </w:p>
    <w:p>
      <w:pPr>
        <w:tabs>
          <w:tab w:pos="2041" w:val="left" w:leader="none"/>
          <w:tab w:pos="2896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Gesamt-EB*: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62.1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10’256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135" w:val="left" w:leader="none"/>
          <w:tab w:pos="2980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Eigen-EV:</w:t>
        <w:tab/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position w:val="5"/>
          <w:sz w:val="8"/>
        </w:rPr>
        <w:t>     </w:t>
      </w:r>
      <w:r>
        <w:rPr>
          <w:rFonts w:ascii="Theinhardt Regular"/>
          <w:color w:val="231F20"/>
          <w:spacing w:val="4"/>
          <w:position w:val="5"/>
          <w:sz w:val="8"/>
        </w:rPr>
        <w:t> </w:t>
      </w:r>
      <w:r>
        <w:rPr>
          <w:rFonts w:ascii="Theinhardt Regular"/>
          <w:color w:val="231F20"/>
          <w:sz w:val="14"/>
        </w:rPr>
        <w:t>kWp </w:t>
      </w:r>
      <w:r>
        <w:rPr>
          <w:rFonts w:ascii="Theinhardt Regular"/>
          <w:color w:val="231F20"/>
          <w:spacing w:val="6"/>
          <w:sz w:val="14"/>
        </w:rPr>
        <w:t> </w:t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    </w:t>
      </w:r>
      <w:r>
        <w:rPr>
          <w:rFonts w:ascii="Theinhardt Regular"/>
          <w:color w:val="231F20"/>
          <w:spacing w:val="2"/>
          <w:sz w:val="14"/>
        </w:rPr>
        <w:t> </w:t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tabs>
          <w:tab w:pos="1001" w:val="left" w:leader="none"/>
          <w:tab w:pos="2041" w:val="left" w:leader="none"/>
          <w:tab w:pos="2978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PV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Dach:</w:t>
        <w:tab/>
        <w:t>29.5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5.0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35.5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color w:val="231F20"/>
          <w:spacing w:val="3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57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5’850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13"/>
          <w:szCs w:val="13"/>
        </w:rPr>
      </w:pPr>
    </w:p>
    <w:tbl>
      <w:tblPr>
        <w:tblW w:w="0" w:type="auto"/>
        <w:jc w:val="left"/>
        <w:tblInd w:w="6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0"/>
        <w:gridCol w:w="651"/>
        <w:gridCol w:w="619"/>
      </w:tblGrid>
      <w:tr>
        <w:trPr>
          <w:trHeight w:val="133" w:hRule="exact"/>
        </w:trPr>
        <w:tc>
          <w:tcPr>
            <w:tcW w:w="20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3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Energiebilanz (Endenergie)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3" w:lineRule="exact"/>
              <w:ind w:left="4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3" w:lineRule="exact"/>
              <w:ind w:left="16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59" w:hRule="exact"/>
        </w:trPr>
        <w:tc>
          <w:tcPr>
            <w:tcW w:w="20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370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-1"/>
                <w:sz w:val="14"/>
              </w:rPr>
              <w:t>57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8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z w:val="14"/>
                <w:szCs w:val="14"/>
              </w:rPr>
              <w:t>5’850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Gesamtenergiebedarf: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8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1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10’265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87" w:hRule="exact"/>
        </w:trPr>
        <w:tc>
          <w:tcPr>
            <w:tcW w:w="20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Fremdenergiezufuhr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(Holz):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6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4"/>
                <w:sz w:val="14"/>
              </w:rPr>
              <w:t>4</w:t>
            </w:r>
            <w:r>
              <w:rPr>
                <w:rFonts w:ascii="Theinhardt Bold"/>
                <w:b/>
                <w:color w:val="231F20"/>
                <w:sz w:val="14"/>
              </w:rPr>
              <w:t>3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20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4"/>
                <w:sz w:val="14"/>
                <w:szCs w:val="14"/>
              </w:rPr>
              <w:t>4’415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17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Bestätigt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von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4"/>
          <w:sz w:val="14"/>
        </w:rPr>
        <w:t>WWZ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Energie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1"/>
          <w:sz w:val="14"/>
        </w:rPr>
        <w:t>13.06.2018,</w:t>
      </w:r>
      <w:r>
        <w:rPr>
          <w:rFonts w:ascii="Theinhardt Regular" w:hAnsi="Theinhardt Regular"/>
          <w:color w:val="231F20"/>
          <w:spacing w:val="23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Thomas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Kruschwitz,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041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748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45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71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tabs>
          <w:tab w:pos="3449" w:val="left" w:leader="none"/>
        </w:tabs>
        <w:spacing w:before="0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</w:r>
      <w:r>
        <w:rPr>
          <w:rFonts w:ascii="Theinhardt Black"/>
          <w:b/>
          <w:color w:val="231F20"/>
          <w:spacing w:val="1"/>
          <w:sz w:val="14"/>
          <w:u w:val="dotted" w:color="231F20"/>
        </w:rPr>
        <w:t>Beteiligte</w:t>
      </w:r>
      <w:r>
        <w:rPr>
          <w:rFonts w:ascii="Theinhardt Black"/>
          <w:b/>
          <w:color w:val="231F20"/>
          <w:sz w:val="14"/>
          <w:u w:val="dotted" w:color="231F20"/>
        </w:rPr>
        <w:t> Personen</w:t>
      </w:r>
      <w:r>
        <w:rPr>
          <w:rFonts w:ascii="Theinhardt Black"/>
          <w:b/>
          <w:color w:val="231F20"/>
          <w:sz w:val="14"/>
          <w:u w:val="dotted" w:color="231F20"/>
        </w:rPr>
        <w:t> </w:t>
        <w:tab/>
      </w:r>
      <w:r>
        <w:rPr>
          <w:rFonts w:ascii="Theinhardt Black"/>
          <w:b/>
          <w:color w:val="231F20"/>
          <w:sz w:val="14"/>
        </w:rPr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tabs>
          <w:tab w:pos="3453" w:val="left" w:leader="none"/>
        </w:tabs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spacing w:line="160" w:lineRule="exact" w:before="74"/>
        <w:ind w:left="117" w:right="139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Bauherrschaft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Joao Miguel Torres und A. Nova</w:t>
      </w:r>
      <w:r>
        <w:rPr>
          <w:rFonts w:ascii="Theinhardt Regular" w:hAnsi="Theinhardt Regular"/>
          <w:color w:val="231F20"/>
          <w:spacing w:val="22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Göblistrasse 29b, 6300 Zug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6">
        <w:r>
          <w:rPr>
            <w:rFonts w:ascii="Theinhardt Regular"/>
            <w:color w:val="231F20"/>
            <w:sz w:val="14"/>
          </w:rPr>
          <w:t>Tel. 079 231 23 41, torres@deep.ch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Architektur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und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Baukunst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Philipp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Burri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Heckenweg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57,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3007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Bern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079 924 54 97,</w:t>
      </w:r>
      <w:r>
        <w:rPr>
          <w:rFonts w:ascii="Theinhardt Regular"/>
          <w:color w:val="231F20"/>
          <w:spacing w:val="-9"/>
          <w:sz w:val="14"/>
        </w:rPr>
        <w:t> </w:t>
      </w:r>
      <w:hyperlink r:id="rId7">
        <w:r>
          <w:rPr>
            <w:rFonts w:ascii="Theinhardt Regular"/>
            <w:color w:val="231F20"/>
            <w:spacing w:val="-1"/>
            <w:sz w:val="14"/>
          </w:rPr>
          <w:t>www.philippburri.com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Architektur,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Planung,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Energieberechnungen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und</w:t>
      </w:r>
      <w:r>
        <w:rPr>
          <w:rFonts w:ascii="Theinhardt Bold"/>
          <w:b/>
          <w:color w:val="231F20"/>
          <w:spacing w:val="54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Realisation: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190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Joao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M.</w:t>
      </w:r>
      <w:r>
        <w:rPr>
          <w:rFonts w:ascii="Theinhardt Regular"/>
          <w:color w:val="231F20"/>
          <w:sz w:val="14"/>
        </w:rPr>
        <w:t> Torres </w:t>
      </w:r>
      <w:r>
        <w:rPr>
          <w:rFonts w:ascii="Theinhardt Regular"/>
          <w:color w:val="231F20"/>
          <w:spacing w:val="1"/>
          <w:sz w:val="14"/>
        </w:rPr>
        <w:t>Nova</w:t>
      </w:r>
      <w:r>
        <w:rPr>
          <w:rFonts w:ascii="Theinhardt Regular"/>
          <w:color w:val="231F20"/>
          <w:spacing w:val="27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NOVA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One</w:t>
      </w:r>
      <w:r>
        <w:rPr>
          <w:rFonts w:ascii="Theinhardt Regular"/>
          <w:color w:val="231F20"/>
          <w:sz w:val="14"/>
        </w:rPr>
        <w:t> AG, </w:t>
      </w:r>
      <w:r>
        <w:rPr>
          <w:rFonts w:ascii="Theinhardt Regular"/>
          <w:color w:val="231F20"/>
          <w:spacing w:val="1"/>
          <w:sz w:val="14"/>
        </w:rPr>
        <w:t>6300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Zug</w:t>
      </w:r>
      <w:r>
        <w:rPr>
          <w:rFonts w:ascii="Theinhardt Regular"/>
          <w:sz w:val="14"/>
        </w:rPr>
      </w:r>
    </w:p>
    <w:p>
      <w:pPr>
        <w:spacing w:line="172" w:lineRule="exact" w:before="49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Installation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2"/>
          <w:sz w:val="14"/>
        </w:rPr>
        <w:t>PV-Anlage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39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Solartechnik</w:t>
      </w:r>
      <w:r>
        <w:rPr>
          <w:rFonts w:ascii="Theinhardt Regular"/>
          <w:color w:val="231F20"/>
          <w:sz w:val="14"/>
        </w:rPr>
        <w:t> &amp; </w:t>
      </w:r>
      <w:r>
        <w:rPr>
          <w:rFonts w:ascii="Theinhardt Regular"/>
          <w:color w:val="231F20"/>
          <w:spacing w:val="1"/>
          <w:sz w:val="14"/>
        </w:rPr>
        <w:t>Energieoptimierung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Pretscher</w:t>
      </w:r>
      <w:r>
        <w:rPr>
          <w:rFonts w:ascii="Theinhardt Regular"/>
          <w:color w:val="231F20"/>
          <w:spacing w:val="38"/>
          <w:sz w:val="14"/>
        </w:rPr>
        <w:t> </w:t>
      </w:r>
      <w:r>
        <w:rPr>
          <w:rFonts w:ascii="Theinhardt Regular"/>
          <w:color w:val="231F20"/>
          <w:sz w:val="14"/>
        </w:rPr>
        <w:t>8873 </w:t>
      </w:r>
      <w:r>
        <w:rPr>
          <w:rFonts w:ascii="Theinhardt Regular"/>
          <w:color w:val="231F20"/>
          <w:spacing w:val="2"/>
          <w:sz w:val="14"/>
        </w:rPr>
        <w:t>Amden</w:t>
      </w:r>
      <w:r>
        <w:rPr>
          <w:rFonts w:ascii="Theinhardt Regular"/>
          <w:sz w:val="14"/>
        </w:rPr>
      </w:r>
    </w:p>
    <w:p>
      <w:pPr>
        <w:spacing w:line="154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043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557</w:t>
      </w:r>
      <w:r>
        <w:rPr>
          <w:rFonts w:ascii="Theinhardt Regular"/>
          <w:color w:val="231F20"/>
          <w:sz w:val="14"/>
        </w:rPr>
        <w:t> 35 53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8">
        <w:r>
          <w:rPr>
            <w:rFonts w:ascii="Theinhardt Regular"/>
            <w:color w:val="231F20"/>
            <w:spacing w:val="1"/>
            <w:sz w:val="14"/>
          </w:rPr>
          <w:t>info@solar-energieoptimierung.ch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Heizungstechnik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99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Zimmerli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Apparatebau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color w:val="231F20"/>
          <w:spacing w:val="25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Striegelstrasse</w:t>
      </w:r>
      <w:r>
        <w:rPr>
          <w:rFonts w:ascii="Theinhardt Regular"/>
          <w:color w:val="231F20"/>
          <w:sz w:val="14"/>
        </w:rPr>
        <w:t> 8, </w:t>
      </w:r>
      <w:r>
        <w:rPr>
          <w:rFonts w:ascii="Theinhardt Regular"/>
          <w:color w:val="231F20"/>
          <w:spacing w:val="-3"/>
          <w:sz w:val="14"/>
        </w:rPr>
        <w:t>5745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Safenwil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94.015808pt;margin-top:10.130404pt;width:167.25pt;height:.45pt;mso-position-horizontal-relative:page;mso-position-vertical-relative:paragraph;z-index:1096" coordorigin="7880,203" coordsize="3345,9">
            <v:group style="position:absolute;left:7902;top:207;width:3311;height:2" coordorigin="7902,207" coordsize="3311,2">
              <v:shape style="position:absolute;left:7902;top:207;width:3311;height:2" coordorigin="7902,207" coordsize="3311,0" path="m7902,207l11212,207e" filled="false" stroked="true" strokeweight=".425pt" strokecolor="#231f20">
                <v:path arrowok="t"/>
                <v:stroke dashstyle="dash"/>
              </v:shape>
            </v:group>
            <v:group style="position:absolute;left:7885;top:207;width:2;height:2" coordorigin="7885,207" coordsize="2,2">
              <v:shape style="position:absolute;left:7885;top:207;width:2;height:2" coordorigin="7885,207" coordsize="0,0" path="m7885,207l7885,207e" filled="false" stroked="true" strokeweight=".425pt" strokecolor="#231f20">
                <v:path arrowok="t"/>
              </v:shape>
            </v:group>
            <v:group style="position:absolute;left:11221;top:207;width:2;height:2" coordorigin="11221,207" coordsize="2,2">
              <v:shape style="position:absolute;left:11221;top:207;width:2;height:2" coordorigin="11221,207" coordsize="0,0" path="m11221,207l11221,207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062 </w:t>
      </w:r>
      <w:r>
        <w:rPr>
          <w:rFonts w:ascii="Theinhardt Regular"/>
          <w:color w:val="231F20"/>
          <w:spacing w:val="-1"/>
          <w:sz w:val="14"/>
        </w:rPr>
        <w:t>723</w:t>
      </w:r>
      <w:r>
        <w:rPr>
          <w:rFonts w:ascii="Theinhardt Regular"/>
          <w:color w:val="231F20"/>
          <w:sz w:val="14"/>
        </w:rPr>
        <w:t> 99 77</w:t>
      </w:r>
      <w:r>
        <w:rPr>
          <w:rFonts w:ascii="Theinhardt Regular"/>
          <w:sz w:val="14"/>
        </w:rPr>
      </w:r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73" w:space="99"/>
            <w:col w:w="3463" w:space="109"/>
            <w:col w:w="3586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24"/>
          <w:szCs w:val="24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70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6"/>
          <w:szCs w:val="6"/>
        </w:rPr>
      </w:pPr>
    </w:p>
    <w:p>
      <w:pPr>
        <w:spacing w:line="200" w:lineRule="atLeast"/>
        <w:ind w:left="12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59106" cy="4797552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106" cy="479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5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229.615997pt;margin-top:11.264886pt;width:345.807pt;height:265.748pt;mso-position-horizontal-relative:page;mso-position-vertical-relative:paragraph;z-index:1240" type="#_x0000_t75" stroked="false">
            <v:imagedata r:id="rId10" o:title=""/>
          </v:shape>
        </w:pict>
      </w: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00" w:lineRule="atLeast"/>
        <w:ind w:left="12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 w:hAnsi="Theinhardt Bold" w:cs="Theinhardt Bold" w:eastAsia="Theinhardt Bold"/>
          <w:sz w:val="20"/>
          <w:szCs w:val="20"/>
        </w:rPr>
        <w:drawing>
          <wp:inline distT="0" distB="0" distL="0" distR="0">
            <wp:extent cx="2121805" cy="1609344"/>
            <wp:effectExtent l="0" t="0" r="0" b="0"/>
            <wp:docPr id="3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805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 w:hAnsi="Theinhardt Bold" w:cs="Theinhardt Bold" w:eastAsia="Theinhardt Bold"/>
          <w:sz w:val="20"/>
          <w:szCs w:val="20"/>
        </w:rPr>
      </w:r>
    </w:p>
    <w:p>
      <w:pPr>
        <w:spacing w:before="44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p>
      <w:pPr>
        <w:spacing w:line="200" w:lineRule="atLeast"/>
        <w:ind w:left="12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 w:hAnsi="Theinhardt Bold" w:cs="Theinhardt Bold" w:eastAsia="Theinhardt Bold"/>
          <w:sz w:val="20"/>
          <w:szCs w:val="20"/>
        </w:rPr>
        <w:drawing>
          <wp:inline distT="0" distB="0" distL="0" distR="0">
            <wp:extent cx="2126013" cy="1621536"/>
            <wp:effectExtent l="0" t="0" r="0" b="0"/>
            <wp:docPr id="5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013" cy="162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 w:hAnsi="Theinhardt Bold" w:cs="Theinhardt Bold" w:eastAsia="Theinhardt Bold"/>
          <w:sz w:val="20"/>
          <w:szCs w:val="20"/>
        </w:rPr>
      </w:r>
    </w:p>
    <w:p>
      <w:pPr>
        <w:tabs>
          <w:tab w:pos="3690" w:val="left" w:leader="none"/>
        </w:tabs>
        <w:spacing w:before="13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3</w:t>
        <w:tab/>
        <w:t>4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4"/>
          <w:szCs w:val="24"/>
        </w:rPr>
        <w:sectPr>
          <w:pgSz w:w="12250" w:h="17180"/>
          <w:pgMar w:top="1020" w:bottom="280" w:left="900" w:right="620"/>
        </w:sectPr>
      </w:pP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14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 5.0 kW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PV-Anlage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3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5’850 kWh.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0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1935 erstellte,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denkmalgeschützte </w:t>
      </w:r>
      <w:r>
        <w:rPr>
          <w:rFonts w:ascii="Theinhardt Bold" w:hAnsi="Theinhardt Bold"/>
          <w:b/>
          <w:color w:val="231F20"/>
          <w:spacing w:val="-1"/>
          <w:sz w:val="14"/>
        </w:rPr>
        <w:t>Reihen-</w:t>
      </w:r>
      <w:r>
        <w:rPr>
          <w:rFonts w:ascii="Theinhardt Bold" w:hAnsi="Theinhardt Bold"/>
          <w:b/>
          <w:color w:val="231F20"/>
          <w:spacing w:val="22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einfamilienhaus-Siedlung</w:t>
      </w:r>
      <w:r>
        <w:rPr>
          <w:rFonts w:ascii="Theinhardt Bold" w:hAnsi="Theinhardt Bold"/>
          <w:b/>
          <w:color w:val="231F20"/>
          <w:sz w:val="14"/>
        </w:rPr>
        <w:t> vor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Sanierung.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br w:type="column"/>
        <w:t>Die </w:t>
      </w:r>
      <w:r>
        <w:rPr>
          <w:rFonts w:ascii="Theinhardt Bold" w:hAnsi="Theinhardt Bold"/>
          <w:b/>
          <w:color w:val="231F20"/>
          <w:spacing w:val="-1"/>
          <w:sz w:val="14"/>
        </w:rPr>
        <w:t>feinfühlige</w:t>
      </w:r>
      <w:r>
        <w:rPr>
          <w:rFonts w:ascii="Theinhardt Bold" w:hAnsi="Theinhardt Bold"/>
          <w:b/>
          <w:color w:val="231F20"/>
          <w:sz w:val="14"/>
        </w:rPr>
        <w:t> Anpassung an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benachbarte</w:t>
      </w:r>
      <w:r>
        <w:rPr>
          <w:rFonts w:ascii="Theinhardt Bold" w:hAnsi="Theinhardt Bold"/>
          <w:b/>
          <w:color w:val="231F20"/>
          <w:spacing w:val="3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Bausubstanz bewahrt das Gesamtbild des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Reihenhauses.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276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  <w:t>Nach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umfassenden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Renovation sank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Energiebedarf von 24’900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um mehr als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Hälfte auf rund 10’200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3" w:equalWidth="0">
            <w:col w:w="3360" w:space="212"/>
            <w:col w:w="3308" w:space="264"/>
            <w:col w:w="3586"/>
          </w:cols>
        </w:sectPr>
      </w:pPr>
    </w:p>
    <w:p>
      <w:pPr>
        <w:spacing w:line="240" w:lineRule="auto" w:before="6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7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71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48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9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50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2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53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54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55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56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 Italic" w:hAnsi="Theinhardt Regular Italic" w:eastAsia="Theinhardt Regular Italic"/>
      <w:i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9"/>
      <w:ind w:left="117"/>
      <w:outlineLvl w:val="1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torres@deep.ch" TargetMode="External"/><Relationship Id="rId7" Type="http://schemas.openxmlformats.org/officeDocument/2006/relationships/hyperlink" Target="http://www.philippburri.com/" TargetMode="External"/><Relationship Id="rId8" Type="http://schemas.openxmlformats.org/officeDocument/2006/relationships/hyperlink" Target="mailto:info@solar-energieoptimierung.ch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2018-10-02T10:08:14Z</dcterms:created>
  <dcterms:modified xsi:type="dcterms:W3CDTF">2018-10-02T10:08:14Z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