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2556" w:val="left" w:leader="none"/>
        </w:tabs>
        <w:spacing w:line="242" w:lineRule="auto" w:before="49"/>
        <w:ind w:left="117" w:right="0" w:firstLine="0"/>
        <w:jc w:val="both"/>
        <w:rPr>
          <w:rFonts w:ascii="Theinhardt Regular" w:hAnsi="Theinhardt Regular" w:cs="Theinhardt Regular" w:eastAsia="Theinhardt Regular"/>
          <w:sz w:val="18"/>
          <w:szCs w:val="18"/>
        </w:rPr>
      </w:pPr>
      <w:r>
        <w:rPr/>
        <w:pict>
          <v:group style="position:absolute;margin-left:37.063pt;margin-top:14.227315pt;width:.1pt;height:.1pt;mso-position-horizontal-relative:page;mso-position-vertical-relative:paragraph;z-index:-4960" coordorigin="741,285" coordsize="2,2">
            <v:shape style="position:absolute;left:741;top:285;width:2;height:2" coordorigin="741,285" coordsize="0,0" path="m741,285l741,285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159.235992pt;margin-top:14.227315pt;width:.1pt;height:.1pt;mso-position-horizontal-relative:page;mso-position-vertical-relative:paragraph;z-index:1120" coordorigin="3185,285" coordsize="2,2">
            <v:shape style="position:absolute;left:3185;top:285;width:2;height:2" coordorigin="3185,285" coordsize="0,0" path="m3185,285l3185,285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37.063pt;margin-top:26.227314pt;width:.1pt;height:.1pt;mso-position-horizontal-relative:page;mso-position-vertical-relative:paragraph;z-index:-4912" coordorigin="741,525" coordsize="2,2">
            <v:shape style="position:absolute;left:741;top:525;width:2;height:2" coordorigin="741,525" coordsize="0,0" path="m741,525l741,525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159.235992pt;margin-top:26.227314pt;width:.1pt;height:.1pt;mso-position-horizontal-relative:page;mso-position-vertical-relative:paragraph;z-index:1168" coordorigin="3185,525" coordsize="2,2">
            <v:shape style="position:absolute;left:3185;top:525;width:2;height:2" coordorigin="3185,525" coordsize="0,0" path="m3185,525l3185,525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shape style="position:absolute;margin-left:36.851002pt;margin-top:52.455414pt;width:82.2043pt;height:60.2039pt;mso-position-horizontal-relative:page;mso-position-vertical-relative:paragraph;z-index:1192" type="#_x0000_t75" stroked="false">
            <v:imagedata r:id="rId5" o:title=""/>
          </v:shape>
        </w:pict>
      </w:r>
      <w:r>
        <w:rPr>
          <w:rFonts w:ascii="Theinhardt Black" w:hAnsi="Theinhardt Black"/>
          <w:b/>
          <w:color w:val="231F20"/>
          <w:sz w:val="18"/>
        </w:rPr>
      </w:r>
      <w:r>
        <w:rPr>
          <w:rFonts w:ascii="Theinhardt Black" w:hAnsi="Theinhardt Black"/>
          <w:b/>
          <w:color w:val="231F20"/>
          <w:spacing w:val="1"/>
          <w:sz w:val="18"/>
          <w:u w:val="dotted" w:color="231F20"/>
        </w:rPr>
        <w:t>Kategorie</w:t>
      </w:r>
      <w:r>
        <w:rPr>
          <w:rFonts w:ascii="Theinhardt Black" w:hAnsi="Theinhardt Black"/>
          <w:b/>
          <w:color w:val="231F20"/>
          <w:spacing w:val="-1"/>
          <w:sz w:val="18"/>
          <w:u w:val="dotted" w:color="231F20"/>
        </w:rPr>
        <w:t> 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>B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> </w:t>
        <w:tab/>
      </w:r>
      <w:r>
        <w:rPr>
          <w:rFonts w:ascii="Theinhardt Black" w:hAnsi="Theinhardt Black"/>
          <w:b/>
          <w:color w:val="231F20"/>
          <w:sz w:val="18"/>
        </w:rPr>
      </w:r>
      <w:r>
        <w:rPr>
          <w:rFonts w:ascii="Theinhardt Black" w:hAnsi="Theinhardt Black"/>
          <w:b/>
          <w:color w:val="231F20"/>
          <w:spacing w:val="25"/>
          <w:sz w:val="18"/>
        </w:rPr>
        <w:t> </w:t>
      </w:r>
      <w:r>
        <w:rPr>
          <w:rFonts w:ascii="Theinhardt Black" w:hAnsi="Theinhardt Black"/>
          <w:b/>
          <w:color w:val="231F20"/>
          <w:spacing w:val="1"/>
          <w:sz w:val="18"/>
          <w:u w:val="dotted" w:color="231F20"/>
        </w:rPr>
        <w:t>PlusEnergieBauten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> </w:t>
        <w:tab/>
      </w:r>
      <w:r>
        <w:rPr>
          <w:rFonts w:ascii="Theinhardt Black" w:hAnsi="Theinhardt Black"/>
          <w:b/>
          <w:color w:val="231F20"/>
          <w:sz w:val="18"/>
        </w:rPr>
      </w:r>
      <w:r>
        <w:rPr>
          <w:rFonts w:ascii="Theinhardt Black" w:hAnsi="Theinhardt Black"/>
          <w:b/>
          <w:color w:val="231F20"/>
          <w:spacing w:val="22"/>
          <w:sz w:val="18"/>
        </w:rPr>
        <w:t> </w:t>
      </w:r>
      <w:r>
        <w:rPr>
          <w:rFonts w:ascii="Theinhardt Regular" w:hAnsi="Theinhardt Regular"/>
          <w:color w:val="231F20"/>
          <w:spacing w:val="-1"/>
          <w:sz w:val="18"/>
        </w:rPr>
        <w:t>PlusEnergieBau</w:t>
      </w:r>
      <w:r>
        <w:rPr>
          <w:rFonts w:ascii="Theinhardt Regular" w:hAnsi="Theinhardt Regular"/>
          <w:color w:val="231F20"/>
          <w:spacing w:val="-1"/>
          <w:position w:val="6"/>
          <w:sz w:val="10"/>
        </w:rPr>
        <w:t>®</w:t>
      </w:r>
      <w:r>
        <w:rPr>
          <w:rFonts w:ascii="Theinhardt Regular" w:hAnsi="Theinhardt Regular"/>
          <w:color w:val="231F20"/>
          <w:spacing w:val="-1"/>
          <w:sz w:val="18"/>
        </w:rPr>
        <w:t>-Diplom</w:t>
      </w:r>
      <w:r>
        <w:rPr>
          <w:rFonts w:ascii="Theinhardt Regular" w:hAnsi="Theinhardt Regular"/>
          <w:color w:val="231F20"/>
          <w:spacing w:val="3"/>
          <w:sz w:val="18"/>
        </w:rPr>
        <w:t> </w:t>
      </w:r>
      <w:r>
        <w:rPr>
          <w:rFonts w:ascii="Theinhardt Regular" w:hAnsi="Theinhardt Regular"/>
          <w:color w:val="231F20"/>
          <w:sz w:val="18"/>
        </w:rPr>
        <w:t>2018</w:t>
      </w:r>
      <w:r>
        <w:rPr>
          <w:rFonts w:ascii="Theinhardt Regular" w:hAnsi="Theinhardt Regular"/>
          <w:sz w:val="18"/>
        </w:rPr>
      </w:r>
    </w:p>
    <w:p>
      <w:pPr>
        <w:spacing w:line="242" w:lineRule="auto" w:before="40"/>
        <w:ind w:left="117" w:right="103" w:firstLine="0"/>
        <w:jc w:val="both"/>
        <w:rPr>
          <w:rFonts w:ascii="Theinhardt Bold" w:hAnsi="Theinhardt Bold" w:cs="Theinhardt Bold" w:eastAsia="Theinhardt Bold"/>
          <w:sz w:val="18"/>
          <w:szCs w:val="18"/>
        </w:rPr>
      </w:pPr>
      <w:r>
        <w:rPr/>
        <w:br w:type="column"/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Das</w:t>
      </w:r>
      <w:r>
        <w:rPr>
          <w:rFonts w:ascii="Theinhardt Bold" w:hAnsi="Theinhardt Bold" w:cs="Theinhardt Bold" w:eastAsia="Theinhardt Bold"/>
          <w:b/>
          <w:bCs/>
          <w:color w:val="231F20"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PlusEnergie-Lernzentrum</w:t>
      </w:r>
      <w:r>
        <w:rPr>
          <w:rFonts w:ascii="Theinhardt Bold" w:hAnsi="Theinhardt Bold" w:cs="Theinhardt Bold" w:eastAsia="Theinhardt Bold"/>
          <w:b/>
          <w:bCs/>
          <w:color w:val="231F20"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mit</w:t>
      </w:r>
      <w:r>
        <w:rPr>
          <w:rFonts w:ascii="Theinhardt Bold" w:hAnsi="Theinhardt Bold" w:cs="Theinhardt Bold" w:eastAsia="Theinhardt Bold"/>
          <w:b/>
          <w:bCs/>
          <w:color w:val="231F20"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color w:val="231F20"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Bibliothek, Eberhard</w:t>
      </w:r>
      <w:r>
        <w:rPr>
          <w:rFonts w:ascii="Theinhardt Bold" w:hAnsi="Theinhardt Bold" w:cs="Theinhardt Bold" w:eastAsia="Theinhardt Bold"/>
          <w:b/>
          <w:bCs/>
          <w:color w:val="231F20"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Berent-Haus</w:t>
      </w:r>
      <w:r>
        <w:rPr>
          <w:rFonts w:ascii="Theinhardt Bold" w:hAnsi="Theinhardt Bold" w:cs="Theinhardt Bold" w:eastAsia="Theinhardt Bold"/>
          <w:b/>
          <w:bCs/>
          <w:color w:val="231F20"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color w:val="231F20"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Ecole</w:t>
      </w:r>
      <w:r>
        <w:rPr>
          <w:rFonts w:ascii="Theinhardt Bold" w:hAnsi="Theinhardt Bold" w:cs="Theinhardt Bold" w:eastAsia="Theinhardt Bold"/>
          <w:b/>
          <w:bCs/>
          <w:color w:val="231F20"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d’Humanité</w:t>
      </w:r>
      <w:r>
        <w:rPr>
          <w:rFonts w:ascii="Theinhardt Bold" w:hAnsi="Theinhardt Bold" w:cs="Theinhardt Bold" w:eastAsia="Theinhardt Bold"/>
          <w:b/>
          <w:bCs/>
          <w:color w:val="231F20"/>
          <w:spacing w:val="6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in</w:t>
      </w:r>
      <w:r>
        <w:rPr>
          <w:rFonts w:ascii="Theinhardt Bold" w:hAnsi="Theinhardt Bold" w:cs="Theinhardt Bold" w:eastAsia="Theinhardt Bold"/>
          <w:b/>
          <w:bCs/>
          <w:color w:val="231F20"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Hasliberg</w:t>
      </w:r>
      <w:r>
        <w:rPr>
          <w:rFonts w:ascii="Theinhardt Bold" w:hAnsi="Theinhardt Bold" w:cs="Theinhardt Bold" w:eastAsia="Theinhardt Bold"/>
          <w:b/>
          <w:bCs/>
          <w:color w:val="231F20"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Goldern</w:t>
      </w:r>
      <w:r>
        <w:rPr>
          <w:rFonts w:ascii="Theinhardt Bold" w:hAnsi="Theinhardt Bold" w:cs="Theinhardt Bold" w:eastAsia="Theinhardt Bold"/>
          <w:b/>
          <w:bCs/>
          <w:color w:val="231F20"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wurde</w:t>
      </w:r>
      <w:r>
        <w:rPr>
          <w:rFonts w:ascii="Theinhardt Bold" w:hAnsi="Theinhardt Bold" w:cs="Theinhardt Bold" w:eastAsia="Theinhardt Bold"/>
          <w:b/>
          <w:bCs/>
          <w:color w:val="231F20"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im</w:t>
      </w:r>
      <w:r>
        <w:rPr>
          <w:rFonts w:ascii="Theinhardt Bold" w:hAnsi="Theinhardt Bold" w:cs="Theinhardt Bold" w:eastAsia="Theinhardt Bold"/>
          <w:b/>
          <w:bCs/>
          <w:color w:val="231F20"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August</w:t>
      </w:r>
      <w:r>
        <w:rPr>
          <w:rFonts w:ascii="Theinhardt Bold" w:hAnsi="Theinhardt Bold" w:cs="Theinhardt Bold" w:eastAsia="Theinhardt Bold"/>
          <w:b/>
          <w:bCs/>
          <w:color w:val="231F20"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2017</w:t>
      </w:r>
      <w:r>
        <w:rPr>
          <w:rFonts w:ascii="Theinhardt Bold" w:hAnsi="Theinhardt Bold" w:cs="Theinhardt Bold" w:eastAsia="Theinhardt Bold"/>
          <w:b/>
          <w:bCs/>
          <w:color w:val="231F20"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in</w:t>
      </w:r>
      <w:r>
        <w:rPr>
          <w:rFonts w:ascii="Theinhardt Bold" w:hAnsi="Theinhardt Bold" w:cs="Theinhardt Bold" w:eastAsia="Theinhardt Bold"/>
          <w:b/>
          <w:bCs/>
          <w:color w:val="231F20"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Betrieb</w:t>
      </w:r>
      <w:r>
        <w:rPr>
          <w:rFonts w:ascii="Theinhardt Bold" w:hAnsi="Theinhardt Bold" w:cs="Theinhardt Bold" w:eastAsia="Theinhardt Bold"/>
          <w:b/>
          <w:bCs/>
          <w:color w:val="231F20"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genommen.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Mit</w:t>
      </w:r>
      <w:r>
        <w:rPr>
          <w:rFonts w:ascii="Theinhardt Bold" w:hAnsi="Theinhardt Bold" w:cs="Theinhardt Bold" w:eastAsia="Theinhardt Bold"/>
          <w:b/>
          <w:bCs/>
          <w:color w:val="231F20"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einer</w:t>
      </w:r>
      <w:r>
        <w:rPr>
          <w:rFonts w:ascii="Theinhardt Bold" w:hAnsi="Theinhardt Bold" w:cs="Theinhardt Bold" w:eastAsia="Theinhardt Bold"/>
          <w:b/>
          <w:bCs/>
          <w:color w:val="231F20"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26-28</w:t>
      </w:r>
      <w:r>
        <w:rPr>
          <w:rFonts w:ascii="Theinhardt Bold" w:hAnsi="Theinhardt Bold" w:cs="Theinhardt Bold" w:eastAsia="Theinhardt Bold"/>
          <w:b/>
          <w:bCs/>
          <w:color w:val="231F20"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cm</w:t>
      </w:r>
      <w:r>
        <w:rPr>
          <w:rFonts w:ascii="Theinhardt Bold" w:hAnsi="Theinhardt Bold" w:cs="Theinhardt Bold" w:eastAsia="Theinhardt Bold"/>
          <w:b/>
          <w:bCs/>
          <w:color w:val="231F20"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starken</w:t>
      </w:r>
      <w:r>
        <w:rPr>
          <w:rFonts w:ascii="Theinhardt Bold" w:hAnsi="Theinhardt Bold" w:cs="Theinhardt Bold" w:eastAsia="Theinhardt Bold"/>
          <w:b/>
          <w:bCs/>
          <w:color w:val="231F20"/>
          <w:spacing w:val="3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Wärmedämmung,</w:t>
      </w:r>
      <w:r>
        <w:rPr>
          <w:rFonts w:ascii="Theinhardt Bold" w:hAnsi="Theinhardt Bold" w:cs="Theinhardt Bold" w:eastAsia="Theinhardt Bold"/>
          <w:b/>
          <w:bCs/>
          <w:color w:val="231F20"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LED-Lampen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einer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Wärmepumpe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für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Warmwasser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Heizung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konsu-</w:t>
      </w:r>
      <w:r>
        <w:rPr>
          <w:rFonts w:ascii="Theinhardt Bold" w:hAnsi="Theinhardt Bold" w:cs="Theinhardt Bold" w:eastAsia="Theinhardt Bold"/>
          <w:b/>
          <w:bCs/>
          <w:color w:val="231F20"/>
          <w:spacing w:val="4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miert</w:t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das</w:t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Lernzentrum</w:t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mit</w:t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Bibliothek</w:t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13’700</w:t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kWh/a.</w:t>
      </w:r>
      <w:r>
        <w:rPr>
          <w:rFonts w:ascii="Theinhardt Bold" w:hAnsi="Theinhardt Bold" w:cs="Theinhardt Bold" w:eastAsia="Theinhardt Bold"/>
          <w:b/>
          <w:bCs/>
          <w:color w:val="231F20"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Auf</w:t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dem</w:t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Süddach</w:t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wurde</w:t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eine</w:t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14.7</w:t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kW</w:t>
      </w:r>
      <w:r>
        <w:rPr>
          <w:rFonts w:ascii="Theinhardt Bold" w:hAnsi="Theinhardt Bold" w:cs="Theinhardt Bold" w:eastAsia="Theinhardt Bold"/>
          <w:b/>
          <w:bCs/>
          <w:color w:val="231F20"/>
          <w:spacing w:val="5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starke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dachintegrierte PV-Anlage installiert.</w:t>
      </w:r>
      <w:r>
        <w:rPr>
          <w:rFonts w:ascii="Theinhardt Bold" w:hAnsi="Theinhardt Bold" w:cs="Theinhardt Bold" w:eastAsia="Theinhardt Bold"/>
          <w:b/>
          <w:bCs/>
          <w:color w:val="231F20"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Sie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erzeugt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15’700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kWh/a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und deckt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den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ganzjäh-</w:t>
      </w:r>
      <w:r>
        <w:rPr>
          <w:rFonts w:ascii="Theinhardt Bold" w:hAnsi="Theinhardt Bold" w:cs="Theinhardt Bold" w:eastAsia="Theinhardt Bold"/>
          <w:b/>
          <w:bCs/>
          <w:color w:val="231F20"/>
          <w:spacing w:val="6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rigen</w:t>
      </w:r>
      <w:r>
        <w:rPr>
          <w:rFonts w:ascii="Theinhardt Bold" w:hAnsi="Theinhardt Bold" w:cs="Theinhardt Bold" w:eastAsia="Theinhardt Bold"/>
          <w:b/>
          <w:bCs/>
          <w:color w:val="231F20"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Betrieb</w:t>
      </w:r>
      <w:r>
        <w:rPr>
          <w:rFonts w:ascii="Theinhardt Bold" w:hAnsi="Theinhardt Bold" w:cs="Theinhardt Bold" w:eastAsia="Theinhardt Bold"/>
          <w:b/>
          <w:bCs/>
          <w:color w:val="231F20"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des</w:t>
      </w:r>
      <w:r>
        <w:rPr>
          <w:rFonts w:ascii="Theinhardt Bold" w:hAnsi="Theinhardt Bold" w:cs="Theinhardt Bold" w:eastAsia="Theinhardt Bold"/>
          <w:b/>
          <w:bCs/>
          <w:color w:val="231F20"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Lernzentrums</w:t>
      </w:r>
      <w:r>
        <w:rPr>
          <w:rFonts w:ascii="Theinhardt Bold" w:hAnsi="Theinhardt Bold" w:cs="Theinhardt Bold" w:eastAsia="Theinhardt Bold"/>
          <w:b/>
          <w:bCs/>
          <w:color w:val="231F20"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mit</w:t>
      </w:r>
      <w:r>
        <w:rPr>
          <w:rFonts w:ascii="Theinhardt Bold" w:hAnsi="Theinhardt Bold" w:cs="Theinhardt Bold" w:eastAsia="Theinhardt Bold"/>
          <w:b/>
          <w:bCs/>
          <w:color w:val="231F20"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einem</w:t>
      </w:r>
      <w:r>
        <w:rPr>
          <w:rFonts w:ascii="Theinhardt Bold" w:hAnsi="Theinhardt Bold" w:cs="Theinhardt Bold" w:eastAsia="Theinhardt Bold"/>
          <w:b/>
          <w:bCs/>
          <w:color w:val="231F20"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Energiebedarf</w:t>
      </w:r>
      <w:r>
        <w:rPr>
          <w:rFonts w:ascii="Theinhardt Bold" w:hAnsi="Theinhardt Bold" w:cs="Theinhardt Bold" w:eastAsia="Theinhardt Bold"/>
          <w:b/>
          <w:bCs/>
          <w:color w:val="231F20"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von</w:t>
      </w:r>
      <w:r>
        <w:rPr>
          <w:rFonts w:ascii="Theinhardt Bold" w:hAnsi="Theinhardt Bold" w:cs="Theinhardt Bold" w:eastAsia="Theinhardt Bold"/>
          <w:b/>
          <w:bCs/>
          <w:color w:val="231F20"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13’700</w:t>
      </w:r>
      <w:r>
        <w:rPr>
          <w:rFonts w:ascii="Theinhardt Bold" w:hAnsi="Theinhardt Bold" w:cs="Theinhardt Bold" w:eastAsia="Theinhardt Bold"/>
          <w:b/>
          <w:bCs/>
          <w:color w:val="231F20"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kWh/a</w:t>
      </w:r>
      <w:r>
        <w:rPr>
          <w:rFonts w:ascii="Theinhardt Bold" w:hAnsi="Theinhardt Bold" w:cs="Theinhardt Bold" w:eastAsia="Theinhardt Bold"/>
          <w:b/>
          <w:bCs/>
          <w:color w:val="231F20"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zu</w:t>
      </w:r>
      <w:r>
        <w:rPr>
          <w:rFonts w:ascii="Theinhardt Bold" w:hAnsi="Theinhardt Bold" w:cs="Theinhardt Bold" w:eastAsia="Theinhardt Bold"/>
          <w:b/>
          <w:bCs/>
          <w:color w:val="231F20"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115%.</w:t>
      </w:r>
      <w:r>
        <w:rPr>
          <w:rFonts w:ascii="Theinhardt Bold" w:hAnsi="Theinhardt Bold" w:cs="Theinhardt Bold" w:eastAsia="Theinhardt Bold"/>
          <w:b/>
          <w:bCs/>
          <w:color w:val="231F20"/>
          <w:spacing w:val="2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Nachhal-</w:t>
      </w:r>
      <w:r>
        <w:rPr>
          <w:rFonts w:ascii="Theinhardt Bold" w:hAnsi="Theinhardt Bold" w:cs="Theinhardt Bold" w:eastAsia="Theinhardt Bold"/>
          <w:b/>
          <w:bCs/>
          <w:color w:val="231F20"/>
          <w:spacing w:val="4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tig sind auch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Baustoffe,</w:t>
      </w:r>
      <w:r>
        <w:rPr>
          <w:rFonts w:ascii="Theinhardt Bold" w:hAnsi="Theinhardt Bold" w:cs="Theinhardt Bold" w:eastAsia="Theinhardt Bold"/>
          <w:b/>
          <w:bCs/>
          <w:color w:val="231F20"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wie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beispielsweise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Isolation,</w:t>
      </w:r>
      <w:r>
        <w:rPr>
          <w:rFonts w:ascii="Theinhardt Bold" w:hAnsi="Theinhardt Bold" w:cs="Theinhardt Bold" w:eastAsia="Theinhardt Bold"/>
          <w:b/>
          <w:bCs/>
          <w:color w:val="231F20"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welche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aus Recyclingglas und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Zel-</w:t>
      </w:r>
      <w:r>
        <w:rPr>
          <w:rFonts w:ascii="Theinhardt Bold" w:hAnsi="Theinhardt Bold" w:cs="Theinhardt Bold" w:eastAsia="Theinhardt Bold"/>
          <w:b/>
          <w:bCs/>
          <w:color w:val="231F20"/>
          <w:spacing w:val="8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lulose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besteht.</w:t>
      </w:r>
      <w:r>
        <w:rPr>
          <w:rFonts w:ascii="Theinhardt Bold" w:hAnsi="Theinhardt Bold" w:cs="Theinhardt Bold" w:eastAsia="Theinhardt Bold"/>
          <w:sz w:val="18"/>
          <w:szCs w:val="18"/>
        </w:rPr>
      </w:r>
    </w:p>
    <w:p>
      <w:pPr>
        <w:spacing w:after="0" w:line="242" w:lineRule="auto"/>
        <w:jc w:val="both"/>
        <w:rPr>
          <w:rFonts w:ascii="Theinhardt Bold" w:hAnsi="Theinhardt Bold" w:cs="Theinhardt Bold" w:eastAsia="Theinhardt Bold"/>
          <w:sz w:val="18"/>
          <w:szCs w:val="18"/>
        </w:rPr>
        <w:sectPr>
          <w:type w:val="continuous"/>
          <w:pgSz w:w="12250" w:h="17180"/>
          <w:pgMar w:top="1020" w:bottom="280" w:left="620" w:right="900"/>
          <w:cols w:num="2" w:equalWidth="0">
            <w:col w:w="2557" w:space="137"/>
            <w:col w:w="8036"/>
          </w:cols>
        </w:sect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10"/>
        <w:rPr>
          <w:rFonts w:ascii="Theinhardt Bold" w:hAnsi="Theinhardt Bold" w:cs="Theinhardt Bold" w:eastAsia="Theinhardt Bold"/>
          <w:b/>
          <w:bCs/>
          <w:sz w:val="15"/>
          <w:szCs w:val="15"/>
        </w:rPr>
      </w:pPr>
    </w:p>
    <w:p>
      <w:pPr>
        <w:spacing w:before="5"/>
        <w:ind w:left="117" w:right="0" w:firstLine="0"/>
        <w:jc w:val="left"/>
        <w:rPr>
          <w:rFonts w:ascii="Theinhardt Black" w:hAnsi="Theinhardt Black" w:cs="Theinhardt Black" w:eastAsia="Theinhardt Black"/>
          <w:sz w:val="40"/>
          <w:szCs w:val="40"/>
        </w:rPr>
      </w:pPr>
      <w:r>
        <w:rPr>
          <w:rFonts w:ascii="Theinhardt Black"/>
          <w:b/>
          <w:color w:val="0067B1"/>
          <w:spacing w:val="2"/>
          <w:sz w:val="40"/>
        </w:rPr>
        <w:t>115%-PEB-Lernzentrum,</w:t>
      </w:r>
      <w:r>
        <w:rPr>
          <w:rFonts w:ascii="Theinhardt Black"/>
          <w:b/>
          <w:color w:val="0067B1"/>
          <w:spacing w:val="-24"/>
          <w:sz w:val="40"/>
        </w:rPr>
        <w:t> </w:t>
      </w:r>
      <w:r>
        <w:rPr>
          <w:rFonts w:ascii="Theinhardt Black"/>
          <w:b/>
          <w:color w:val="0067B1"/>
          <w:sz w:val="40"/>
        </w:rPr>
        <w:t>6085 </w:t>
      </w:r>
      <w:r>
        <w:rPr>
          <w:rFonts w:ascii="Theinhardt Black"/>
          <w:b/>
          <w:color w:val="0067B1"/>
          <w:spacing w:val="4"/>
          <w:sz w:val="40"/>
        </w:rPr>
        <w:t>Hasliberg</w:t>
      </w:r>
      <w:r>
        <w:rPr>
          <w:rFonts w:ascii="Theinhardt Black"/>
          <w:b/>
          <w:color w:val="0067B1"/>
          <w:sz w:val="40"/>
        </w:rPr>
        <w:t> </w:t>
      </w:r>
      <w:r>
        <w:rPr>
          <w:rFonts w:ascii="Theinhardt Black"/>
          <w:b/>
          <w:color w:val="0067B1"/>
          <w:spacing w:val="3"/>
          <w:sz w:val="40"/>
        </w:rPr>
        <w:t>Goldern/BE</w:t>
      </w:r>
      <w:r>
        <w:rPr>
          <w:rFonts w:ascii="Theinhardt Black"/>
          <w:sz w:val="40"/>
        </w:rPr>
      </w:r>
    </w:p>
    <w:p>
      <w:pPr>
        <w:spacing w:line="240" w:lineRule="auto" w:before="11"/>
        <w:rPr>
          <w:rFonts w:ascii="Theinhardt Black" w:hAnsi="Theinhardt Black" w:cs="Theinhardt Black" w:eastAsia="Theinhardt Black"/>
          <w:b/>
          <w:bCs/>
          <w:sz w:val="23"/>
          <w:szCs w:val="23"/>
        </w:rPr>
      </w:pPr>
    </w:p>
    <w:p>
      <w:pPr>
        <w:spacing w:after="0" w:line="240" w:lineRule="auto"/>
        <w:rPr>
          <w:rFonts w:ascii="Theinhardt Black" w:hAnsi="Theinhardt Black" w:cs="Theinhardt Black" w:eastAsia="Theinhardt Black"/>
          <w:sz w:val="23"/>
          <w:szCs w:val="23"/>
        </w:rPr>
        <w:sectPr>
          <w:type w:val="continuous"/>
          <w:pgSz w:w="12250" w:h="17180"/>
          <w:pgMar w:top="1020" w:bottom="280" w:left="620" w:right="900"/>
        </w:sectPr>
      </w:pPr>
    </w:p>
    <w:p>
      <w:pPr>
        <w:pStyle w:val="BodyText"/>
        <w:spacing w:line="230" w:lineRule="exact" w:before="52"/>
        <w:ind w:right="0"/>
        <w:jc w:val="right"/>
      </w:pPr>
      <w:r>
        <w:rPr>
          <w:color w:val="231F20"/>
          <w:spacing w:val="-2"/>
        </w:rPr>
        <w:t>Für</w:t>
      </w:r>
      <w:r>
        <w:rPr>
          <w:color w:val="231F20"/>
          <w:spacing w:val="-13"/>
        </w:rPr>
        <w:t> </w:t>
      </w:r>
      <w:r>
        <w:rPr>
          <w:color w:val="231F20"/>
        </w:rPr>
        <w:t>die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Ecole</w:t>
      </w:r>
      <w:r>
        <w:rPr>
          <w:color w:val="231F20"/>
          <w:spacing w:val="-13"/>
        </w:rPr>
        <w:t> </w:t>
      </w:r>
      <w:r>
        <w:rPr>
          <w:color w:val="231F20"/>
        </w:rPr>
        <w:t>d’Humanité,</w:t>
      </w:r>
      <w:r>
        <w:rPr>
          <w:color w:val="231F20"/>
          <w:spacing w:val="-24"/>
        </w:rPr>
        <w:t> </w:t>
      </w:r>
      <w:r>
        <w:rPr>
          <w:color w:val="231F20"/>
        </w:rPr>
        <w:t>dem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internationa-</w:t>
      </w:r>
      <w:r>
        <w:rPr>
          <w:color w:val="231F20"/>
          <w:spacing w:val="36"/>
        </w:rPr>
        <w:t> </w:t>
      </w:r>
      <w:r>
        <w:rPr>
          <w:color w:val="231F20"/>
        </w:rPr>
        <w:t>len</w:t>
      </w:r>
      <w:r>
        <w:rPr>
          <w:color w:val="231F20"/>
          <w:spacing w:val="8"/>
        </w:rPr>
        <w:t> </w:t>
      </w:r>
      <w:r>
        <w:rPr>
          <w:color w:val="231F20"/>
        </w:rPr>
        <w:t>Internat</w:t>
      </w:r>
      <w:r>
        <w:rPr>
          <w:color w:val="231F20"/>
          <w:spacing w:val="8"/>
        </w:rPr>
        <w:t> </w:t>
      </w:r>
      <w:r>
        <w:rPr>
          <w:color w:val="231F20"/>
        </w:rPr>
        <w:t>in</w:t>
      </w:r>
      <w:r>
        <w:rPr>
          <w:color w:val="231F20"/>
          <w:spacing w:val="8"/>
        </w:rPr>
        <w:t> </w:t>
      </w:r>
      <w:r>
        <w:rPr>
          <w:color w:val="231F20"/>
          <w:spacing w:val="-1"/>
        </w:rPr>
        <w:t>Hasliberg</w:t>
      </w:r>
      <w:r>
        <w:rPr>
          <w:color w:val="231F20"/>
          <w:spacing w:val="8"/>
        </w:rPr>
        <w:t> </w:t>
      </w:r>
      <w:r>
        <w:rPr>
          <w:color w:val="231F20"/>
        </w:rPr>
        <w:t>Goldern,</w:t>
      </w:r>
      <w:r>
        <w:rPr>
          <w:color w:val="231F20"/>
          <w:spacing w:val="-2"/>
        </w:rPr>
        <w:t> </w:t>
      </w:r>
      <w:r>
        <w:rPr>
          <w:color w:val="231F20"/>
        </w:rPr>
        <w:t>ist</w:t>
      </w:r>
      <w:r>
        <w:rPr>
          <w:color w:val="231F20"/>
          <w:spacing w:val="8"/>
        </w:rPr>
        <w:t> </w:t>
      </w:r>
      <w:r>
        <w:rPr>
          <w:color w:val="231F20"/>
        </w:rPr>
        <w:t>Nach-</w:t>
      </w:r>
      <w:r>
        <w:rPr>
          <w:color w:val="231F20"/>
          <w:spacing w:val="28"/>
        </w:rPr>
        <w:t> </w:t>
      </w:r>
      <w:r>
        <w:rPr>
          <w:color w:val="231F20"/>
          <w:spacing w:val="-1"/>
        </w:rPr>
        <w:t>haltigkeit</w:t>
      </w:r>
      <w:r>
        <w:rPr>
          <w:color w:val="231F20"/>
          <w:spacing w:val="-7"/>
        </w:rPr>
        <w:t> </w:t>
      </w:r>
      <w:r>
        <w:rPr>
          <w:color w:val="231F20"/>
        </w:rPr>
        <w:t>wichtig.</w:t>
      </w:r>
      <w:r>
        <w:rPr>
          <w:color w:val="231F20"/>
          <w:spacing w:val="-18"/>
        </w:rPr>
        <w:t> </w:t>
      </w:r>
      <w:r>
        <w:rPr>
          <w:color w:val="231F20"/>
        </w:rPr>
        <w:t>Sie</w:t>
      </w:r>
      <w:r>
        <w:rPr>
          <w:color w:val="231F20"/>
          <w:spacing w:val="-7"/>
        </w:rPr>
        <w:t> </w:t>
      </w:r>
      <w:r>
        <w:rPr>
          <w:color w:val="231F20"/>
        </w:rPr>
        <w:t>genoss</w:t>
      </w:r>
      <w:r>
        <w:rPr>
          <w:color w:val="231F20"/>
          <w:spacing w:val="-7"/>
        </w:rPr>
        <w:t> </w:t>
      </w:r>
      <w:r>
        <w:rPr>
          <w:color w:val="231F20"/>
        </w:rPr>
        <w:t>bei</w:t>
      </w:r>
      <w:r>
        <w:rPr>
          <w:color w:val="231F20"/>
          <w:spacing w:val="-7"/>
        </w:rPr>
        <w:t> </w:t>
      </w:r>
      <w:r>
        <w:rPr>
          <w:color w:val="231F20"/>
        </w:rPr>
        <w:t>der</w:t>
      </w:r>
      <w:r>
        <w:rPr>
          <w:color w:val="231F20"/>
          <w:spacing w:val="-7"/>
        </w:rPr>
        <w:t> </w:t>
      </w:r>
      <w:r>
        <w:rPr>
          <w:color w:val="231F20"/>
        </w:rPr>
        <w:t>Errich-</w:t>
      </w:r>
      <w:r>
        <w:rPr>
          <w:color w:val="231F20"/>
          <w:spacing w:val="26"/>
        </w:rPr>
        <w:t> </w:t>
      </w:r>
      <w:r>
        <w:rPr>
          <w:color w:val="231F20"/>
        </w:rPr>
        <w:t>tung</w:t>
      </w:r>
      <w:r>
        <w:rPr>
          <w:color w:val="231F20"/>
          <w:spacing w:val="-3"/>
        </w:rPr>
        <w:t> </w:t>
      </w:r>
      <w:r>
        <w:rPr>
          <w:color w:val="231F20"/>
        </w:rPr>
        <w:t>der</w:t>
      </w:r>
      <w:r>
        <w:rPr>
          <w:color w:val="231F20"/>
          <w:spacing w:val="-3"/>
        </w:rPr>
        <w:t> </w:t>
      </w:r>
      <w:r>
        <w:rPr>
          <w:color w:val="231F20"/>
        </w:rPr>
        <w:t>neuen</w:t>
      </w:r>
      <w:r>
        <w:rPr>
          <w:color w:val="231F20"/>
          <w:spacing w:val="-3"/>
        </w:rPr>
        <w:t> </w:t>
      </w:r>
      <w:r>
        <w:rPr>
          <w:color w:val="231F20"/>
        </w:rPr>
        <w:t>Bibliothek</w:t>
      </w:r>
      <w:r>
        <w:rPr>
          <w:color w:val="231F20"/>
          <w:spacing w:val="-3"/>
        </w:rPr>
        <w:t> </w:t>
      </w:r>
      <w:r>
        <w:rPr>
          <w:color w:val="231F20"/>
        </w:rPr>
        <w:t>höchste</w:t>
      </w:r>
      <w:r>
        <w:rPr>
          <w:color w:val="231F20"/>
          <w:spacing w:val="-3"/>
        </w:rPr>
        <w:t> </w:t>
      </w:r>
      <w:r>
        <w:rPr>
          <w:color w:val="231F20"/>
        </w:rPr>
        <w:t>Priorität.</w:t>
      </w:r>
      <w:r>
        <w:rPr>
          <w:color w:val="231F20"/>
          <w:spacing w:val="26"/>
        </w:rPr>
        <w:t> </w:t>
      </w:r>
      <w:r>
        <w:rPr>
          <w:color w:val="231F20"/>
          <w:spacing w:val="-1"/>
        </w:rPr>
        <w:t>Die </w:t>
      </w:r>
      <w:r>
        <w:rPr>
          <w:color w:val="231F20"/>
        </w:rPr>
        <w:t>aus</w:t>
      </w:r>
      <w:r>
        <w:rPr>
          <w:color w:val="231F20"/>
          <w:spacing w:val="-1"/>
        </w:rPr>
        <w:t> </w:t>
      </w:r>
      <w:r>
        <w:rPr>
          <w:color w:val="231F20"/>
        </w:rPr>
        <w:t>Recyclingglas</w:t>
      </w:r>
      <w:r>
        <w:rPr>
          <w:color w:val="231F20"/>
          <w:spacing w:val="-1"/>
        </w:rPr>
        <w:t> </w:t>
      </w:r>
      <w:r>
        <w:rPr>
          <w:color w:val="231F20"/>
        </w:rPr>
        <w:t>und</w:t>
      </w:r>
      <w:r>
        <w:rPr>
          <w:color w:val="231F20"/>
          <w:spacing w:val="-1"/>
        </w:rPr>
        <w:t> Zellulose </w:t>
      </w:r>
      <w:r>
        <w:rPr>
          <w:color w:val="231F20"/>
        </w:rPr>
        <w:t>her-</w:t>
      </w:r>
      <w:r>
        <w:rPr>
          <w:color w:val="231F20"/>
          <w:spacing w:val="28"/>
        </w:rPr>
        <w:t> </w:t>
      </w:r>
      <w:r>
        <w:rPr>
          <w:color w:val="231F20"/>
        </w:rPr>
        <w:t>gestellte</w:t>
      </w:r>
      <w:r>
        <w:rPr>
          <w:color w:val="231F20"/>
          <w:spacing w:val="33"/>
        </w:rPr>
        <w:t> </w:t>
      </w:r>
      <w:r>
        <w:rPr>
          <w:color w:val="231F20"/>
        </w:rPr>
        <w:t>und</w:t>
      </w:r>
      <w:r>
        <w:rPr>
          <w:color w:val="231F20"/>
          <w:spacing w:val="34"/>
        </w:rPr>
        <w:t> </w:t>
      </w:r>
      <w:r>
        <w:rPr>
          <w:color w:val="231F20"/>
        </w:rPr>
        <w:t>26-28</w:t>
      </w:r>
      <w:r>
        <w:rPr>
          <w:color w:val="231F20"/>
          <w:spacing w:val="32"/>
        </w:rPr>
        <w:t> </w:t>
      </w:r>
      <w:r>
        <w:rPr>
          <w:color w:val="231F20"/>
        </w:rPr>
        <w:t>cm</w:t>
      </w:r>
      <w:r>
        <w:rPr>
          <w:color w:val="231F20"/>
          <w:spacing w:val="34"/>
        </w:rPr>
        <w:t> </w:t>
      </w:r>
      <w:r>
        <w:rPr>
          <w:color w:val="231F20"/>
          <w:spacing w:val="-1"/>
        </w:rPr>
        <w:t>starke</w:t>
      </w:r>
      <w:r>
        <w:rPr>
          <w:color w:val="231F20"/>
          <w:spacing w:val="34"/>
        </w:rPr>
        <w:t> </w:t>
      </w:r>
      <w:r>
        <w:rPr>
          <w:color w:val="231F20"/>
        </w:rPr>
        <w:t>Dämmung</w:t>
      </w:r>
      <w:r>
        <w:rPr/>
      </w:r>
    </w:p>
    <w:p>
      <w:pPr>
        <w:pStyle w:val="BodyText"/>
        <w:spacing w:line="230" w:lineRule="exact" w:before="52"/>
        <w:ind w:right="0"/>
        <w:jc w:val="both"/>
      </w:pPr>
      <w:r>
        <w:rPr/>
        <w:br w:type="column"/>
      </w:r>
      <w:r>
        <w:rPr>
          <w:color w:val="231F20"/>
        </w:rPr>
        <w:t>sibilisiert</w:t>
      </w:r>
      <w:r>
        <w:rPr>
          <w:color w:val="231F20"/>
          <w:spacing w:val="24"/>
        </w:rPr>
        <w:t> </w:t>
      </w:r>
      <w:r>
        <w:rPr>
          <w:color w:val="231F20"/>
          <w:spacing w:val="-1"/>
        </w:rPr>
        <w:t>werden.</w:t>
      </w:r>
      <w:r>
        <w:rPr>
          <w:color w:val="231F20"/>
          <w:spacing w:val="14"/>
        </w:rPr>
        <w:t> </w:t>
      </w:r>
      <w:r>
        <w:rPr>
          <w:color w:val="231F20"/>
        </w:rPr>
        <w:t>Wie</w:t>
      </w:r>
      <w:r>
        <w:rPr>
          <w:color w:val="231F20"/>
          <w:spacing w:val="25"/>
        </w:rPr>
        <w:t> </w:t>
      </w:r>
      <w:r>
        <w:rPr>
          <w:color w:val="231F20"/>
        </w:rPr>
        <w:t>traditionelle</w:t>
      </w:r>
      <w:r>
        <w:rPr>
          <w:color w:val="231F20"/>
          <w:spacing w:val="24"/>
        </w:rPr>
        <w:t> </w:t>
      </w:r>
      <w:r>
        <w:rPr>
          <w:color w:val="231F20"/>
          <w:spacing w:val="-1"/>
        </w:rPr>
        <w:t>Häuser</w:t>
      </w:r>
      <w:r>
        <w:rPr>
          <w:color w:val="231F20"/>
          <w:spacing w:val="28"/>
        </w:rPr>
        <w:t> </w:t>
      </w:r>
      <w:r>
        <w:rPr>
          <w:color w:val="231F20"/>
        </w:rPr>
        <w:t>in</w:t>
      </w:r>
      <w:r>
        <w:rPr>
          <w:color w:val="231F20"/>
          <w:spacing w:val="7"/>
        </w:rPr>
        <w:t> </w:t>
      </w:r>
      <w:r>
        <w:rPr>
          <w:color w:val="231F20"/>
          <w:spacing w:val="-1"/>
        </w:rPr>
        <w:t>Hasliberg</w:t>
      </w:r>
      <w:r>
        <w:rPr>
          <w:color w:val="231F20"/>
          <w:spacing w:val="7"/>
        </w:rPr>
        <w:t> </w:t>
      </w:r>
      <w:r>
        <w:rPr>
          <w:color w:val="231F20"/>
        </w:rPr>
        <w:t>Goldern</w:t>
      </w:r>
      <w:r>
        <w:rPr>
          <w:color w:val="231F20"/>
          <w:spacing w:val="7"/>
        </w:rPr>
        <w:t> </w:t>
      </w:r>
      <w:r>
        <w:rPr>
          <w:color w:val="231F20"/>
        </w:rPr>
        <w:t>verfügt</w:t>
      </w:r>
      <w:r>
        <w:rPr>
          <w:color w:val="231F20"/>
          <w:spacing w:val="7"/>
        </w:rPr>
        <w:t> </w:t>
      </w:r>
      <w:r>
        <w:rPr>
          <w:color w:val="231F20"/>
        </w:rPr>
        <w:t>das</w:t>
      </w:r>
      <w:r>
        <w:rPr>
          <w:color w:val="231F20"/>
          <w:spacing w:val="7"/>
        </w:rPr>
        <w:t> </w:t>
      </w:r>
      <w:r>
        <w:rPr>
          <w:color w:val="231F20"/>
          <w:spacing w:val="-1"/>
        </w:rPr>
        <w:t>PlusEner-</w:t>
      </w:r>
      <w:r>
        <w:rPr>
          <w:color w:val="231F20"/>
          <w:spacing w:val="36"/>
        </w:rPr>
        <w:t> </w:t>
      </w:r>
      <w:r>
        <w:rPr>
          <w:color w:val="231F20"/>
          <w:spacing w:val="-1"/>
        </w:rPr>
        <w:t>gie-Lernzentrum</w:t>
      </w:r>
      <w:r>
        <w:rPr>
          <w:color w:val="231F20"/>
          <w:spacing w:val="32"/>
        </w:rPr>
        <w:t> </w:t>
      </w:r>
      <w:r>
        <w:rPr>
          <w:color w:val="231F20"/>
        </w:rPr>
        <w:t>mit</w:t>
      </w:r>
      <w:r>
        <w:rPr>
          <w:color w:val="231F20"/>
          <w:spacing w:val="33"/>
        </w:rPr>
        <w:t> </w:t>
      </w:r>
      <w:r>
        <w:rPr>
          <w:color w:val="231F20"/>
        </w:rPr>
        <w:t>Bibliothek</w:t>
      </w:r>
      <w:r>
        <w:rPr>
          <w:color w:val="231F20"/>
          <w:spacing w:val="32"/>
        </w:rPr>
        <w:t> </w:t>
      </w:r>
      <w:r>
        <w:rPr>
          <w:color w:val="231F20"/>
        </w:rPr>
        <w:t>ein</w:t>
      </w:r>
      <w:r>
        <w:rPr>
          <w:color w:val="231F20"/>
          <w:spacing w:val="33"/>
        </w:rPr>
        <w:t> </w:t>
      </w:r>
      <w:r>
        <w:rPr>
          <w:color w:val="231F20"/>
          <w:spacing w:val="-1"/>
        </w:rPr>
        <w:t>massi-</w:t>
      </w:r>
      <w:r>
        <w:rPr>
          <w:color w:val="231F20"/>
          <w:spacing w:val="38"/>
        </w:rPr>
        <w:t> </w:t>
      </w:r>
      <w:r>
        <w:rPr>
          <w:color w:val="231F20"/>
        </w:rPr>
        <w:t>ves,</w:t>
      </w:r>
      <w:r>
        <w:rPr>
          <w:color w:val="231F20"/>
          <w:spacing w:val="29"/>
        </w:rPr>
        <w:t> </w:t>
      </w:r>
      <w:r>
        <w:rPr>
          <w:color w:val="231F20"/>
        </w:rPr>
        <w:t>gemauertes</w:t>
      </w:r>
      <w:r>
        <w:rPr>
          <w:color w:val="231F20"/>
          <w:spacing w:val="41"/>
        </w:rPr>
        <w:t> </w:t>
      </w:r>
      <w:r>
        <w:rPr>
          <w:color w:val="231F20"/>
          <w:spacing w:val="-1"/>
        </w:rPr>
        <w:t>Untergeschoss</w:t>
      </w:r>
      <w:r>
        <w:rPr>
          <w:color w:val="231F20"/>
          <w:spacing w:val="40"/>
        </w:rPr>
        <w:t> </w:t>
      </w:r>
      <w:r>
        <w:rPr>
          <w:color w:val="231F20"/>
        </w:rPr>
        <w:t>und</w:t>
      </w:r>
      <w:r>
        <w:rPr>
          <w:color w:val="231F20"/>
          <w:spacing w:val="41"/>
        </w:rPr>
        <w:t> </w:t>
      </w:r>
      <w:r>
        <w:rPr>
          <w:color w:val="231F20"/>
        </w:rPr>
        <w:t>zwei</w:t>
      </w:r>
      <w:r>
        <w:rPr>
          <w:color w:val="231F20"/>
          <w:spacing w:val="21"/>
        </w:rPr>
        <w:t> </w:t>
      </w:r>
      <w:r>
        <w:rPr>
          <w:color w:val="231F20"/>
          <w:spacing w:val="-1"/>
        </w:rPr>
        <w:t>Obergeschosse</w:t>
      </w:r>
      <w:r>
        <w:rPr>
          <w:color w:val="231F20"/>
          <w:spacing w:val="33"/>
        </w:rPr>
        <w:t> </w:t>
      </w:r>
      <w:r>
        <w:rPr>
          <w:color w:val="231F20"/>
        </w:rPr>
        <w:t>in</w:t>
      </w:r>
      <w:r>
        <w:rPr>
          <w:color w:val="231F20"/>
          <w:spacing w:val="34"/>
        </w:rPr>
        <w:t> </w:t>
      </w:r>
      <w:r>
        <w:rPr>
          <w:color w:val="231F20"/>
          <w:spacing w:val="-1"/>
        </w:rPr>
        <w:t>reiner</w:t>
      </w:r>
      <w:r>
        <w:rPr>
          <w:color w:val="231F20"/>
          <w:spacing w:val="33"/>
        </w:rPr>
        <w:t> </w:t>
      </w:r>
      <w:r>
        <w:rPr>
          <w:color w:val="231F20"/>
          <w:spacing w:val="-1"/>
        </w:rPr>
        <w:t>Holzkonstruktion.</w:t>
      </w:r>
      <w:r>
        <w:rPr>
          <w:color w:val="231F20"/>
          <w:spacing w:val="29"/>
        </w:rPr>
        <w:t> </w:t>
      </w:r>
      <w:r>
        <w:rPr>
          <w:color w:val="231F20"/>
          <w:spacing w:val="-1"/>
        </w:rPr>
        <w:t>Zusammen</w:t>
      </w:r>
      <w:r>
        <w:rPr>
          <w:color w:val="231F20"/>
          <w:spacing w:val="4"/>
        </w:rPr>
        <w:t> </w:t>
      </w:r>
      <w:r>
        <w:rPr>
          <w:color w:val="231F20"/>
        </w:rPr>
        <w:t>mit</w:t>
      </w:r>
      <w:r>
        <w:rPr>
          <w:color w:val="231F20"/>
          <w:spacing w:val="4"/>
        </w:rPr>
        <w:t> </w:t>
      </w:r>
      <w:r>
        <w:rPr>
          <w:color w:val="231F20"/>
        </w:rPr>
        <w:t>der</w:t>
      </w:r>
      <w:r>
        <w:rPr>
          <w:color w:val="231F20"/>
          <w:spacing w:val="4"/>
        </w:rPr>
        <w:t> </w:t>
      </w:r>
      <w:r>
        <w:rPr>
          <w:color w:val="231F20"/>
        </w:rPr>
        <w:t>optimal</w:t>
      </w:r>
      <w:r>
        <w:rPr>
          <w:color w:val="231F20"/>
          <w:spacing w:val="4"/>
        </w:rPr>
        <w:t> </w:t>
      </w:r>
      <w:r>
        <w:rPr>
          <w:color w:val="231F20"/>
        </w:rPr>
        <w:t>integrierten</w:t>
      </w:r>
      <w:r>
        <w:rPr>
          <w:color w:val="231F20"/>
          <w:spacing w:val="4"/>
        </w:rPr>
        <w:t> </w:t>
      </w:r>
      <w:r>
        <w:rPr>
          <w:color w:val="231F20"/>
          <w:spacing w:val="-3"/>
        </w:rPr>
        <w:t>PV-</w:t>
      </w:r>
      <w:r>
        <w:rPr/>
      </w:r>
    </w:p>
    <w:p>
      <w:pPr>
        <w:spacing w:before="87"/>
        <w:ind w:left="117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/>
        <w:br w:type="column"/>
      </w:r>
      <w:r>
        <w:rPr>
          <w:rFonts w:ascii="Theinhardt Black"/>
          <w:b/>
          <w:color w:val="231F20"/>
          <w:sz w:val="14"/>
        </w:rPr>
        <w:t>Technische Daten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17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20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pacing w:val="1"/>
          <w:sz w:val="14"/>
        </w:rPr>
        <w:t>Wärmedämmung</w:t>
      </w:r>
      <w:r>
        <w:rPr>
          <w:rFonts w:ascii="Theinhardt Bold" w:hAnsi="Theinhardt Bold"/>
          <w:sz w:val="14"/>
        </w:rPr>
      </w:r>
    </w:p>
    <w:p>
      <w:pPr>
        <w:tabs>
          <w:tab w:pos="1351" w:val="left" w:leader="none"/>
          <w:tab w:pos="1964" w:val="left" w:leader="none"/>
          <w:tab w:pos="2677" w:val="left" w:leader="none"/>
        </w:tabs>
        <w:spacing w:line="162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z w:val="14"/>
        </w:rPr>
        <w:t>Wand:</w:t>
        <w:tab/>
      </w:r>
      <w:r>
        <w:rPr>
          <w:rFonts w:ascii="Theinhardt Regular"/>
          <w:color w:val="231F20"/>
          <w:spacing w:val="-1"/>
          <w:sz w:val="14"/>
        </w:rPr>
        <w:t>26</w:t>
      </w:r>
      <w:r>
        <w:rPr>
          <w:rFonts w:ascii="Theinhardt Regular"/>
          <w:color w:val="231F20"/>
          <w:sz w:val="14"/>
        </w:rPr>
        <w:t> cm</w:t>
        <w:tab/>
      </w:r>
      <w:r>
        <w:rPr>
          <w:rFonts w:ascii="Theinhardt Regular"/>
          <w:color w:val="231F20"/>
          <w:spacing w:val="1"/>
          <w:sz w:val="14"/>
        </w:rPr>
        <w:t>U-Wert:</w:t>
        <w:tab/>
      </w:r>
      <w:r>
        <w:rPr>
          <w:rFonts w:ascii="Theinhardt Regular"/>
          <w:color w:val="231F20"/>
          <w:spacing w:val="-5"/>
          <w:sz w:val="14"/>
        </w:rPr>
        <w:t>0.15</w:t>
      </w:r>
      <w:r>
        <w:rPr>
          <w:rFonts w:ascii="Theinhardt Regular"/>
          <w:color w:val="231F20"/>
          <w:sz w:val="14"/>
        </w:rPr>
        <w:t> W/m</w:t>
      </w:r>
      <w:r>
        <w:rPr>
          <w:rFonts w:ascii="Theinhardt Regular"/>
          <w:color w:val="231F20"/>
          <w:position w:val="5"/>
          <w:sz w:val="8"/>
        </w:rPr>
        <w:t>2</w:t>
      </w:r>
      <w:r>
        <w:rPr>
          <w:rFonts w:ascii="Theinhardt Regular"/>
          <w:color w:val="231F20"/>
          <w:sz w:val="14"/>
        </w:rPr>
        <w:t>K</w:t>
      </w:r>
      <w:r>
        <w:rPr>
          <w:rFonts w:ascii="Theinhardt Regular"/>
          <w:sz w:val="14"/>
        </w:rPr>
      </w:r>
    </w:p>
    <w:p>
      <w:pPr>
        <w:spacing w:line="160" w:lineRule="exact" w:before="0"/>
        <w:ind w:left="0" w:right="163" w:firstLine="0"/>
        <w:jc w:val="right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91.265686pt;margin-top:2.675345pt;width:166pt;height:11.6pt;mso-position-horizontal-relative:page;mso-position-vertical-relative:paragraph;z-index:124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892"/>
                    <w:gridCol w:w="897"/>
                    <w:gridCol w:w="1007"/>
                    <w:gridCol w:w="524"/>
                  </w:tblGrid>
                  <w:tr>
                    <w:trPr>
                      <w:trHeight w:val="113" w:hRule="exact"/>
                    </w:trPr>
                    <w:tc>
                      <w:tcPr>
                        <w:tcW w:w="89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13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1"/>
                            <w:sz w:val="14"/>
                          </w:rPr>
                          <w:t>Dach: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897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13" w:lineRule="exact"/>
                          <w:ind w:left="39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-1"/>
                            <w:sz w:val="14"/>
                          </w:rPr>
                          <w:t>28</w:t>
                        </w: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 </w:t>
                        </w:r>
                        <w:r>
                          <w:rPr>
                            <w:rFonts w:ascii="Theinhardt Regular"/>
                            <w:color w:val="231F20"/>
                            <w:spacing w:val="1"/>
                            <w:sz w:val="14"/>
                          </w:rPr>
                          <w:t>cm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1007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tabs>
                            <w:tab w:pos="834" w:val="left" w:leader="none"/>
                          </w:tabs>
                          <w:spacing w:line="113" w:lineRule="exact"/>
                          <w:ind w:left="113" w:right="-2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1"/>
                            <w:sz w:val="14"/>
                          </w:rPr>
                          <w:t>U-Wert:</w:t>
                          <w:tab/>
                        </w:r>
                        <w:r>
                          <w:rPr>
                            <w:rFonts w:ascii="Theinhardt Regular"/>
                            <w:color w:val="231F20"/>
                            <w:spacing w:val="-4"/>
                            <w:sz w:val="14"/>
                          </w:rPr>
                          <w:t>0.1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52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13" w:lineRule="exact"/>
                          <w:ind w:left="11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3 </w:t>
                        </w:r>
                        <w:r>
                          <w:rPr>
                            <w:rFonts w:ascii="Theinhardt Regular"/>
                            <w:color w:val="231F20"/>
                            <w:spacing w:val="-3"/>
                            <w:sz w:val="14"/>
                          </w:rPr>
                          <w:t>W/m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</w:tr>
                  <w:tr>
                    <w:trPr>
                      <w:trHeight w:val="119" w:hRule="exact"/>
                    </w:trPr>
                    <w:tc>
                      <w:tcPr>
                        <w:tcW w:w="89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19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1"/>
                            <w:sz w:val="14"/>
                          </w:rPr>
                          <w:t>Boden: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897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19" w:lineRule="exact"/>
                          <w:ind w:left="398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-1"/>
                            <w:sz w:val="14"/>
                          </w:rPr>
                          <w:t>28</w:t>
                        </w: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 cm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1007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tabs>
                            <w:tab w:pos="809" w:val="left" w:leader="none"/>
                          </w:tabs>
                          <w:spacing w:line="119" w:lineRule="exact"/>
                          <w:ind w:left="113" w:right="-5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1"/>
                            <w:sz w:val="14"/>
                          </w:rPr>
                          <w:t>U-Wert:</w:t>
                          <w:tab/>
                        </w: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0.1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52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19" w:lineRule="exact"/>
                          <w:ind w:left="4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8"/>
                            <w:szCs w:val="8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8 W/m</w:t>
                        </w:r>
                        <w:r>
                          <w:rPr>
                            <w:rFonts w:ascii="Theinhardt Regular"/>
                            <w:color w:val="231F20"/>
                            <w:position w:val="5"/>
                            <w:sz w:val="8"/>
                          </w:rPr>
                          <w:t>2</w:t>
                        </w:r>
                        <w:r>
                          <w:rPr>
                            <w:rFonts w:ascii="Theinhardt Regular"/>
                            <w:sz w:val="8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Theinhardt Regular"/>
          <w:color w:val="231F20"/>
          <w:sz w:val="8"/>
        </w:rPr>
        <w:t>2</w:t>
      </w:r>
      <w:r>
        <w:rPr>
          <w:rFonts w:ascii="Theinhardt Regular"/>
          <w:color w:val="231F20"/>
          <w:position w:val="-4"/>
          <w:sz w:val="14"/>
        </w:rPr>
        <w:t>K</w:t>
      </w:r>
      <w:r>
        <w:rPr>
          <w:rFonts w:ascii="Theinhardt Regular"/>
          <w:sz w:val="14"/>
        </w:rPr>
      </w:r>
    </w:p>
    <w:p>
      <w:pPr>
        <w:spacing w:line="158" w:lineRule="exact" w:before="0"/>
        <w:ind w:left="0" w:right="163" w:firstLine="0"/>
        <w:jc w:val="righ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z w:val="14"/>
        </w:rPr>
        <w:t>K</w:t>
      </w:r>
      <w:r>
        <w:rPr>
          <w:rFonts w:ascii="Theinhardt Regular"/>
          <w:sz w:val="14"/>
        </w:rPr>
      </w:r>
    </w:p>
    <w:p>
      <w:pPr>
        <w:tabs>
          <w:tab w:pos="1231" w:val="left" w:leader="none"/>
          <w:tab w:pos="1964" w:val="left" w:leader="none"/>
          <w:tab w:pos="2655" w:val="left" w:leader="none"/>
        </w:tabs>
        <w:spacing w:line="172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Fenster:</w:t>
        <w:tab/>
        <w:t>dreifach</w:t>
        <w:tab/>
        <w:t>U-Wert:</w:t>
        <w:tab/>
      </w:r>
      <w:r>
        <w:rPr>
          <w:rFonts w:ascii="Theinhardt Regular"/>
          <w:color w:val="231F20"/>
          <w:sz w:val="14"/>
        </w:rPr>
        <w:t>0.80 W/m</w:t>
      </w:r>
      <w:r>
        <w:rPr>
          <w:rFonts w:ascii="Theinhardt Regular"/>
          <w:color w:val="231F20"/>
          <w:position w:val="5"/>
          <w:sz w:val="8"/>
        </w:rPr>
        <w:t>2</w:t>
      </w:r>
      <w:r>
        <w:rPr>
          <w:rFonts w:ascii="Theinhardt Regular"/>
          <w:color w:val="231F20"/>
          <w:sz w:val="14"/>
        </w:rPr>
        <w:t>K</w:t>
      </w:r>
      <w:r>
        <w:rPr>
          <w:rFonts w:ascii="Theinhardt Regular"/>
          <w:sz w:val="14"/>
        </w:rPr>
      </w:r>
    </w:p>
    <w:p>
      <w:pPr>
        <w:spacing w:before="32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3"/>
          <w:sz w:val="14"/>
        </w:rPr>
        <w:t>E</w:t>
      </w:r>
      <w:r>
        <w:rPr>
          <w:rFonts w:ascii="Theinhardt Bold"/>
          <w:b/>
          <w:color w:val="231F20"/>
          <w:spacing w:val="2"/>
          <w:sz w:val="14"/>
        </w:rPr>
        <w:t>ner</w:t>
      </w:r>
      <w:r>
        <w:rPr>
          <w:rFonts w:ascii="Theinhardt Bold"/>
          <w:b/>
          <w:color w:val="231F20"/>
          <w:spacing w:val="1"/>
          <w:sz w:val="14"/>
        </w:rPr>
        <w:t>g</w:t>
      </w:r>
      <w:r>
        <w:rPr>
          <w:rFonts w:ascii="Theinhardt Bold"/>
          <w:b/>
          <w:color w:val="231F20"/>
          <w:spacing w:val="2"/>
          <w:sz w:val="14"/>
        </w:rPr>
        <w:t>iebeda</w:t>
      </w:r>
      <w:r>
        <w:rPr>
          <w:rFonts w:ascii="Theinhardt Bold"/>
          <w:b/>
          <w:color w:val="231F20"/>
          <w:spacing w:val="4"/>
          <w:sz w:val="14"/>
        </w:rPr>
        <w:t>r</w:t>
      </w:r>
      <w:r>
        <w:rPr>
          <w:rFonts w:ascii="Theinhardt Bold"/>
          <w:b/>
          <w:color w:val="231F20"/>
          <w:sz w:val="14"/>
        </w:rPr>
        <w:t>f</w:t>
      </w:r>
      <w:r>
        <w:rPr>
          <w:rFonts w:ascii="Theinhardt Bold"/>
          <w:sz w:val="14"/>
        </w:rPr>
      </w:r>
    </w:p>
    <w:p>
      <w:pPr>
        <w:spacing w:after="0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2250" w:h="17180"/>
          <w:pgMar w:top="1020" w:bottom="280" w:left="620" w:right="900"/>
          <w:cols w:num="3" w:equalWidth="0">
            <w:col w:w="3473" w:space="99"/>
            <w:col w:w="3473" w:space="98"/>
            <w:col w:w="3587"/>
          </w:cols>
        </w:sectPr>
      </w:pPr>
    </w:p>
    <w:p>
      <w:pPr>
        <w:pStyle w:val="BodyText"/>
        <w:spacing w:line="126" w:lineRule="exact" w:before="9"/>
        <w:ind w:right="0"/>
        <w:jc w:val="left"/>
      </w:pPr>
      <w:r>
        <w:rPr>
          <w:color w:val="231F20"/>
          <w:spacing w:val="-2"/>
        </w:rPr>
        <w:t>sorgt</w:t>
      </w:r>
      <w:r>
        <w:rPr>
          <w:color w:val="231F20"/>
        </w:rPr>
        <w:t> </w:t>
      </w:r>
      <w:r>
        <w:rPr>
          <w:color w:val="231F20"/>
          <w:spacing w:val="12"/>
        </w:rPr>
        <w:t> </w:t>
      </w:r>
      <w:r>
        <w:rPr>
          <w:color w:val="231F20"/>
          <w:spacing w:val="-1"/>
        </w:rPr>
        <w:t>zusammen</w:t>
      </w:r>
      <w:r>
        <w:rPr>
          <w:color w:val="231F20"/>
        </w:rPr>
        <w:t> </w:t>
      </w:r>
      <w:r>
        <w:rPr>
          <w:color w:val="231F20"/>
          <w:spacing w:val="12"/>
        </w:rPr>
        <w:t> </w:t>
      </w:r>
      <w:r>
        <w:rPr>
          <w:color w:val="231F20"/>
        </w:rPr>
        <w:t>mit </w:t>
      </w:r>
      <w:r>
        <w:rPr>
          <w:color w:val="231F20"/>
          <w:spacing w:val="12"/>
        </w:rPr>
        <w:t> </w:t>
      </w:r>
      <w:r>
        <w:rPr>
          <w:color w:val="231F20"/>
        </w:rPr>
        <w:t>effizienten </w:t>
      </w:r>
      <w:r>
        <w:rPr>
          <w:color w:val="231F20"/>
          <w:spacing w:val="12"/>
        </w:rPr>
        <w:t> </w:t>
      </w:r>
      <w:r>
        <w:rPr>
          <w:color w:val="231F20"/>
          <w:spacing w:val="-1"/>
        </w:rPr>
        <w:t>Geräten,</w:t>
      </w:r>
      <w:r>
        <w:rPr/>
      </w:r>
    </w:p>
    <w:p>
      <w:pPr>
        <w:pStyle w:val="BodyText"/>
        <w:spacing w:line="126" w:lineRule="exact" w:before="9"/>
        <w:ind w:right="0"/>
        <w:jc w:val="left"/>
      </w:pPr>
      <w:r>
        <w:rPr/>
        <w:br w:type="column"/>
      </w:r>
      <w:r>
        <w:rPr>
          <w:color w:val="231F20"/>
        </w:rPr>
        <w:t>Dachanlage</w:t>
      </w:r>
      <w:r>
        <w:rPr>
          <w:color w:val="231F20"/>
          <w:spacing w:val="16"/>
        </w:rPr>
        <w:t> </w:t>
      </w:r>
      <w:r>
        <w:rPr>
          <w:color w:val="231F20"/>
        </w:rPr>
        <w:t>fügt</w:t>
      </w:r>
      <w:r>
        <w:rPr>
          <w:color w:val="231F20"/>
          <w:spacing w:val="16"/>
        </w:rPr>
        <w:t> </w:t>
      </w:r>
      <w:r>
        <w:rPr>
          <w:color w:val="231F20"/>
        </w:rPr>
        <w:t>sich</w:t>
      </w:r>
      <w:r>
        <w:rPr>
          <w:color w:val="231F20"/>
          <w:spacing w:val="16"/>
        </w:rPr>
        <w:t> </w:t>
      </w:r>
      <w:r>
        <w:rPr>
          <w:color w:val="231F20"/>
        </w:rPr>
        <w:t>das</w:t>
      </w:r>
      <w:r>
        <w:rPr>
          <w:color w:val="231F20"/>
          <w:spacing w:val="16"/>
        </w:rPr>
        <w:t> </w:t>
      </w:r>
      <w:r>
        <w:rPr>
          <w:color w:val="231F20"/>
          <w:spacing w:val="-1"/>
        </w:rPr>
        <w:t>Lernzentrum</w:t>
      </w:r>
      <w:r>
        <w:rPr>
          <w:color w:val="231F20"/>
          <w:spacing w:val="16"/>
        </w:rPr>
        <w:t> </w:t>
      </w:r>
      <w:r>
        <w:rPr>
          <w:color w:val="231F20"/>
        </w:rPr>
        <w:t>gut</w:t>
      </w:r>
      <w:r>
        <w:rPr/>
      </w:r>
    </w:p>
    <w:p>
      <w:pPr>
        <w:spacing w:line="13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8"/>
          <w:szCs w:val="8"/>
        </w:rPr>
      </w:pPr>
      <w:r>
        <w:rPr/>
        <w:br w:type="column"/>
      </w:r>
      <w:r>
        <w:rPr>
          <w:rFonts w:ascii="Theinhardt Regular"/>
          <w:color w:val="231F20"/>
          <w:sz w:val="14"/>
        </w:rPr>
        <w:t>EBF: </w:t>
      </w:r>
      <w:r>
        <w:rPr>
          <w:rFonts w:ascii="Theinhardt Regular"/>
          <w:color w:val="231F20"/>
          <w:spacing w:val="2"/>
          <w:sz w:val="14"/>
        </w:rPr>
        <w:t>404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m</w:t>
      </w:r>
      <w:r>
        <w:rPr>
          <w:rFonts w:ascii="Theinhardt Regular"/>
          <w:color w:val="231F20"/>
          <w:spacing w:val="-1"/>
          <w:position w:val="5"/>
          <w:sz w:val="8"/>
        </w:rPr>
        <w:t>2</w:t>
      </w:r>
      <w:r>
        <w:rPr>
          <w:rFonts w:ascii="Theinhardt Regular"/>
          <w:sz w:val="8"/>
        </w:rPr>
      </w:r>
    </w:p>
    <w:p>
      <w:pPr>
        <w:tabs>
          <w:tab w:pos="895" w:val="left" w:leader="none"/>
          <w:tab w:pos="1281" w:val="left" w:leader="none"/>
        </w:tabs>
        <w:spacing w:line="13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br w:type="column"/>
      </w:r>
      <w:r>
        <w:rPr>
          <w:rFonts w:ascii="Theinhardt Regular"/>
          <w:color w:val="231F20"/>
          <w:sz w:val="14"/>
        </w:rPr>
        <w:t>kWh/m</w:t>
      </w:r>
      <w:r>
        <w:rPr>
          <w:rFonts w:ascii="Theinhardt Regular"/>
          <w:color w:val="231F20"/>
          <w:position w:val="5"/>
          <w:sz w:val="8"/>
        </w:rPr>
        <w:t>2</w:t>
      </w:r>
      <w:r>
        <w:rPr>
          <w:rFonts w:ascii="Theinhardt Regular"/>
          <w:color w:val="231F20"/>
          <w:sz w:val="14"/>
        </w:rPr>
        <w:t>a</w:t>
        <w:tab/>
        <w:t>%</w:t>
        <w:tab/>
        <w:t>kWh/a</w:t>
      </w:r>
      <w:r>
        <w:rPr>
          <w:rFonts w:ascii="Theinhardt Regular"/>
          <w:sz w:val="14"/>
        </w:rPr>
      </w:r>
    </w:p>
    <w:p>
      <w:pPr>
        <w:spacing w:after="0" w:line="130" w:lineRule="exact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2250" w:h="17180"/>
          <w:pgMar w:top="1020" w:bottom="280" w:left="620" w:right="900"/>
          <w:cols w:num="4" w:equalWidth="0">
            <w:col w:w="3473" w:space="99"/>
            <w:col w:w="3463" w:space="109"/>
            <w:col w:w="900" w:space="853"/>
            <w:col w:w="1833"/>
          </w:cols>
        </w:sectPr>
      </w:pPr>
    </w:p>
    <w:p>
      <w:pPr>
        <w:pStyle w:val="BodyText"/>
        <w:spacing w:line="230" w:lineRule="exact" w:before="94"/>
        <w:ind w:right="0"/>
        <w:jc w:val="both"/>
      </w:pPr>
      <w:r>
        <w:rPr>
          <w:color w:val="231F20"/>
          <w:spacing w:val="-1"/>
        </w:rPr>
        <w:t>LED-Lampen</w:t>
      </w:r>
      <w:r>
        <w:rPr>
          <w:color w:val="231F20"/>
          <w:spacing w:val="44"/>
        </w:rPr>
        <w:t> </w:t>
      </w:r>
      <w:r>
        <w:rPr>
          <w:color w:val="231F20"/>
        </w:rPr>
        <w:t>und</w:t>
      </w:r>
      <w:r>
        <w:rPr>
          <w:color w:val="231F20"/>
          <w:spacing w:val="45"/>
        </w:rPr>
        <w:t> </w:t>
      </w:r>
      <w:r>
        <w:rPr>
          <w:color w:val="231F20"/>
        </w:rPr>
        <w:t>einer</w:t>
      </w:r>
      <w:r>
        <w:rPr>
          <w:color w:val="231F20"/>
          <w:spacing w:val="44"/>
        </w:rPr>
        <w:t> </w:t>
      </w:r>
      <w:r>
        <w:rPr>
          <w:color w:val="231F20"/>
          <w:spacing w:val="-1"/>
        </w:rPr>
        <w:t>Wärmepumpe</w:t>
      </w:r>
      <w:r>
        <w:rPr>
          <w:color w:val="231F20"/>
          <w:spacing w:val="45"/>
        </w:rPr>
        <w:t> </w:t>
      </w:r>
      <w:r>
        <w:rPr>
          <w:color w:val="231F20"/>
        </w:rPr>
        <w:t>für</w:t>
      </w:r>
      <w:r>
        <w:rPr>
          <w:color w:val="231F20"/>
          <w:spacing w:val="24"/>
        </w:rPr>
        <w:t> </w:t>
      </w:r>
      <w:r>
        <w:rPr>
          <w:color w:val="231F20"/>
        </w:rPr>
        <w:t>einen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Energiebedarf</w:t>
      </w:r>
      <w:r>
        <w:rPr>
          <w:color w:val="231F20"/>
          <w:spacing w:val="-14"/>
        </w:rPr>
        <w:t> </w:t>
      </w:r>
      <w:r>
        <w:rPr>
          <w:color w:val="231F20"/>
        </w:rPr>
        <w:t>von</w:t>
      </w:r>
      <w:r>
        <w:rPr>
          <w:color w:val="231F20"/>
          <w:spacing w:val="-14"/>
        </w:rPr>
        <w:t> </w:t>
      </w:r>
      <w:r>
        <w:rPr>
          <w:color w:val="231F20"/>
        </w:rPr>
        <w:t>13’700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kWh/a.</w:t>
      </w:r>
      <w:r>
        <w:rPr>
          <w:color w:val="231F20"/>
          <w:spacing w:val="-24"/>
        </w:rPr>
        <w:t> </w:t>
      </w:r>
      <w:r>
        <w:rPr>
          <w:color w:val="231F20"/>
        </w:rPr>
        <w:t>Auf</w:t>
      </w:r>
      <w:r>
        <w:rPr>
          <w:color w:val="231F20"/>
          <w:spacing w:val="30"/>
        </w:rPr>
        <w:t> </w:t>
      </w:r>
      <w:r>
        <w:rPr>
          <w:color w:val="231F20"/>
        </w:rPr>
        <w:t>dem</w:t>
      </w:r>
      <w:r>
        <w:rPr>
          <w:color w:val="231F20"/>
          <w:spacing w:val="25"/>
        </w:rPr>
        <w:t> </w:t>
      </w:r>
      <w:r>
        <w:rPr>
          <w:color w:val="231F20"/>
          <w:spacing w:val="-1"/>
        </w:rPr>
        <w:t>Süddach</w:t>
      </w:r>
      <w:r>
        <w:rPr>
          <w:color w:val="231F20"/>
          <w:spacing w:val="26"/>
        </w:rPr>
        <w:t> </w:t>
      </w:r>
      <w:r>
        <w:rPr>
          <w:color w:val="231F20"/>
          <w:spacing w:val="-2"/>
        </w:rPr>
        <w:t>wurde</w:t>
      </w:r>
      <w:r>
        <w:rPr>
          <w:color w:val="231F20"/>
          <w:spacing w:val="25"/>
        </w:rPr>
        <w:t> </w:t>
      </w:r>
      <w:r>
        <w:rPr>
          <w:color w:val="231F20"/>
        </w:rPr>
        <w:t>eine</w:t>
      </w:r>
      <w:r>
        <w:rPr>
          <w:color w:val="231F20"/>
          <w:spacing w:val="26"/>
        </w:rPr>
        <w:t> </w:t>
      </w:r>
      <w:r>
        <w:rPr>
          <w:color w:val="231F20"/>
        </w:rPr>
        <w:t>14.7</w:t>
      </w:r>
      <w:r>
        <w:rPr>
          <w:color w:val="231F20"/>
          <w:spacing w:val="26"/>
        </w:rPr>
        <w:t> </w:t>
      </w:r>
      <w:r>
        <w:rPr>
          <w:color w:val="231F20"/>
        </w:rPr>
        <w:t>kW</w:t>
      </w:r>
      <w:r>
        <w:rPr>
          <w:color w:val="231F20"/>
          <w:spacing w:val="25"/>
        </w:rPr>
        <w:t> </w:t>
      </w:r>
      <w:r>
        <w:rPr>
          <w:color w:val="231F20"/>
          <w:spacing w:val="-1"/>
        </w:rPr>
        <w:t>starke</w:t>
      </w:r>
      <w:r>
        <w:rPr>
          <w:color w:val="231F20"/>
          <w:spacing w:val="21"/>
        </w:rPr>
        <w:t> </w:t>
      </w:r>
      <w:r>
        <w:rPr>
          <w:color w:val="231F20"/>
          <w:spacing w:val="-2"/>
        </w:rPr>
        <w:t>PV-Anlage</w:t>
      </w:r>
      <w:r>
        <w:rPr>
          <w:color w:val="231F20"/>
          <w:spacing w:val="-10"/>
        </w:rPr>
        <w:t> </w:t>
      </w:r>
      <w:r>
        <w:rPr>
          <w:color w:val="231F20"/>
        </w:rPr>
        <w:t>errichtet,</w:t>
      </w:r>
      <w:r>
        <w:rPr>
          <w:color w:val="231F20"/>
          <w:spacing w:val="-21"/>
        </w:rPr>
        <w:t> </w:t>
      </w:r>
      <w:r>
        <w:rPr>
          <w:color w:val="231F20"/>
        </w:rPr>
        <w:t>die</w:t>
      </w:r>
      <w:r>
        <w:rPr>
          <w:color w:val="231F20"/>
          <w:spacing w:val="-10"/>
        </w:rPr>
        <w:t> </w:t>
      </w:r>
      <w:r>
        <w:rPr>
          <w:color w:val="231F20"/>
        </w:rPr>
        <w:t>rund</w:t>
      </w:r>
      <w:r>
        <w:rPr>
          <w:color w:val="231F20"/>
          <w:spacing w:val="-10"/>
        </w:rPr>
        <w:t> </w:t>
      </w:r>
      <w:r>
        <w:rPr>
          <w:color w:val="231F20"/>
        </w:rPr>
        <w:t>15’700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kWh/a</w:t>
      </w:r>
      <w:r>
        <w:rPr>
          <w:color w:val="231F20"/>
          <w:spacing w:val="22"/>
        </w:rPr>
        <w:t> </w:t>
      </w:r>
      <w:r>
        <w:rPr>
          <w:color w:val="231F20"/>
        </w:rPr>
        <w:t>produziert.</w:t>
      </w:r>
      <w:r>
        <w:rPr>
          <w:color w:val="231F20"/>
          <w:spacing w:val="-9"/>
        </w:rPr>
        <w:t> </w:t>
      </w:r>
      <w:r>
        <w:rPr>
          <w:color w:val="231F20"/>
        </w:rPr>
        <w:t>Daraus</w:t>
      </w:r>
      <w:r>
        <w:rPr>
          <w:color w:val="231F20"/>
          <w:spacing w:val="2"/>
        </w:rPr>
        <w:t> </w:t>
      </w:r>
      <w:r>
        <w:rPr>
          <w:color w:val="231F20"/>
        </w:rPr>
        <w:t>resultiert</w:t>
      </w:r>
      <w:r>
        <w:rPr>
          <w:color w:val="231F20"/>
          <w:spacing w:val="2"/>
        </w:rPr>
        <w:t> </w:t>
      </w:r>
      <w:r>
        <w:rPr>
          <w:color w:val="231F20"/>
        </w:rPr>
        <w:t>ein</w:t>
      </w:r>
      <w:r>
        <w:rPr>
          <w:color w:val="231F20"/>
          <w:spacing w:val="2"/>
        </w:rPr>
        <w:t> </w:t>
      </w:r>
      <w:r>
        <w:rPr>
          <w:color w:val="231F20"/>
          <w:spacing w:val="-1"/>
        </w:rPr>
        <w:t>Stromüber-</w:t>
      </w:r>
      <w:r>
        <w:rPr>
          <w:color w:val="231F20"/>
          <w:spacing w:val="26"/>
        </w:rPr>
        <w:t> </w:t>
      </w:r>
      <w:r>
        <w:rPr>
          <w:color w:val="231F20"/>
          <w:spacing w:val="-1"/>
        </w:rPr>
        <w:t>schuss</w:t>
      </w:r>
      <w:r>
        <w:rPr>
          <w:color w:val="231F20"/>
        </w:rPr>
        <w:t> von rund 2’100 </w:t>
      </w:r>
      <w:r>
        <w:rPr>
          <w:color w:val="231F20"/>
          <w:spacing w:val="-2"/>
        </w:rPr>
        <w:t>kWh/a</w:t>
      </w:r>
      <w:r>
        <w:rPr>
          <w:color w:val="231F20"/>
        </w:rPr>
        <w:t> </w:t>
      </w:r>
      <w:r>
        <w:rPr>
          <w:color w:val="231F20"/>
          <w:spacing w:val="-4"/>
        </w:rPr>
        <w:t>bzw.</w:t>
      </w:r>
      <w:r>
        <w:rPr>
          <w:color w:val="231F20"/>
          <w:spacing w:val="-11"/>
        </w:rPr>
        <w:t> </w:t>
      </w:r>
      <w:r>
        <w:rPr>
          <w:color w:val="231F20"/>
        </w:rPr>
        <w:t>15%.</w:t>
      </w:r>
      <w:r>
        <w:rPr/>
      </w:r>
    </w:p>
    <w:p>
      <w:pPr>
        <w:pStyle w:val="BodyText"/>
        <w:spacing w:line="230" w:lineRule="exact"/>
        <w:ind w:right="0" w:firstLine="226"/>
        <w:jc w:val="both"/>
      </w:pPr>
      <w:r>
        <w:rPr>
          <w:color w:val="231F20"/>
        </w:rPr>
        <w:t>Auf</w:t>
      </w:r>
      <w:r>
        <w:rPr>
          <w:color w:val="231F20"/>
          <w:spacing w:val="2"/>
        </w:rPr>
        <w:t> </w:t>
      </w:r>
      <w:r>
        <w:rPr>
          <w:color w:val="231F20"/>
        </w:rPr>
        <w:t>einem</w:t>
      </w:r>
      <w:r>
        <w:rPr>
          <w:color w:val="231F20"/>
          <w:spacing w:val="2"/>
        </w:rPr>
        <w:t> </w:t>
      </w:r>
      <w:r>
        <w:rPr>
          <w:color w:val="231F20"/>
          <w:spacing w:val="-1"/>
        </w:rPr>
        <w:t>Display</w:t>
      </w:r>
      <w:r>
        <w:rPr>
          <w:color w:val="231F20"/>
          <w:spacing w:val="2"/>
        </w:rPr>
        <w:t> </w:t>
      </w:r>
      <w:r>
        <w:rPr>
          <w:color w:val="231F20"/>
        </w:rPr>
        <w:t>beim</w:t>
      </w:r>
      <w:r>
        <w:rPr>
          <w:color w:val="231F20"/>
          <w:spacing w:val="2"/>
        </w:rPr>
        <w:t> </w:t>
      </w:r>
      <w:r>
        <w:rPr>
          <w:color w:val="231F20"/>
        </w:rPr>
        <w:t>Eingang</w:t>
      </w:r>
      <w:r>
        <w:rPr>
          <w:color w:val="231F20"/>
          <w:spacing w:val="2"/>
        </w:rPr>
        <w:t> </w:t>
      </w:r>
      <w:r>
        <w:rPr>
          <w:color w:val="231F20"/>
          <w:spacing w:val="-2"/>
        </w:rPr>
        <w:t>können</w:t>
      </w:r>
      <w:r>
        <w:rPr>
          <w:color w:val="231F20"/>
          <w:spacing w:val="28"/>
        </w:rPr>
        <w:t> </w:t>
      </w:r>
      <w:r>
        <w:rPr>
          <w:color w:val="231F20"/>
        </w:rPr>
        <w:t>die</w:t>
      </w:r>
      <w:r>
        <w:rPr>
          <w:color w:val="231F20"/>
          <w:spacing w:val="15"/>
        </w:rPr>
        <w:t> </w:t>
      </w:r>
      <w:r>
        <w:rPr>
          <w:color w:val="231F20"/>
          <w:spacing w:val="-1"/>
        </w:rPr>
        <w:t>Schülerinnen</w:t>
      </w:r>
      <w:r>
        <w:rPr>
          <w:color w:val="231F20"/>
          <w:spacing w:val="15"/>
        </w:rPr>
        <w:t> </w:t>
      </w:r>
      <w:r>
        <w:rPr>
          <w:color w:val="231F20"/>
        </w:rPr>
        <w:t>und</w:t>
      </w:r>
      <w:r>
        <w:rPr>
          <w:color w:val="231F20"/>
          <w:spacing w:val="15"/>
        </w:rPr>
        <w:t> </w:t>
      </w:r>
      <w:r>
        <w:rPr>
          <w:color w:val="231F20"/>
        </w:rPr>
        <w:t>Schüler</w:t>
      </w:r>
      <w:r>
        <w:rPr>
          <w:color w:val="231F20"/>
          <w:spacing w:val="15"/>
        </w:rPr>
        <w:t> </w:t>
      </w:r>
      <w:r>
        <w:rPr>
          <w:color w:val="231F20"/>
        </w:rPr>
        <w:t>die</w:t>
      </w:r>
      <w:r>
        <w:rPr>
          <w:color w:val="231F20"/>
          <w:spacing w:val="15"/>
        </w:rPr>
        <w:t> </w:t>
      </w:r>
      <w:r>
        <w:rPr>
          <w:color w:val="231F20"/>
        </w:rPr>
        <w:t>Nutzung</w:t>
      </w:r>
      <w:r>
        <w:rPr>
          <w:color w:val="231F20"/>
          <w:spacing w:val="38"/>
        </w:rPr>
        <w:t> </w:t>
      </w:r>
      <w:r>
        <w:rPr>
          <w:color w:val="231F20"/>
        </w:rPr>
        <w:t>der</w:t>
      </w:r>
      <w:r>
        <w:rPr>
          <w:color w:val="231F20"/>
          <w:spacing w:val="2"/>
        </w:rPr>
        <w:t> </w:t>
      </w:r>
      <w:r>
        <w:rPr>
          <w:color w:val="231F20"/>
          <w:spacing w:val="-1"/>
        </w:rPr>
        <w:t>Sonnenenergie</w:t>
      </w:r>
      <w:r>
        <w:rPr>
          <w:color w:val="231F20"/>
          <w:spacing w:val="2"/>
        </w:rPr>
        <w:t> </w:t>
      </w:r>
      <w:r>
        <w:rPr>
          <w:color w:val="231F20"/>
        </w:rPr>
        <w:t>im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Verhältnis</w:t>
      </w:r>
      <w:r>
        <w:rPr>
          <w:color w:val="231F20"/>
          <w:spacing w:val="2"/>
        </w:rPr>
        <w:t> </w:t>
      </w:r>
      <w:r>
        <w:rPr>
          <w:color w:val="231F20"/>
        </w:rPr>
        <w:t>zum</w:t>
      </w:r>
      <w:r>
        <w:rPr>
          <w:color w:val="231F20"/>
          <w:spacing w:val="2"/>
        </w:rPr>
        <w:t> </w:t>
      </w:r>
      <w:r>
        <w:rPr>
          <w:color w:val="231F20"/>
        </w:rPr>
        <w:t>Ener-</w:t>
      </w:r>
      <w:r>
        <w:rPr>
          <w:color w:val="231F20"/>
          <w:spacing w:val="27"/>
        </w:rPr>
        <w:t> </w:t>
      </w:r>
      <w:r>
        <w:rPr>
          <w:color w:val="231F20"/>
          <w:spacing w:val="-1"/>
        </w:rPr>
        <w:t>gieverbrauch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betrachten.</w:t>
      </w:r>
      <w:r>
        <w:rPr>
          <w:color w:val="231F20"/>
          <w:spacing w:val="-21"/>
        </w:rPr>
        <w:t> </w:t>
      </w:r>
      <w:r>
        <w:rPr>
          <w:color w:val="231F20"/>
        </w:rPr>
        <w:t>Sie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sollen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dadurch</w:t>
      </w:r>
      <w:r>
        <w:rPr>
          <w:color w:val="231F20"/>
          <w:spacing w:val="37"/>
        </w:rPr>
        <w:t> </w:t>
      </w:r>
      <w:r>
        <w:rPr>
          <w:color w:val="231F20"/>
        </w:rPr>
        <w:t>für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Energieeffizienz</w:t>
      </w:r>
      <w:r>
        <w:rPr>
          <w:color w:val="231F20"/>
          <w:spacing w:val="-4"/>
        </w:rPr>
        <w:t> </w:t>
      </w:r>
      <w:r>
        <w:rPr>
          <w:color w:val="231F20"/>
        </w:rPr>
        <w:t>und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Energiesparen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sen-</w:t>
      </w:r>
      <w:r>
        <w:rPr/>
      </w:r>
    </w:p>
    <w:p>
      <w:pPr>
        <w:pStyle w:val="BodyText"/>
        <w:spacing w:line="230" w:lineRule="exact" w:before="94"/>
        <w:ind w:right="0"/>
        <w:jc w:val="both"/>
      </w:pPr>
      <w:r>
        <w:rPr/>
        <w:br w:type="column"/>
      </w:r>
      <w:r>
        <w:rPr>
          <w:color w:val="231F20"/>
        </w:rPr>
        <w:t>in</w:t>
      </w:r>
      <w:r>
        <w:rPr>
          <w:color w:val="231F20"/>
          <w:spacing w:val="35"/>
        </w:rPr>
        <w:t> </w:t>
      </w:r>
      <w:r>
        <w:rPr>
          <w:color w:val="231F20"/>
        </w:rPr>
        <w:t>die</w:t>
      </w:r>
      <w:r>
        <w:rPr>
          <w:color w:val="231F20"/>
          <w:spacing w:val="36"/>
        </w:rPr>
        <w:t> </w:t>
      </w:r>
      <w:r>
        <w:rPr>
          <w:color w:val="231F20"/>
        </w:rPr>
        <w:t>Umgebung</w:t>
      </w:r>
      <w:r>
        <w:rPr>
          <w:color w:val="231F20"/>
          <w:spacing w:val="35"/>
        </w:rPr>
        <w:t> </w:t>
      </w:r>
      <w:r>
        <w:rPr>
          <w:color w:val="231F20"/>
        </w:rPr>
        <w:t>ein.</w:t>
      </w:r>
      <w:r>
        <w:rPr>
          <w:color w:val="231F20"/>
          <w:spacing w:val="25"/>
        </w:rPr>
        <w:t> </w:t>
      </w:r>
      <w:r>
        <w:rPr>
          <w:color w:val="231F20"/>
        </w:rPr>
        <w:t>Zu</w:t>
      </w:r>
      <w:r>
        <w:rPr>
          <w:color w:val="231F20"/>
          <w:spacing w:val="36"/>
        </w:rPr>
        <w:t> </w:t>
      </w:r>
      <w:r>
        <w:rPr>
          <w:color w:val="231F20"/>
        </w:rPr>
        <w:t>einem</w:t>
      </w:r>
      <w:r>
        <w:rPr>
          <w:color w:val="231F20"/>
          <w:spacing w:val="35"/>
        </w:rPr>
        <w:t> </w:t>
      </w:r>
      <w:r>
        <w:rPr>
          <w:color w:val="231F20"/>
          <w:spacing w:val="-2"/>
        </w:rPr>
        <w:t>späteren</w:t>
      </w:r>
      <w:r>
        <w:rPr>
          <w:color w:val="231F20"/>
          <w:spacing w:val="28"/>
        </w:rPr>
        <w:t> </w:t>
      </w:r>
      <w:r>
        <w:rPr>
          <w:color w:val="231F20"/>
          <w:spacing w:val="-1"/>
        </w:rPr>
        <w:t>Zeitpunkt</w:t>
      </w:r>
      <w:r>
        <w:rPr>
          <w:color w:val="231F20"/>
          <w:spacing w:val="42"/>
        </w:rPr>
        <w:t> </w:t>
      </w:r>
      <w:r>
        <w:rPr>
          <w:color w:val="231F20"/>
          <w:spacing w:val="-1"/>
        </w:rPr>
        <w:t>soll</w:t>
      </w:r>
      <w:r>
        <w:rPr>
          <w:color w:val="231F20"/>
          <w:spacing w:val="43"/>
        </w:rPr>
        <w:t> </w:t>
      </w:r>
      <w:r>
        <w:rPr>
          <w:color w:val="231F20"/>
        </w:rPr>
        <w:t>auch</w:t>
      </w:r>
      <w:r>
        <w:rPr>
          <w:color w:val="231F20"/>
          <w:spacing w:val="42"/>
        </w:rPr>
        <w:t> </w:t>
      </w:r>
      <w:r>
        <w:rPr>
          <w:color w:val="231F20"/>
        </w:rPr>
        <w:t>das</w:t>
      </w:r>
      <w:r>
        <w:rPr>
          <w:color w:val="231F20"/>
          <w:spacing w:val="43"/>
        </w:rPr>
        <w:t> </w:t>
      </w:r>
      <w:r>
        <w:rPr>
          <w:color w:val="231F20"/>
        </w:rPr>
        <w:t>mit</w:t>
      </w:r>
      <w:r>
        <w:rPr>
          <w:color w:val="231F20"/>
          <w:spacing w:val="43"/>
        </w:rPr>
        <w:t> </w:t>
      </w:r>
      <w:r>
        <w:rPr>
          <w:color w:val="231F20"/>
          <w:spacing w:val="-1"/>
        </w:rPr>
        <w:t>Leermodulen</w:t>
      </w:r>
      <w:r>
        <w:rPr>
          <w:color w:val="231F20"/>
          <w:spacing w:val="34"/>
        </w:rPr>
        <w:t> </w:t>
      </w:r>
      <w:r>
        <w:rPr>
          <w:color w:val="231F20"/>
        </w:rPr>
        <w:t>bedeckte</w:t>
      </w:r>
      <w:r>
        <w:rPr>
          <w:color w:val="231F20"/>
          <w:spacing w:val="11"/>
        </w:rPr>
        <w:t> </w:t>
      </w:r>
      <w:r>
        <w:rPr>
          <w:color w:val="231F20"/>
          <w:spacing w:val="-1"/>
        </w:rPr>
        <w:t>Norddach</w:t>
      </w:r>
      <w:r>
        <w:rPr>
          <w:color w:val="231F20"/>
          <w:spacing w:val="11"/>
        </w:rPr>
        <w:t> </w:t>
      </w:r>
      <w:r>
        <w:rPr>
          <w:color w:val="231F20"/>
        </w:rPr>
        <w:t>mit</w:t>
      </w:r>
      <w:r>
        <w:rPr>
          <w:color w:val="231F20"/>
          <w:spacing w:val="11"/>
        </w:rPr>
        <w:t> </w:t>
      </w:r>
      <w:r>
        <w:rPr>
          <w:color w:val="231F20"/>
          <w:spacing w:val="-1"/>
        </w:rPr>
        <w:t>PV-Modulen</w:t>
      </w:r>
      <w:r>
        <w:rPr>
          <w:color w:val="231F20"/>
          <w:spacing w:val="11"/>
        </w:rPr>
        <w:t> </w:t>
      </w:r>
      <w:r>
        <w:rPr>
          <w:color w:val="231F20"/>
        </w:rPr>
        <w:t>be-</w:t>
      </w:r>
      <w:r>
        <w:rPr>
          <w:color w:val="231F20"/>
          <w:spacing w:val="29"/>
        </w:rPr>
        <w:t> </w:t>
      </w:r>
      <w:r>
        <w:rPr>
          <w:color w:val="231F20"/>
        </w:rPr>
        <w:t>stückt</w:t>
      </w:r>
      <w:r>
        <w:rPr>
          <w:color w:val="231F20"/>
          <w:spacing w:val="43"/>
        </w:rPr>
        <w:t> </w:t>
      </w:r>
      <w:r>
        <w:rPr>
          <w:color w:val="231F20"/>
          <w:spacing w:val="-1"/>
        </w:rPr>
        <w:t>werden.</w:t>
      </w:r>
      <w:r>
        <w:rPr>
          <w:color w:val="231F20"/>
          <w:spacing w:val="33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43"/>
        </w:rPr>
        <w:t> </w:t>
      </w:r>
      <w:r>
        <w:rPr>
          <w:color w:val="231F20"/>
          <w:spacing w:val="-1"/>
        </w:rPr>
        <w:t>Dachunterkonstruktion</w:t>
      </w:r>
      <w:r>
        <w:rPr>
          <w:color w:val="231F20"/>
          <w:spacing w:val="40"/>
        </w:rPr>
        <w:t> </w:t>
      </w:r>
      <w:r>
        <w:rPr>
          <w:color w:val="231F20"/>
        </w:rPr>
        <w:t>für die </w:t>
      </w:r>
      <w:r>
        <w:rPr>
          <w:color w:val="231F20"/>
          <w:spacing w:val="-2"/>
        </w:rPr>
        <w:t>PV-Anlage</w:t>
      </w:r>
      <w:r>
        <w:rPr>
          <w:color w:val="231F20"/>
        </w:rPr>
        <w:t> ist </w:t>
      </w:r>
      <w:r>
        <w:rPr>
          <w:color w:val="231F20"/>
          <w:spacing w:val="-1"/>
        </w:rPr>
        <w:t>bereits</w:t>
      </w:r>
      <w:r>
        <w:rPr>
          <w:color w:val="231F20"/>
        </w:rPr>
        <w:t> montiert.</w:t>
      </w:r>
      <w:r>
        <w:rPr/>
      </w:r>
    </w:p>
    <w:p>
      <w:pPr>
        <w:pStyle w:val="BodyText"/>
        <w:spacing w:line="230" w:lineRule="exact"/>
        <w:ind w:right="0" w:firstLine="226"/>
        <w:jc w:val="both"/>
      </w:pPr>
      <w:r>
        <w:rPr>
          <w:color w:val="231F20"/>
          <w:spacing w:val="-1"/>
        </w:rPr>
        <w:t>Gerade</w:t>
      </w:r>
      <w:r>
        <w:rPr>
          <w:color w:val="231F20"/>
          <w:spacing w:val="38"/>
        </w:rPr>
        <w:t> </w:t>
      </w:r>
      <w:r>
        <w:rPr>
          <w:color w:val="231F20"/>
        </w:rPr>
        <w:t>Schulhausbauten</w:t>
      </w:r>
      <w:r>
        <w:rPr>
          <w:color w:val="231F20"/>
          <w:spacing w:val="39"/>
        </w:rPr>
        <w:t> </w:t>
      </w:r>
      <w:r>
        <w:rPr>
          <w:color w:val="231F20"/>
        </w:rPr>
        <w:t>haben</w:t>
      </w:r>
      <w:r>
        <w:rPr>
          <w:color w:val="231F20"/>
          <w:spacing w:val="38"/>
        </w:rPr>
        <w:t> </w:t>
      </w:r>
      <w:r>
        <w:rPr>
          <w:color w:val="231F20"/>
        </w:rPr>
        <w:t>eine</w:t>
      </w:r>
      <w:r>
        <w:rPr>
          <w:color w:val="231F20"/>
          <w:spacing w:val="25"/>
        </w:rPr>
        <w:t> </w:t>
      </w:r>
      <w:r>
        <w:rPr>
          <w:color w:val="231F20"/>
        </w:rPr>
        <w:t>wichtige</w:t>
      </w:r>
      <w:r>
        <w:rPr>
          <w:color w:val="231F20"/>
          <w:spacing w:val="22"/>
        </w:rPr>
        <w:t> </w:t>
      </w:r>
      <w:r>
        <w:rPr>
          <w:color w:val="231F20"/>
          <w:spacing w:val="-1"/>
        </w:rPr>
        <w:t>Vorbildfunktion.</w:t>
      </w:r>
      <w:r>
        <w:rPr>
          <w:color w:val="231F20"/>
          <w:spacing w:val="22"/>
        </w:rPr>
        <w:t> </w:t>
      </w:r>
      <w:r>
        <w:rPr>
          <w:color w:val="231F20"/>
          <w:spacing w:val="1"/>
        </w:rPr>
        <w:t>Das</w:t>
      </w:r>
      <w:r>
        <w:rPr>
          <w:color w:val="231F20"/>
          <w:spacing w:val="32"/>
        </w:rPr>
        <w:t> </w:t>
      </w:r>
      <w:r>
        <w:rPr>
          <w:color w:val="231F20"/>
          <w:spacing w:val="-1"/>
        </w:rPr>
        <w:t>Lernzentrum</w:t>
      </w:r>
      <w:r>
        <w:rPr>
          <w:color w:val="231F20"/>
          <w:spacing w:val="30"/>
        </w:rPr>
        <w:t> </w:t>
      </w:r>
      <w:r>
        <w:rPr>
          <w:color w:val="231F20"/>
          <w:spacing w:val="-1"/>
        </w:rPr>
        <w:t>veranschaulicht</w:t>
      </w:r>
      <w:r>
        <w:rPr>
          <w:color w:val="231F20"/>
          <w:spacing w:val="35"/>
        </w:rPr>
        <w:t> </w:t>
      </w:r>
      <w:r>
        <w:rPr>
          <w:color w:val="231F20"/>
        </w:rPr>
        <w:t>den</w:t>
      </w:r>
      <w:r>
        <w:rPr>
          <w:color w:val="231F20"/>
          <w:spacing w:val="36"/>
        </w:rPr>
        <w:t> </w:t>
      </w:r>
      <w:r>
        <w:rPr>
          <w:color w:val="231F20"/>
          <w:spacing w:val="-1"/>
        </w:rPr>
        <w:t>Schülerinnen</w:t>
      </w:r>
      <w:r>
        <w:rPr>
          <w:color w:val="231F20"/>
          <w:spacing w:val="35"/>
        </w:rPr>
        <w:t> </w:t>
      </w:r>
      <w:r>
        <w:rPr>
          <w:color w:val="231F20"/>
        </w:rPr>
        <w:t>und</w:t>
      </w:r>
      <w:r>
        <w:rPr>
          <w:color w:val="231F20"/>
          <w:spacing w:val="45"/>
        </w:rPr>
        <w:t> </w:t>
      </w:r>
      <w:r>
        <w:rPr>
          <w:color w:val="231F20"/>
        </w:rPr>
        <w:t>Schüler</w:t>
      </w:r>
      <w:r>
        <w:rPr>
          <w:color w:val="231F20"/>
          <w:spacing w:val="15"/>
        </w:rPr>
        <w:t> </w:t>
      </w:r>
      <w:r>
        <w:rPr>
          <w:color w:val="231F20"/>
        </w:rPr>
        <w:t>wie</w:t>
      </w:r>
      <w:r>
        <w:rPr>
          <w:color w:val="231F20"/>
          <w:spacing w:val="15"/>
        </w:rPr>
        <w:t> </w:t>
      </w:r>
      <w:r>
        <w:rPr>
          <w:color w:val="231F20"/>
        </w:rPr>
        <w:t>eine</w:t>
      </w:r>
      <w:r>
        <w:rPr>
          <w:color w:val="231F20"/>
          <w:spacing w:val="15"/>
        </w:rPr>
        <w:t> </w:t>
      </w:r>
      <w:r>
        <w:rPr>
          <w:color w:val="231F20"/>
        </w:rPr>
        <w:t>nachhaltige</w:t>
      </w:r>
      <w:r>
        <w:rPr>
          <w:color w:val="231F20"/>
          <w:spacing w:val="15"/>
        </w:rPr>
        <w:t> </w:t>
      </w:r>
      <w:r>
        <w:rPr>
          <w:color w:val="231F20"/>
          <w:spacing w:val="-1"/>
        </w:rPr>
        <w:t>Energiezu-</w:t>
      </w:r>
      <w:r>
        <w:rPr>
          <w:color w:val="231F20"/>
          <w:spacing w:val="24"/>
        </w:rPr>
        <w:t> </w:t>
      </w:r>
      <w:r>
        <w:rPr>
          <w:color w:val="231F20"/>
          <w:spacing w:val="1"/>
        </w:rPr>
        <w:t>kunft</w:t>
      </w:r>
      <w:r>
        <w:rPr>
          <w:color w:val="231F20"/>
          <w:spacing w:val="16"/>
        </w:rPr>
        <w:t> </w:t>
      </w:r>
      <w:r>
        <w:rPr>
          <w:color w:val="231F20"/>
          <w:spacing w:val="-1"/>
        </w:rPr>
        <w:t>aussehen</w:t>
      </w:r>
      <w:r>
        <w:rPr>
          <w:color w:val="231F20"/>
          <w:spacing w:val="16"/>
        </w:rPr>
        <w:t> </w:t>
      </w:r>
      <w:r>
        <w:rPr>
          <w:color w:val="231F20"/>
          <w:spacing w:val="-1"/>
        </w:rPr>
        <w:t>kann</w:t>
      </w:r>
      <w:r>
        <w:rPr>
          <w:color w:val="231F20"/>
          <w:spacing w:val="16"/>
        </w:rPr>
        <w:t> </w:t>
      </w:r>
      <w:r>
        <w:rPr>
          <w:color w:val="231F20"/>
        </w:rPr>
        <w:t>und</w:t>
      </w:r>
      <w:r>
        <w:rPr>
          <w:color w:val="231F20"/>
          <w:spacing w:val="16"/>
        </w:rPr>
        <w:t> </w:t>
      </w:r>
      <w:r>
        <w:rPr>
          <w:color w:val="231F20"/>
          <w:spacing w:val="-1"/>
        </w:rPr>
        <w:t>soll.</w:t>
      </w:r>
      <w:r>
        <w:rPr>
          <w:color w:val="231F20"/>
          <w:spacing w:val="5"/>
        </w:rPr>
        <w:t> </w:t>
      </w:r>
      <w:r>
        <w:rPr>
          <w:color w:val="231F20"/>
        </w:rPr>
        <w:t>Dafür</w:t>
      </w:r>
      <w:r>
        <w:rPr>
          <w:color w:val="231F20"/>
          <w:spacing w:val="16"/>
        </w:rPr>
        <w:t> </w:t>
      </w:r>
      <w:r>
        <w:rPr>
          <w:color w:val="231F20"/>
        </w:rPr>
        <w:t>erhält</w:t>
      </w:r>
      <w:r>
        <w:rPr>
          <w:color w:val="231F20"/>
          <w:spacing w:val="32"/>
        </w:rPr>
        <w:t> </w:t>
      </w:r>
      <w:r>
        <w:rPr>
          <w:color w:val="231F20"/>
        </w:rPr>
        <w:t>es das </w:t>
      </w:r>
      <w:r>
        <w:rPr>
          <w:color w:val="231F20"/>
          <w:spacing w:val="-1"/>
        </w:rPr>
        <w:t>PlusEnergieBau-Diplom</w:t>
      </w:r>
      <w:r>
        <w:rPr>
          <w:color w:val="231F20"/>
        </w:rPr>
        <w:t> 2018.</w:t>
      </w:r>
      <w:r>
        <w:rPr/>
      </w:r>
    </w:p>
    <w:p>
      <w:pPr>
        <w:tabs>
          <w:tab w:pos="2171" w:val="left" w:leader="none"/>
          <w:tab w:pos="3068" w:val="left" w:leader="none"/>
        </w:tabs>
        <w:spacing w:line="142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br w:type="column"/>
      </w: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Elektrizität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WP:</w:t>
        <w:tab/>
      </w:r>
      <w:r>
        <w:rPr>
          <w:rFonts w:ascii="Theinhardt Regular" w:hAnsi="Theinhardt Regular" w:cs="Theinhardt Regular" w:eastAsia="Theinhardt Regular"/>
          <w:color w:val="231F20"/>
          <w:spacing w:val="-5"/>
          <w:sz w:val="14"/>
          <w:szCs w:val="14"/>
        </w:rPr>
        <w:t>14.1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  </w:t>
      </w:r>
      <w:r>
        <w:rPr>
          <w:rFonts w:ascii="Theinhardt Regular" w:hAnsi="Theinhardt Regular" w:cs="Theinhardt Regular" w:eastAsia="Theinhardt Regular"/>
          <w:color w:val="231F20"/>
          <w:spacing w:val="25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2"/>
          <w:sz w:val="14"/>
          <w:szCs w:val="14"/>
        </w:rPr>
        <w:t>42</w:t>
        <w:tab/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5’684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2158" w:val="left" w:leader="none"/>
          <w:tab w:pos="3060" w:val="left" w:leader="none"/>
        </w:tabs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Elektrizität:</w:t>
        <w:tab/>
      </w:r>
      <w:r>
        <w:rPr>
          <w:rFonts w:ascii="Theinhardt Regular" w:hAnsi="Theinhardt Regular" w:cs="Theinhardt Regular" w:eastAsia="Theinhardt Regular"/>
          <w:color w:val="231F20"/>
          <w:spacing w:val="-2"/>
          <w:sz w:val="14"/>
          <w:szCs w:val="14"/>
        </w:rPr>
        <w:t>19.8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  </w:t>
      </w:r>
      <w:r>
        <w:rPr>
          <w:rFonts w:ascii="Theinhardt Regular" w:hAnsi="Theinhardt Regular" w:cs="Theinhardt Regular" w:eastAsia="Theinhardt Regular"/>
          <w:color w:val="231F20"/>
          <w:spacing w:val="21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58</w:t>
        <w:tab/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7’990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2139" w:val="left" w:leader="none"/>
          <w:tab w:pos="2987" w:val="left" w:leader="none"/>
        </w:tabs>
        <w:spacing w:line="172" w:lineRule="exact" w:before="0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4"/>
          <w:szCs w:val="14"/>
        </w:rPr>
        <w:t>Gesamt-EB: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33.9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22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100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4"/>
          <w:szCs w:val="14"/>
        </w:rPr>
        <w:t>13’674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172" w:lineRule="exact" w:before="32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1"/>
          <w:sz w:val="14"/>
        </w:rPr>
        <w:t>Energieversorgung</w:t>
      </w:r>
      <w:r>
        <w:rPr>
          <w:rFonts w:ascii="Theinhardt Bold"/>
          <w:sz w:val="14"/>
        </w:rPr>
      </w:r>
    </w:p>
    <w:p>
      <w:pPr>
        <w:tabs>
          <w:tab w:pos="997" w:val="left" w:leader="none"/>
          <w:tab w:pos="1115" w:val="left" w:leader="none"/>
          <w:tab w:pos="2213" w:val="left" w:leader="none"/>
          <w:tab w:pos="2668" w:val="left" w:leader="none"/>
          <w:tab w:pos="2999" w:val="left" w:leader="none"/>
          <w:tab w:pos="3034" w:val="left" w:leader="none"/>
        </w:tabs>
        <w:spacing w:line="207" w:lineRule="auto" w:before="5"/>
        <w:ind w:left="117" w:right="143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w w:val="95"/>
          <w:sz w:val="14"/>
          <w:szCs w:val="14"/>
        </w:rPr>
        <w:t>Eigen-EV:</w:t>
        <w:tab/>
        <w:tab/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m</w:t>
      </w:r>
      <w:r>
        <w:rPr>
          <w:rFonts w:ascii="Theinhardt Regular" w:hAnsi="Theinhardt Regular" w:cs="Theinhardt Regular" w:eastAsia="Theinhardt Regular"/>
          <w:color w:val="231F20"/>
          <w:spacing w:val="-1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color w:val="231F20"/>
          <w:position w:val="5"/>
          <w:sz w:val="8"/>
          <w:szCs w:val="8"/>
        </w:rPr>
        <w:t>       </w:t>
      </w:r>
      <w:r>
        <w:rPr>
          <w:rFonts w:ascii="Theinhardt Regular" w:hAnsi="Theinhardt Regular" w:cs="Theinhardt Regular" w:eastAsia="Theinhardt Regular"/>
          <w:color w:val="231F20"/>
          <w:spacing w:val="18"/>
          <w:position w:val="5"/>
          <w:sz w:val="8"/>
          <w:szCs w:val="8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kWp   </w:t>
      </w: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kWh/m</w:t>
      </w:r>
      <w:r>
        <w:rPr>
          <w:rFonts w:ascii="Theinhardt Regular" w:hAnsi="Theinhardt Regular" w:cs="Theinhardt Regular" w:eastAsia="Theinhardt Regular"/>
          <w:color w:val="231F20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a</w:t>
        <w:tab/>
        <w:t>%</w:t>
        <w:tab/>
        <w:tab/>
        <w:t>kWh/a</w:t>
      </w:r>
      <w:r>
        <w:rPr>
          <w:rFonts w:ascii="Theinhardt Regular" w:hAnsi="Theinhardt Regular" w:cs="Theinhardt Regular" w:eastAsia="Theinhardt Regular"/>
          <w:color w:val="231F20"/>
          <w:spacing w:val="38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PV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Dach:</w:t>
        <w:tab/>
      </w:r>
      <w:r>
        <w:rPr>
          <w:rFonts w:ascii="Theinhardt Regular" w:hAnsi="Theinhardt Regular" w:cs="Theinhardt Regular" w:eastAsia="Theinhardt Regular"/>
          <w:color w:val="231F20"/>
          <w:spacing w:val="-2"/>
          <w:sz w:val="14"/>
          <w:szCs w:val="14"/>
        </w:rPr>
        <w:t>83.7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  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5"/>
          <w:sz w:val="14"/>
          <w:szCs w:val="14"/>
        </w:rPr>
        <w:t>14.7</w:t>
        <w:tab/>
      </w:r>
      <w:r>
        <w:rPr>
          <w:rFonts w:ascii="Theinhardt Regular" w:hAnsi="Theinhardt Regular" w:cs="Theinhardt Regular" w:eastAsia="Theinhardt Regular"/>
          <w:color w:val="231F20"/>
          <w:spacing w:val="-2"/>
          <w:sz w:val="14"/>
          <w:szCs w:val="14"/>
        </w:rPr>
        <w:t>188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34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7"/>
          <w:sz w:val="14"/>
          <w:szCs w:val="14"/>
        </w:rPr>
        <w:t>115</w:t>
        <w:tab/>
      </w:r>
      <w:r>
        <w:rPr>
          <w:rFonts w:ascii="Theinhardt Regular" w:hAnsi="Theinhardt Regular" w:cs="Theinhardt Regular" w:eastAsia="Theinhardt Regular"/>
          <w:color w:val="231F20"/>
          <w:spacing w:val="-3"/>
          <w:sz w:val="14"/>
          <w:szCs w:val="14"/>
        </w:rPr>
        <w:t>15’731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2588" w:val="left" w:leader="none"/>
          <w:tab w:pos="3014" w:val="left" w:leader="none"/>
        </w:tabs>
        <w:spacing w:line="172" w:lineRule="exact" w:before="38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/>
          <w:b/>
          <w:color w:val="231F20"/>
          <w:spacing w:val="1"/>
          <w:sz w:val="14"/>
        </w:rPr>
        <w:t>Energiebilanz</w:t>
      </w:r>
      <w:r>
        <w:rPr>
          <w:rFonts w:ascii="Theinhardt Bold"/>
          <w:b/>
          <w:color w:val="231F20"/>
          <w:sz w:val="14"/>
        </w:rPr>
        <w:t> </w:t>
      </w:r>
      <w:r>
        <w:rPr>
          <w:rFonts w:ascii="Theinhardt Bold"/>
          <w:b/>
          <w:color w:val="231F20"/>
          <w:spacing w:val="1"/>
          <w:sz w:val="14"/>
        </w:rPr>
        <w:t>(Endenergie)</w:t>
        <w:tab/>
      </w:r>
      <w:r>
        <w:rPr>
          <w:rFonts w:ascii="Theinhardt Regular"/>
          <w:color w:val="231F20"/>
          <w:sz w:val="14"/>
        </w:rPr>
        <w:t>%</w:t>
        <w:tab/>
      </w:r>
      <w:r>
        <w:rPr>
          <w:rFonts w:ascii="Theinhardt Regular"/>
          <w:color w:val="231F20"/>
          <w:spacing w:val="-1"/>
          <w:sz w:val="14"/>
        </w:rPr>
        <w:t>kWh/a</w:t>
      </w:r>
      <w:r>
        <w:rPr>
          <w:rFonts w:ascii="Theinhardt Regular"/>
          <w:sz w:val="14"/>
        </w:rPr>
      </w:r>
    </w:p>
    <w:p>
      <w:pPr>
        <w:tabs>
          <w:tab w:pos="2536" w:val="left" w:leader="none"/>
        </w:tabs>
        <w:spacing w:line="160" w:lineRule="exact" w:before="0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Eigenenergieversorgung: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-5"/>
          <w:sz w:val="14"/>
          <w:szCs w:val="14"/>
        </w:rPr>
        <w:t>115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   </w:t>
      </w:r>
      <w:r>
        <w:rPr>
          <w:rFonts w:ascii="Theinhardt Bold" w:hAnsi="Theinhardt Bold" w:cs="Theinhardt Bold" w:eastAsia="Theinhardt Bold"/>
          <w:b/>
          <w:bCs/>
          <w:color w:val="231F20"/>
          <w:spacing w:val="14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15’731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tabs>
          <w:tab w:pos="2536" w:val="left" w:leader="none"/>
        </w:tabs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Gesamtenergiebedarf:</w:t>
        <w:tab/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100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   </w:t>
      </w:r>
      <w:r>
        <w:rPr>
          <w:rFonts w:ascii="Theinhardt Regular" w:hAnsi="Theinhardt Regular" w:cs="Theinhardt Regular" w:eastAsia="Theinhardt Regular"/>
          <w:color w:val="231F20"/>
          <w:spacing w:val="9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4"/>
          <w:sz w:val="14"/>
          <w:szCs w:val="14"/>
        </w:rPr>
        <w:t>13’674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2558" w:val="left" w:leader="none"/>
          <w:tab w:pos="3038" w:val="left" w:leader="none"/>
        </w:tabs>
        <w:spacing w:line="172" w:lineRule="exact" w:before="0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Solarstromüberschuss:</w:t>
        <w:tab/>
      </w:r>
      <w:r>
        <w:rPr>
          <w:rFonts w:ascii="Theinhardt Regular" w:hAnsi="Theinhardt Regular" w:cs="Theinhardt Regular" w:eastAsia="Theinhardt Regular"/>
          <w:color w:val="231F20"/>
          <w:spacing w:val="-4"/>
          <w:sz w:val="14"/>
          <w:szCs w:val="14"/>
        </w:rPr>
        <w:t>15</w:t>
        <w:tab/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2’057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160" w:lineRule="exact" w:before="39"/>
        <w:ind w:left="117" w:right="2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color w:val="231F20"/>
          <w:sz w:val="14"/>
        </w:rPr>
        <w:t>Bestätigt von </w:t>
      </w:r>
      <w:r>
        <w:rPr>
          <w:rFonts w:ascii="Theinhardt Bold" w:hAnsi="Theinhardt Bold"/>
          <w:b/>
          <w:color w:val="231F20"/>
          <w:spacing w:val="1"/>
          <w:sz w:val="14"/>
        </w:rPr>
        <w:t>beosolar.ch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GmbH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Regular" w:hAnsi="Theinhardt Regular"/>
          <w:color w:val="231F20"/>
          <w:sz w:val="14"/>
        </w:rPr>
        <w:t>am </w:t>
      </w:r>
      <w:r>
        <w:rPr>
          <w:rFonts w:ascii="Theinhardt Regular" w:hAnsi="Theinhardt Regular"/>
          <w:color w:val="231F20"/>
          <w:spacing w:val="-2"/>
          <w:sz w:val="14"/>
        </w:rPr>
        <w:t>21.06.2018</w:t>
      </w:r>
      <w:r>
        <w:rPr>
          <w:rFonts w:ascii="Theinhardt Regular" w:hAnsi="Theinhardt Regular"/>
          <w:color w:val="231F20"/>
          <w:spacing w:val="28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Marcel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Bloom</w:t>
      </w:r>
      <w:hyperlink r:id="rId6">
        <w:r>
          <w:rPr>
            <w:rFonts w:ascii="Theinhardt Regular" w:hAnsi="Theinhardt Regular"/>
            <w:color w:val="231F20"/>
            <w:spacing w:val="1"/>
            <w:sz w:val="14"/>
          </w:rPr>
          <w:t>,</w:t>
        </w:r>
        <w:r>
          <w:rPr>
            <w:rFonts w:ascii="Theinhardt Regular" w:hAnsi="Theinhardt Regular"/>
            <w:color w:val="231F20"/>
            <w:sz w:val="14"/>
          </w:rPr>
          <w:t> </w:t>
        </w:r>
        <w:r>
          <w:rPr>
            <w:rFonts w:ascii="Theinhardt Regular" w:hAnsi="Theinhardt Regular"/>
            <w:color w:val="231F20"/>
            <w:spacing w:val="1"/>
            <w:sz w:val="14"/>
          </w:rPr>
          <w:t>info@beosolar.ch</w:t>
        </w:r>
        <w:r>
          <w:rPr>
            <w:rFonts w:ascii="Theinhardt Regular" w:hAnsi="Theinhardt Regular"/>
            <w:sz w:val="14"/>
          </w:rPr>
        </w:r>
      </w:hyperlink>
    </w:p>
    <w:p>
      <w:pPr>
        <w:spacing w:line="240" w:lineRule="auto" w:before="7"/>
        <w:rPr>
          <w:rFonts w:ascii="Theinhardt Regular" w:hAnsi="Theinhardt Regular" w:cs="Theinhardt Regular" w:eastAsia="Theinhardt Regular"/>
          <w:sz w:val="11"/>
          <w:szCs w:val="11"/>
        </w:rPr>
      </w:pPr>
    </w:p>
    <w:p>
      <w:pPr>
        <w:spacing w:before="0"/>
        <w:ind w:left="117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>
          <w:rFonts w:ascii="Theinhardt Black"/>
          <w:b/>
          <w:color w:val="231F20"/>
          <w:sz w:val="14"/>
        </w:rPr>
        <w:t>Beteiligte Personen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17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20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z w:val="14"/>
        </w:rPr>
        <w:t>Bauherrschaft und Standort </w:t>
      </w:r>
      <w:r>
        <w:rPr>
          <w:rFonts w:ascii="Theinhardt Bold" w:hAnsi="Theinhardt Bold"/>
          <w:b/>
          <w:color w:val="231F20"/>
          <w:spacing w:val="1"/>
          <w:sz w:val="14"/>
        </w:rPr>
        <w:t>des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Gebäudes</w:t>
      </w:r>
      <w:r>
        <w:rPr>
          <w:rFonts w:ascii="Theinhardt Bold" w:hAnsi="Theinhardt Bold"/>
          <w:sz w:val="14"/>
        </w:rPr>
      </w:r>
    </w:p>
    <w:p>
      <w:pPr>
        <w:spacing w:line="207" w:lineRule="auto" w:before="5"/>
        <w:ind w:left="117" w:right="861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Genossenschaft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Ecole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d’Humanité</w:t>
      </w:r>
      <w:r>
        <w:rPr>
          <w:rFonts w:ascii="Theinhardt Regular" w:hAnsi="Theinhardt Regular" w:cs="Theinhardt Regular" w:eastAsia="Theinhardt Regular"/>
          <w:color w:val="231F20"/>
          <w:spacing w:val="24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Gmeindi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4"/>
          <w:sz w:val="14"/>
          <w:szCs w:val="14"/>
        </w:rPr>
        <w:t>318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b,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6085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Hasliberg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Goldern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spacing w:line="167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033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972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92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9</w:t>
      </w:r>
      <w:hyperlink r:id="rId7">
        <w:r>
          <w:rPr>
            <w:rFonts w:ascii="Theinhardt Regular"/>
            <w:color w:val="231F20"/>
            <w:spacing w:val="-1"/>
            <w:sz w:val="14"/>
          </w:rPr>
          <w:t>2,</w:t>
        </w:r>
        <w:r>
          <w:rPr>
            <w:rFonts w:ascii="Theinhardt Regular"/>
            <w:color w:val="231F20"/>
            <w:sz w:val="14"/>
          </w:rPr>
          <w:t> </w:t>
        </w:r>
        <w:r>
          <w:rPr>
            <w:rFonts w:ascii="Theinhardt Regular"/>
            <w:color w:val="231F20"/>
            <w:spacing w:val="1"/>
            <w:sz w:val="14"/>
          </w:rPr>
          <w:t>ecole@ecole.ch</w:t>
        </w:r>
        <w:r>
          <w:rPr>
            <w:rFonts w:ascii="Theinhardt Regular"/>
            <w:sz w:val="14"/>
          </w:rPr>
        </w:r>
      </w:hyperlink>
    </w:p>
    <w:p>
      <w:pPr>
        <w:spacing w:line="172" w:lineRule="exact" w:before="32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Architekt</w:t>
      </w:r>
      <w:r>
        <w:rPr>
          <w:rFonts w:ascii="Theinhardt Bold"/>
          <w:sz w:val="14"/>
        </w:rPr>
      </w:r>
    </w:p>
    <w:p>
      <w:pPr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color w:val="231F20"/>
          <w:spacing w:val="1"/>
          <w:sz w:val="14"/>
        </w:rPr>
        <w:t>Hans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Peter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Thöni</w:t>
      </w:r>
      <w:r>
        <w:rPr>
          <w:rFonts w:ascii="Theinhardt Regular" w:hAnsi="Theinhardt Regular"/>
          <w:sz w:val="14"/>
        </w:rPr>
      </w:r>
    </w:p>
    <w:p>
      <w:pPr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Urseni,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6085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Hasliberg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Goldern</w:t>
      </w:r>
      <w:r>
        <w:rPr>
          <w:rFonts w:ascii="Theinhardt Regular"/>
          <w:sz w:val="14"/>
        </w:rPr>
      </w:r>
    </w:p>
    <w:p>
      <w:pPr>
        <w:spacing w:line="172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033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2"/>
          <w:sz w:val="14"/>
        </w:rPr>
        <w:t>971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22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4"/>
          <w:sz w:val="14"/>
        </w:rPr>
        <w:t>77</w:t>
      </w:r>
      <w:hyperlink r:id="rId8">
        <w:r>
          <w:rPr>
            <w:rFonts w:ascii="Theinhardt Regular"/>
            <w:color w:val="231F20"/>
            <w:spacing w:val="-4"/>
            <w:sz w:val="14"/>
          </w:rPr>
          <w:t>,</w:t>
        </w:r>
        <w:r>
          <w:rPr>
            <w:rFonts w:ascii="Theinhardt Regular"/>
            <w:color w:val="231F20"/>
            <w:sz w:val="14"/>
          </w:rPr>
          <w:t> </w:t>
        </w:r>
        <w:r>
          <w:rPr>
            <w:rFonts w:ascii="Theinhardt Regular"/>
            <w:color w:val="231F20"/>
            <w:spacing w:val="1"/>
            <w:sz w:val="14"/>
          </w:rPr>
          <w:t>thoeniarch@bluewin.ch</w:t>
        </w:r>
        <w:r>
          <w:rPr>
            <w:rFonts w:ascii="Theinhardt Regular"/>
            <w:sz w:val="14"/>
          </w:rPr>
        </w:r>
      </w:hyperlink>
    </w:p>
    <w:p>
      <w:pPr>
        <w:spacing w:line="172" w:lineRule="exact" w:before="32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pacing w:val="2"/>
          <w:sz w:val="14"/>
        </w:rPr>
        <w:t>Energie-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und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Gebäudetechnikplaner</w:t>
      </w:r>
      <w:r>
        <w:rPr>
          <w:rFonts w:ascii="Theinhardt Bold" w:hAnsi="Theinhardt Bold"/>
          <w:sz w:val="14"/>
        </w:rPr>
      </w:r>
    </w:p>
    <w:p>
      <w:pPr>
        <w:spacing w:line="207" w:lineRule="auto" w:before="5"/>
        <w:ind w:left="117" w:right="1748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color w:val="231F20"/>
          <w:spacing w:val="1"/>
          <w:sz w:val="14"/>
        </w:rPr>
        <w:t>Energieimpuls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GmbH</w:t>
      </w:r>
      <w:r>
        <w:rPr>
          <w:rFonts w:ascii="Theinhardt Regular" w:hAnsi="Theinhardt Regular"/>
          <w:color w:val="231F20"/>
          <w:spacing w:val="29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Kaspar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Flück</w:t>
      </w:r>
      <w:r>
        <w:rPr>
          <w:rFonts w:ascii="Theinhardt Regular" w:hAnsi="Theinhardt Regular"/>
          <w:sz w:val="14"/>
        </w:rPr>
      </w:r>
    </w:p>
    <w:p>
      <w:pPr>
        <w:spacing w:line="154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3"/>
          <w:sz w:val="14"/>
        </w:rPr>
        <w:t>Seestrasse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4"/>
          <w:sz w:val="14"/>
        </w:rPr>
        <w:t>1,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3800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Unterseen</w:t>
      </w:r>
      <w:r>
        <w:rPr>
          <w:rFonts w:ascii="Theinhardt Regular"/>
          <w:sz w:val="14"/>
        </w:rPr>
      </w:r>
    </w:p>
    <w:p>
      <w:pPr>
        <w:spacing w:line="172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033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2"/>
          <w:sz w:val="14"/>
        </w:rPr>
        <w:t>821</w:t>
      </w:r>
      <w:r>
        <w:rPr>
          <w:rFonts w:ascii="Theinhardt Regular"/>
          <w:color w:val="231F20"/>
          <w:sz w:val="14"/>
        </w:rPr>
        <w:t> 63 </w:t>
      </w:r>
      <w:r>
        <w:rPr>
          <w:rFonts w:ascii="Theinhardt Regular"/>
          <w:color w:val="231F20"/>
          <w:spacing w:val="-6"/>
          <w:sz w:val="14"/>
        </w:rPr>
        <w:t>41</w:t>
      </w:r>
      <w:hyperlink r:id="rId9">
        <w:r>
          <w:rPr>
            <w:rFonts w:ascii="Theinhardt Regular"/>
            <w:color w:val="231F20"/>
            <w:spacing w:val="-6"/>
            <w:sz w:val="14"/>
          </w:rPr>
          <w:t>,</w:t>
        </w:r>
        <w:r>
          <w:rPr>
            <w:rFonts w:ascii="Theinhardt Regular"/>
            <w:color w:val="231F20"/>
            <w:sz w:val="14"/>
          </w:rPr>
          <w:t> </w:t>
        </w:r>
        <w:r>
          <w:rPr>
            <w:rFonts w:ascii="Theinhardt Regular"/>
            <w:color w:val="231F20"/>
            <w:spacing w:val="1"/>
            <w:sz w:val="14"/>
          </w:rPr>
          <w:t>info@energieimpuls.ch</w:t>
        </w:r>
        <w:r>
          <w:rPr>
            <w:rFonts w:ascii="Theinhardt Regular"/>
            <w:sz w:val="14"/>
          </w:rPr>
        </w:r>
      </w:hyperlink>
    </w:p>
    <w:p>
      <w:pPr>
        <w:spacing w:after="0" w:line="172" w:lineRule="exact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2250" w:h="17180"/>
          <w:pgMar w:top="1020" w:bottom="280" w:left="620" w:right="900"/>
          <w:cols w:num="3" w:equalWidth="0">
            <w:col w:w="3463" w:space="109"/>
            <w:col w:w="3463" w:space="109"/>
            <w:col w:w="3586"/>
          </w:cols>
        </w:sectPr>
      </w:pPr>
    </w:p>
    <w:p>
      <w:pPr>
        <w:spacing w:line="240" w:lineRule="auto" w:before="10"/>
        <w:rPr>
          <w:rFonts w:ascii="Theinhardt Regular" w:hAnsi="Theinhardt Regular" w:cs="Theinhardt Regular" w:eastAsia="Theinhardt Regular"/>
          <w:sz w:val="2"/>
          <w:szCs w:val="2"/>
        </w:rPr>
      </w:pPr>
    </w:p>
    <w:p>
      <w:pPr>
        <w:spacing w:line="20" w:lineRule="atLeast"/>
        <w:ind w:left="7260" w:right="0" w:firstLine="0"/>
        <w:rPr>
          <w:rFonts w:ascii="Theinhardt Regular" w:hAnsi="Theinhardt Regular" w:cs="Theinhardt Regular" w:eastAsia="Theinhardt Regular"/>
          <w:sz w:val="2"/>
          <w:szCs w:val="2"/>
        </w:rPr>
      </w:pPr>
      <w:r>
        <w:rPr>
          <w:rFonts w:ascii="Theinhardt Regular" w:hAnsi="Theinhardt Regular" w:cs="Theinhardt Regular" w:eastAsia="Theinhardt Regular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Regular" w:hAnsi="Theinhardt Regular" w:cs="Theinhardt Regular" w:eastAsia="Theinhardt Regular"/>
          <w:sz w:val="2"/>
          <w:szCs w:val="2"/>
        </w:rPr>
      </w: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10"/>
        <w:rPr>
          <w:rFonts w:ascii="Theinhardt Regular" w:hAnsi="Theinhardt Regular" w:cs="Theinhardt Regular" w:eastAsia="Theinhardt Regular"/>
          <w:sz w:val="15"/>
          <w:szCs w:val="15"/>
        </w:rPr>
      </w:pPr>
    </w:p>
    <w:p>
      <w:pPr>
        <w:spacing w:line="200" w:lineRule="atLeast"/>
        <w:ind w:left="7260" w:right="0" w:firstLine="0"/>
        <w:rPr>
          <w:rFonts w:ascii="Theinhardt Regular" w:hAnsi="Theinhardt Regular" w:cs="Theinhardt Regular" w:eastAsia="Theinhardt Regular"/>
          <w:sz w:val="20"/>
          <w:szCs w:val="20"/>
        </w:rPr>
      </w:pPr>
      <w:r>
        <w:rPr>
          <w:rFonts w:ascii="Theinhardt Regular" w:hAnsi="Theinhardt Regular" w:cs="Theinhardt Regular" w:eastAsia="Theinhardt Regular"/>
          <w:sz w:val="20"/>
          <w:szCs w:val="20"/>
        </w:rPr>
        <w:drawing>
          <wp:inline distT="0" distB="0" distL="0" distR="0">
            <wp:extent cx="2127222" cy="1328928"/>
            <wp:effectExtent l="0" t="0" r="0" b="0"/>
            <wp:docPr id="1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7222" cy="1328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Regular" w:hAnsi="Theinhardt Regular" w:cs="Theinhardt Regular" w:eastAsia="Theinhardt Regular"/>
          <w:sz w:val="20"/>
          <w:szCs w:val="20"/>
        </w:rPr>
      </w:r>
    </w:p>
    <w:p>
      <w:pPr>
        <w:tabs>
          <w:tab w:pos="7258" w:val="left" w:leader="none"/>
        </w:tabs>
        <w:spacing w:before="10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/>
        <w:pict>
          <v:shape style="position:absolute;margin-left:36.849998pt;margin-top:-241.827896pt;width:345.827pt;height:241.653609pt;mso-position-horizontal-relative:page;mso-position-vertical-relative:paragraph;z-index:1216" type="#_x0000_t75" stroked="false">
            <v:imagedata r:id="rId11" o:title=""/>
          </v:shape>
        </w:pict>
      </w:r>
      <w:r>
        <w:rPr>
          <w:rFonts w:ascii="Theinhardt Bold"/>
          <w:b/>
          <w:color w:val="231F20"/>
          <w:sz w:val="14"/>
        </w:rPr>
        <w:t>1</w:t>
        <w:tab/>
      </w:r>
      <w:r>
        <w:rPr>
          <w:rFonts w:ascii="Theinhardt Bold"/>
          <w:b/>
          <w:color w:val="231F20"/>
          <w:position w:val="2"/>
          <w:sz w:val="14"/>
        </w:rPr>
        <w:t>2</w:t>
      </w:r>
      <w:r>
        <w:rPr>
          <w:rFonts w:ascii="Theinhardt Bold"/>
          <w:sz w:val="14"/>
        </w:rPr>
      </w:r>
    </w:p>
    <w:p>
      <w:pPr>
        <w:spacing w:line="240" w:lineRule="auto" w:before="2"/>
        <w:rPr>
          <w:rFonts w:ascii="Theinhardt Bold" w:hAnsi="Theinhardt Bold" w:cs="Theinhardt Bold" w:eastAsia="Theinhardt Bold"/>
          <w:b/>
          <w:bCs/>
          <w:sz w:val="29"/>
          <w:szCs w:val="29"/>
        </w:rPr>
      </w:pPr>
    </w:p>
    <w:p>
      <w:pPr>
        <w:spacing w:after="0" w:line="240" w:lineRule="auto"/>
        <w:rPr>
          <w:rFonts w:ascii="Theinhardt Bold" w:hAnsi="Theinhardt Bold" w:cs="Theinhardt Bold" w:eastAsia="Theinhardt Bold"/>
          <w:sz w:val="29"/>
          <w:szCs w:val="29"/>
        </w:rPr>
        <w:sectPr>
          <w:type w:val="continuous"/>
          <w:pgSz w:w="12250" w:h="17180"/>
          <w:pgMar w:top="1020" w:bottom="280" w:left="620" w:right="900"/>
        </w:sectPr>
      </w:pPr>
    </w:p>
    <w:p>
      <w:pPr>
        <w:numPr>
          <w:ilvl w:val="0"/>
          <w:numId w:val="1"/>
        </w:numPr>
        <w:tabs>
          <w:tab w:pos="344" w:val="left" w:leader="none"/>
        </w:tabs>
        <w:spacing w:line="160" w:lineRule="exact" w:before="76"/>
        <w:ind w:left="343" w:right="0" w:hanging="226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Die auf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dem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Süddach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erichtete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14.7 kW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starke</w:t>
      </w:r>
      <w:r>
        <w:rPr>
          <w:rFonts w:ascii="Theinhardt Bold" w:hAnsi="Theinhardt Bold" w:cs="Theinhardt Bold" w:eastAsia="Theinhardt Bold"/>
          <w:b/>
          <w:bCs/>
          <w:color w:val="231F20"/>
          <w:spacing w:val="27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PV-Anlage produziert rund 15’700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kWh/a.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numPr>
          <w:ilvl w:val="0"/>
          <w:numId w:val="1"/>
        </w:numPr>
        <w:tabs>
          <w:tab w:pos="344" w:val="left" w:leader="none"/>
        </w:tabs>
        <w:spacing w:line="160" w:lineRule="exact" w:before="76"/>
        <w:ind w:left="343" w:right="3971" w:hanging="226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z w:val="14"/>
        </w:rPr>
        <w:br w:type="column"/>
        <w:t>Zu einem </w:t>
      </w:r>
      <w:r>
        <w:rPr>
          <w:rFonts w:ascii="Theinhardt Bold" w:hAnsi="Theinhardt Bold"/>
          <w:b/>
          <w:color w:val="231F20"/>
          <w:spacing w:val="-1"/>
          <w:sz w:val="14"/>
        </w:rPr>
        <w:t>späteren</w:t>
      </w:r>
      <w:r>
        <w:rPr>
          <w:rFonts w:ascii="Theinhardt Bold" w:hAnsi="Theinhardt Bold"/>
          <w:b/>
          <w:color w:val="231F20"/>
          <w:sz w:val="14"/>
        </w:rPr>
        <w:t> Zeitpunkt soll auch das</w:t>
      </w:r>
      <w:r>
        <w:rPr>
          <w:rFonts w:ascii="Theinhardt Bold" w:hAnsi="Theinhardt Bold"/>
          <w:b/>
          <w:color w:val="231F20"/>
          <w:spacing w:val="29"/>
          <w:sz w:val="14"/>
        </w:rPr>
        <w:t> </w:t>
      </w:r>
      <w:r>
        <w:rPr>
          <w:rFonts w:ascii="Theinhardt Bold" w:hAnsi="Theinhardt Bold"/>
          <w:b/>
          <w:color w:val="231F20"/>
          <w:spacing w:val="-1"/>
          <w:sz w:val="14"/>
        </w:rPr>
        <w:t>Norddach</w:t>
      </w:r>
      <w:r>
        <w:rPr>
          <w:rFonts w:ascii="Theinhardt Bold" w:hAnsi="Theinhardt Bold"/>
          <w:b/>
          <w:color w:val="231F20"/>
          <w:sz w:val="14"/>
        </w:rPr>
        <w:t> mit </w:t>
      </w:r>
      <w:r>
        <w:rPr>
          <w:rFonts w:ascii="Theinhardt Bold" w:hAnsi="Theinhardt Bold"/>
          <w:b/>
          <w:color w:val="231F20"/>
          <w:spacing w:val="-1"/>
          <w:sz w:val="14"/>
        </w:rPr>
        <w:t>PV-Modulen</w:t>
      </w:r>
      <w:r>
        <w:rPr>
          <w:rFonts w:ascii="Theinhardt Bold" w:hAnsi="Theinhardt Bold"/>
          <w:b/>
          <w:color w:val="231F20"/>
          <w:sz w:val="14"/>
        </w:rPr>
        <w:t> bestückt </w:t>
      </w:r>
      <w:r>
        <w:rPr>
          <w:rFonts w:ascii="Theinhardt Bold" w:hAnsi="Theinhardt Bold"/>
          <w:b/>
          <w:color w:val="231F20"/>
          <w:spacing w:val="-1"/>
          <w:sz w:val="14"/>
        </w:rPr>
        <w:t>werden.</w:t>
      </w:r>
      <w:r>
        <w:rPr>
          <w:rFonts w:ascii="Theinhardt Bold" w:hAnsi="Theinhardt Bold"/>
          <w:sz w:val="14"/>
        </w:rPr>
      </w:r>
    </w:p>
    <w:p>
      <w:pPr>
        <w:spacing w:after="0" w:line="160" w:lineRule="exact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2250" w:h="17180"/>
          <w:pgMar w:top="1020" w:bottom="280" w:left="620" w:right="900"/>
          <w:cols w:num="2" w:equalWidth="0">
            <w:col w:w="3325" w:space="247"/>
            <w:col w:w="7158"/>
          </w:cols>
        </w:sect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6"/>
        <w:rPr>
          <w:rFonts w:ascii="Theinhardt Bold" w:hAnsi="Theinhardt Bold" w:cs="Theinhardt Bold" w:eastAsia="Theinhardt Bold"/>
          <w:b/>
          <w:bCs/>
          <w:sz w:val="16"/>
          <w:szCs w:val="16"/>
        </w:rPr>
      </w:pPr>
    </w:p>
    <w:p>
      <w:pPr>
        <w:spacing w:before="7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Heavy"/>
          <w:b/>
          <w:color w:val="231F20"/>
          <w:sz w:val="14"/>
        </w:rPr>
        <w:t>66    </w:t>
      </w:r>
      <w:r>
        <w:rPr>
          <w:rFonts w:ascii="Theinhardt Heavy"/>
          <w:b/>
          <w:color w:val="231F20"/>
          <w:spacing w:val="7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Schweizer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Solarpreis</w:t>
      </w:r>
      <w:r>
        <w:rPr>
          <w:rFonts w:ascii="Theinhardt Regular"/>
          <w:color w:val="231F20"/>
          <w:sz w:val="14"/>
        </w:rPr>
        <w:t> 2018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Prix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Solaire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Suisse</w:t>
      </w:r>
      <w:r>
        <w:rPr>
          <w:rFonts w:ascii="Theinhardt Regular"/>
          <w:color w:val="231F20"/>
          <w:sz w:val="14"/>
        </w:rPr>
        <w:t> 2018</w:t>
      </w:r>
      <w:r>
        <w:rPr>
          <w:rFonts w:ascii="Theinhardt Regular"/>
          <w:sz w:val="14"/>
        </w:rPr>
      </w:r>
    </w:p>
    <w:sectPr>
      <w:type w:val="continuous"/>
      <w:pgSz w:w="12250" w:h="17180"/>
      <w:pgMar w:top="1020" w:bottom="280" w:left="620" w:right="9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heinhardt Bold">
    <w:altName w:val="Theinhardt Bold"/>
    <w:charset w:val="0"/>
    <w:family w:val="swiss"/>
    <w:pitch w:val="variable"/>
  </w:font>
  <w:font w:name="Theinhardt Regular">
    <w:altName w:val="Theinhardt Regular"/>
    <w:charset w:val="0"/>
    <w:family w:val="swiss"/>
    <w:pitch w:val="variable"/>
  </w:font>
  <w:font w:name="Theinhardt Heavy">
    <w:altName w:val="Theinhardt Heavy"/>
    <w:charset w:val="0"/>
    <w:family w:val="swiss"/>
    <w:pitch w:val="variable"/>
  </w:font>
  <w:font w:name="Theinhardt Black">
    <w:altName w:val="Theinhardt Black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"/>
      <w:lvlJc w:val="left"/>
      <w:pPr>
        <w:ind w:left="343" w:hanging="227"/>
        <w:jc w:val="left"/>
      </w:pPr>
      <w:rPr>
        <w:rFonts w:hint="default" w:ascii="Theinhardt Bold" w:hAnsi="Theinhardt Bold" w:eastAsia="Theinhardt Bold"/>
        <w:b/>
        <w:bCs/>
        <w:color w:val="231F20"/>
        <w:sz w:val="14"/>
        <w:szCs w:val="14"/>
      </w:rPr>
    </w:lvl>
    <w:lvl w:ilvl="1">
      <w:start w:val="1"/>
      <w:numFmt w:val="bullet"/>
      <w:lvlText w:val="•"/>
      <w:lvlJc w:val="left"/>
      <w:pPr>
        <w:ind w:left="641" w:hanging="22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939" w:hanging="22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237" w:hanging="2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535" w:hanging="2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833" w:hanging="2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131" w:hanging="2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430" w:hanging="2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728" w:hanging="22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17"/>
    </w:pPr>
    <w:rPr>
      <w:rFonts w:ascii="Theinhardt Regular" w:hAnsi="Theinhardt Regular" w:eastAsia="Theinhardt Regular"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info@beosolar.ch" TargetMode="External"/><Relationship Id="rId7" Type="http://schemas.openxmlformats.org/officeDocument/2006/relationships/hyperlink" Target="mailto:ecole@ecole.ch" TargetMode="External"/><Relationship Id="rId8" Type="http://schemas.openxmlformats.org/officeDocument/2006/relationships/hyperlink" Target="mailto:thoeniarch@bluewin.ch" TargetMode="External"/><Relationship Id="rId9" Type="http://schemas.openxmlformats.org/officeDocument/2006/relationships/hyperlink" Target="mailto:info@energieimpuls.ch" TargetMode="External"/><Relationship Id="rId10" Type="http://schemas.openxmlformats.org/officeDocument/2006/relationships/image" Target="media/image2.jpeg"/><Relationship Id="rId11" Type="http://schemas.openxmlformats.org/officeDocument/2006/relationships/image" Target="media/image3.jpeg"/><Relationship Id="rId12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2018-10-02T10:06:21Z</dcterms:created>
  <dcterms:modified xsi:type="dcterms:W3CDTF">2018-10-02T10:06:21Z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2018-10-02T00:00:00Z</vt:filetime>
  </property>
  <property fmtid="{D5CDD505-2E9C-101B-9397-08002B2CF9AE}" pid="3" name="LastSaved">
    <vt:filetime>2018-10-02T00:00:00Z</vt:filetime>
  </property>
</Properties>
</file>