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42" w:lineRule="auto" w:before="29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3.227315pt;width:.1pt;height:.1pt;mso-position-horizontal-relative:page;mso-position-vertical-relative:paragraph;z-index:-5920" coordorigin="741,265" coordsize="2,2">
            <v:shape style="position:absolute;left:741;top:265;width:2;height:2" coordorigin="741,265" coordsize="0,0" path="m741,265l741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3.227315pt;width:.1pt;height:.1pt;mso-position-horizontal-relative:page;mso-position-vertical-relative:paragraph;z-index:1120" coordorigin="3185,265" coordsize="2,2">
            <v:shape style="position:absolute;left:3185;top:265;width:2;height:2" coordorigin="3185,265" coordsize="0,0" path="m3185,265l3185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227314pt;width:.1pt;height:.1pt;mso-position-horizontal-relative:page;mso-position-vertical-relative:paragraph;z-index:-5872" coordorigin="741,505" coordsize="2,2">
            <v:shape style="position:absolute;left:741;top:505;width:2;height:2" coordorigin="741,505" coordsize="0,0" path="m741,505l741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227314pt;width:.1pt;height:.1pt;mso-position-horizontal-relative:page;mso-position-vertical-relative:paragraph;z-index:1168" coordorigin="3185,505" coordsize="2,2">
            <v:shape style="position:absolute;left:3185;top:505;width:2;height:2" coordorigin="3185,505" coordsize="0,0" path="m3185,505l3185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851002pt;margin-top:51.455414pt;width:82.2043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29"/>
        <w:ind w:left="117" w:right="111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PEB-Mehrfamilienhaus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(MFH)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Gütliweg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Schaffhausen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fällt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vorbildliche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Dämmwerte</w:t>
      </w:r>
      <w:r>
        <w:rPr>
          <w:rFonts w:ascii="Theinhardt Bold" w:hAnsi="Theinhardt Bold" w:cs="Theinhardt Bold" w:eastAsia="Theinhardt Bold"/>
          <w:b/>
          <w:bCs/>
          <w:color w:val="231F20"/>
          <w:spacing w:val="5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0.10-0.11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W/m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K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erstes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PEB-MFH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Schaffhausen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erfüllt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Minergie-P-Stan-</w:t>
      </w:r>
      <w:r>
        <w:rPr>
          <w:rFonts w:ascii="Theinhardt Bold" w:hAnsi="Theinhardt Bold" w:cs="Theinhardt Bold" w:eastAsia="Theinhardt Bold"/>
          <w:b/>
          <w:bCs/>
          <w:color w:val="231F20"/>
          <w:spacing w:val="6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dard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konsumiert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Fünffamilienhaus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bloss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17’300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oder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3’450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</w:t>
      </w:r>
      <w:r>
        <w:rPr>
          <w:rFonts w:ascii="Theinhardt Bold" w:hAnsi="Theinhardt Bold" w:cs="Theinhardt Bold" w:eastAsia="Theinhardt Bold"/>
          <w:b/>
          <w:bCs/>
          <w:color w:val="231F20"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Familie.</w:t>
      </w:r>
      <w:r>
        <w:rPr>
          <w:rFonts w:ascii="Theinhardt Bold" w:hAnsi="Theinhardt Bold" w:cs="Theinhardt Bold" w:eastAsia="Theinhardt Bold"/>
          <w:b/>
          <w:bCs/>
          <w:color w:val="231F20"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19.2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montiert,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16’000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erzeugt.</w:t>
      </w:r>
      <w:r>
        <w:rPr>
          <w:rFonts w:ascii="Theinhardt Bold" w:hAnsi="Theinhardt Bold" w:cs="Theinhardt Bold" w:eastAsia="Theinhardt Bold"/>
          <w:b/>
          <w:bCs/>
          <w:color w:val="231F20"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84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color w:val="231F20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42"/>
          <w:w w:val="104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Sonnenkollektoren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kleiden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Südost-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Südwest-Fassade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versorgen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alle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Woh-</w:t>
      </w:r>
      <w:r>
        <w:rPr>
          <w:rFonts w:ascii="Theinhardt Bold" w:hAnsi="Theinhardt Bold" w:cs="Theinhardt Bold" w:eastAsia="Theinhardt Bold"/>
          <w:b/>
          <w:bCs/>
          <w:color w:val="231F20"/>
          <w:spacing w:val="7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nungen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Wärme.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32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6"/>
          <w:sz w:val="10"/>
          <w:szCs w:val="10"/>
        </w:rPr>
        <w:t>3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grosser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Wasserbehälter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speichert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Winter.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4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fehlende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Wärmeenergie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Winter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liefert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solarbetriebene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Wärmepumpe.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</w:t>
      </w:r>
      <w:r>
        <w:rPr>
          <w:rFonts w:ascii="Theinhardt Bold" w:hAnsi="Theinhardt Bold" w:cs="Theinhardt Bold" w:eastAsia="Theinhardt Bold"/>
          <w:b/>
          <w:bCs/>
          <w:color w:val="231F20"/>
          <w:spacing w:val="5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MFH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erreicht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mit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Produktion von 24’600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eine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von 142%.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620" w:right="900"/>
          <w:cols w:num="2" w:equalWidth="0">
            <w:col w:w="2557" w:space="122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z w:val="40"/>
        </w:rPr>
        <w:t>142%-PEB-MFH </w:t>
      </w:r>
      <w:r>
        <w:rPr>
          <w:rFonts w:ascii="Theinhardt Black" w:hAnsi="Theinhardt Black"/>
          <w:b/>
          <w:color w:val="0067B1"/>
          <w:spacing w:val="3"/>
          <w:sz w:val="40"/>
        </w:rPr>
        <w:t>Gütliweg,</w:t>
      </w:r>
      <w:r>
        <w:rPr>
          <w:rFonts w:ascii="Theinhardt Black" w:hAnsi="Theinhardt Black"/>
          <w:b/>
          <w:color w:val="0067B1"/>
          <w:spacing w:val="-24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8200 </w:t>
      </w:r>
      <w:r>
        <w:rPr>
          <w:rFonts w:ascii="Theinhardt Black" w:hAnsi="Theinhardt Black"/>
          <w:b/>
          <w:color w:val="0067B1"/>
          <w:spacing w:val="6"/>
          <w:sz w:val="40"/>
        </w:rPr>
        <w:t>Sc</w:t>
      </w:r>
      <w:r>
        <w:rPr>
          <w:rFonts w:ascii="Theinhardt Black" w:hAnsi="Theinhardt Black"/>
          <w:b/>
          <w:color w:val="0067B1"/>
          <w:spacing w:val="5"/>
          <w:sz w:val="40"/>
        </w:rPr>
        <w:t>h</w:t>
      </w:r>
      <w:r>
        <w:rPr>
          <w:rFonts w:ascii="Theinhardt Black" w:hAnsi="Theinhardt Black"/>
          <w:b/>
          <w:color w:val="0067B1"/>
          <w:spacing w:val="10"/>
          <w:sz w:val="40"/>
        </w:rPr>
        <w:t>a</w:t>
      </w:r>
      <w:r>
        <w:rPr>
          <w:rFonts w:ascii="Theinhardt Black" w:hAnsi="Theinhardt Black"/>
          <w:b/>
          <w:color w:val="0067B1"/>
          <w:spacing w:val="25"/>
          <w:sz w:val="40"/>
        </w:rPr>
        <w:t>f</w:t>
      </w:r>
      <w:r>
        <w:rPr>
          <w:rFonts w:ascii="Theinhardt Black" w:hAnsi="Theinhardt Black"/>
          <w:b/>
          <w:color w:val="0067B1"/>
          <w:spacing w:val="8"/>
          <w:sz w:val="40"/>
        </w:rPr>
        <w:t>f</w:t>
      </w:r>
      <w:r>
        <w:rPr>
          <w:rFonts w:ascii="Theinhardt Black" w:hAnsi="Theinhardt Black"/>
          <w:b/>
          <w:color w:val="0067B1"/>
          <w:spacing w:val="5"/>
          <w:sz w:val="40"/>
        </w:rPr>
        <w:t>h</w:t>
      </w:r>
      <w:r>
        <w:rPr>
          <w:rFonts w:ascii="Theinhardt Black" w:hAnsi="Theinhardt Black"/>
          <w:b/>
          <w:color w:val="0067B1"/>
          <w:spacing w:val="4"/>
          <w:sz w:val="40"/>
        </w:rPr>
        <w:t>a</w:t>
      </w:r>
      <w:r>
        <w:rPr>
          <w:rFonts w:ascii="Theinhardt Black" w:hAnsi="Theinhardt Black"/>
          <w:b/>
          <w:color w:val="0067B1"/>
          <w:spacing w:val="8"/>
          <w:sz w:val="40"/>
        </w:rPr>
        <w:t>u</w:t>
      </w:r>
      <w:r>
        <w:rPr>
          <w:rFonts w:ascii="Theinhardt Black" w:hAnsi="Theinhardt Black"/>
          <w:b/>
          <w:color w:val="0067B1"/>
          <w:spacing w:val="6"/>
          <w:sz w:val="40"/>
        </w:rPr>
        <w:t>s</w:t>
      </w:r>
      <w:r>
        <w:rPr>
          <w:rFonts w:ascii="Theinhardt Black" w:hAnsi="Theinhardt Black"/>
          <w:b/>
          <w:color w:val="0067B1"/>
          <w:spacing w:val="2"/>
          <w:sz w:val="40"/>
        </w:rPr>
        <w:t>e</w:t>
      </w:r>
      <w:r>
        <w:rPr>
          <w:rFonts w:ascii="Theinhardt Black" w:hAnsi="Theinhardt Black"/>
          <w:b/>
          <w:color w:val="0067B1"/>
          <w:spacing w:val="10"/>
          <w:sz w:val="40"/>
        </w:rPr>
        <w:t>n</w:t>
      </w:r>
      <w:r>
        <w:rPr>
          <w:rFonts w:ascii="Theinhardt Black" w:hAnsi="Theinhardt Black"/>
          <w:b/>
          <w:color w:val="0067B1"/>
          <w:spacing w:val="-4"/>
          <w:sz w:val="40"/>
        </w:rPr>
        <w:t>/</w:t>
      </w:r>
      <w:r>
        <w:rPr>
          <w:rFonts w:ascii="Theinhardt Black" w:hAnsi="Theinhardt Black"/>
          <w:b/>
          <w:color w:val="0067B1"/>
          <w:spacing w:val="-2"/>
          <w:sz w:val="40"/>
        </w:rPr>
        <w:t>S</w:t>
      </w:r>
      <w:r>
        <w:rPr>
          <w:rFonts w:ascii="Theinhardt Black" w:hAnsi="Theinhardt Black"/>
          <w:b/>
          <w:color w:val="0067B1"/>
          <w:sz w:val="40"/>
        </w:rPr>
        <w:t>H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40" w:bottom="280" w:left="620" w:right="900"/>
        </w:sectPr>
      </w:pPr>
    </w:p>
    <w:p>
      <w:pPr>
        <w:pStyle w:val="BodyText"/>
        <w:spacing w:line="230" w:lineRule="exact" w:before="52"/>
        <w:ind w:right="8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-1"/>
        </w:rPr>
        <w:t> </w:t>
      </w:r>
      <w:r>
        <w:rPr>
          <w:color w:val="231F20"/>
        </w:rPr>
        <w:t>MFH</w:t>
      </w:r>
      <w:r>
        <w:rPr>
          <w:color w:val="231F20"/>
          <w:spacing w:val="-1"/>
        </w:rPr>
        <w:t> </w:t>
      </w:r>
      <w:r>
        <w:rPr>
          <w:color w:val="231F20"/>
        </w:rPr>
        <w:t>Gütliweg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Schaffhausen</w:t>
      </w:r>
      <w:r>
        <w:rPr>
          <w:color w:val="231F20"/>
          <w:spacing w:val="-1"/>
        </w:rPr>
        <w:t> </w:t>
      </w:r>
      <w:r>
        <w:rPr>
          <w:color w:val="231F20"/>
        </w:rPr>
        <w:t>ist</w:t>
      </w:r>
      <w:r>
        <w:rPr>
          <w:color w:val="231F20"/>
          <w:spacing w:val="-1"/>
        </w:rPr>
        <w:t> trotz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Hanglage</w:t>
      </w:r>
      <w:r>
        <w:rPr>
          <w:color w:val="231F20"/>
          <w:spacing w:val="28"/>
        </w:rPr>
        <w:t> </w:t>
      </w:r>
      <w:r>
        <w:rPr>
          <w:color w:val="231F20"/>
        </w:rPr>
        <w:t>mit</w:t>
      </w:r>
      <w:r>
        <w:rPr>
          <w:color w:val="231F20"/>
          <w:spacing w:val="29"/>
        </w:rPr>
        <w:t> </w:t>
      </w:r>
      <w:r>
        <w:rPr>
          <w:color w:val="231F20"/>
        </w:rPr>
        <w:t>ungünstiger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Sonnenausrich-</w:t>
      </w:r>
      <w:r>
        <w:rPr>
          <w:color w:val="231F20"/>
          <w:spacing w:val="37"/>
        </w:rPr>
        <w:t> </w:t>
      </w:r>
      <w:r>
        <w:rPr>
          <w:color w:val="231F20"/>
        </w:rPr>
        <w:t>tung</w:t>
      </w:r>
      <w:r>
        <w:rPr>
          <w:color w:val="231F20"/>
          <w:spacing w:val="17"/>
        </w:rPr>
        <w:t> </w:t>
      </w:r>
      <w:r>
        <w:rPr>
          <w:color w:val="231F20"/>
        </w:rPr>
        <w:t>ein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PlusEnergieBau.</w:t>
      </w:r>
      <w:r>
        <w:rPr>
          <w:color w:val="231F20"/>
          <w:spacing w:val="6"/>
        </w:rPr>
        <w:t> </w:t>
      </w:r>
      <w:r>
        <w:rPr>
          <w:color w:val="231F20"/>
        </w:rPr>
        <w:t>Der</w:t>
      </w:r>
      <w:r>
        <w:rPr>
          <w:color w:val="231F20"/>
          <w:spacing w:val="17"/>
        </w:rPr>
        <w:t> </w:t>
      </w:r>
      <w:r>
        <w:rPr>
          <w:color w:val="231F20"/>
        </w:rPr>
        <w:t>Holzbau</w:t>
      </w:r>
      <w:r>
        <w:rPr>
          <w:color w:val="231F20"/>
          <w:spacing w:val="17"/>
        </w:rPr>
        <w:t> </w:t>
      </w:r>
      <w:r>
        <w:rPr>
          <w:color w:val="231F20"/>
        </w:rPr>
        <w:t>aus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14"/>
        </w:rPr>
        <w:t> </w:t>
      </w:r>
      <w:r>
        <w:rPr>
          <w:color w:val="231F20"/>
        </w:rPr>
        <w:t>Holz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erreicht</w:t>
      </w:r>
      <w:r>
        <w:rPr>
          <w:color w:val="231F20"/>
          <w:spacing w:val="14"/>
        </w:rPr>
        <w:t> </w:t>
      </w:r>
      <w:r>
        <w:rPr>
          <w:color w:val="231F20"/>
        </w:rPr>
        <w:t>den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Minergie-P-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Standard.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sehr</w:t>
      </w:r>
      <w:r>
        <w:rPr>
          <w:color w:val="231F20"/>
          <w:spacing w:val="-4"/>
        </w:rPr>
        <w:t> </w:t>
      </w:r>
      <w:r>
        <w:rPr>
          <w:color w:val="231F20"/>
        </w:rPr>
        <w:t>gute</w:t>
      </w:r>
      <w:r>
        <w:rPr>
          <w:color w:val="231F20"/>
          <w:spacing w:val="-4"/>
        </w:rPr>
        <w:t> </w:t>
      </w:r>
      <w:r>
        <w:rPr>
          <w:color w:val="231F20"/>
        </w:rPr>
        <w:t>42</w:t>
      </w:r>
      <w:r>
        <w:rPr>
          <w:color w:val="231F20"/>
          <w:spacing w:val="-4"/>
        </w:rPr>
        <w:t> </w:t>
      </w:r>
      <w:r>
        <w:rPr>
          <w:color w:val="231F20"/>
        </w:rPr>
        <w:t>cm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-4"/>
        </w:rPr>
        <w:t> </w:t>
      </w:r>
      <w:r>
        <w:rPr>
          <w:color w:val="231F20"/>
        </w:rPr>
        <w:t>Dach-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dämmung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sorgt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29"/>
        </w:rPr>
        <w:t> </w:t>
      </w:r>
      <w:r>
        <w:rPr>
          <w:color w:val="231F20"/>
        </w:rPr>
        <w:t>mit</w:t>
      </w:r>
      <w:r>
        <w:rPr>
          <w:color w:val="231F20"/>
          <w:spacing w:val="30"/>
        </w:rPr>
        <w:t> </w:t>
      </w:r>
      <w:r>
        <w:rPr>
          <w:color w:val="231F20"/>
        </w:rPr>
        <w:t>effizienten</w:t>
      </w:r>
      <w:r>
        <w:rPr>
          <w:color w:val="231F20"/>
          <w:spacing w:val="33"/>
        </w:rPr>
        <w:t> </w:t>
      </w:r>
      <w:r>
        <w:rPr>
          <w:color w:val="231F20"/>
        </w:rPr>
        <w:t>Haushaltsgeräten</w:t>
      </w:r>
      <w:r>
        <w:rPr>
          <w:color w:val="231F20"/>
          <w:spacing w:val="-4"/>
        </w:rPr>
        <w:t> </w:t>
      </w:r>
      <w:r>
        <w:rPr>
          <w:color w:val="231F20"/>
        </w:rPr>
        <w:t>und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LED-Beleuchtung</w:t>
      </w:r>
      <w:r>
        <w:rPr>
          <w:color w:val="231F20"/>
          <w:spacing w:val="-4"/>
        </w:rPr>
        <w:t> </w:t>
      </w:r>
      <w:r>
        <w:rPr>
          <w:color w:val="231F20"/>
        </w:rPr>
        <w:t>für</w:t>
      </w:r>
      <w:r>
        <w:rPr>
          <w:color w:val="231F20"/>
          <w:spacing w:val="21"/>
        </w:rPr>
        <w:t> </w:t>
      </w:r>
      <w:r>
        <w:rPr>
          <w:color w:val="231F20"/>
        </w:rPr>
        <w:t>einen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tiefen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-12"/>
        </w:rPr>
        <w:t> </w:t>
      </w:r>
      <w:r>
        <w:rPr>
          <w:color w:val="231F20"/>
        </w:rPr>
        <w:t>von</w:t>
      </w:r>
      <w:r>
        <w:rPr>
          <w:color w:val="231F20"/>
          <w:spacing w:val="-12"/>
        </w:rPr>
        <w:t> </w:t>
      </w:r>
      <w:r>
        <w:rPr>
          <w:color w:val="231F20"/>
        </w:rPr>
        <w:t>rund</w:t>
      </w:r>
      <w:r>
        <w:rPr>
          <w:color w:val="231F20"/>
          <w:spacing w:val="-12"/>
        </w:rPr>
        <w:t> </w:t>
      </w:r>
      <w:r>
        <w:rPr>
          <w:color w:val="231F20"/>
        </w:rPr>
        <w:t>17’300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</w:rPr>
        <w:t> oder 3’450 </w:t>
      </w:r>
      <w:r>
        <w:rPr>
          <w:color w:val="231F20"/>
          <w:spacing w:val="-2"/>
        </w:rPr>
        <w:t>kWh/a</w:t>
      </w:r>
      <w:r>
        <w:rPr>
          <w:color w:val="231F20"/>
        </w:rPr>
        <w:t> </w:t>
      </w:r>
      <w:r>
        <w:rPr>
          <w:color w:val="231F20"/>
          <w:spacing w:val="-2"/>
        </w:rPr>
        <w:t>pro</w:t>
      </w:r>
      <w:r>
        <w:rPr>
          <w:color w:val="231F20"/>
        </w:rPr>
        <w:t> </w:t>
      </w:r>
      <w:r>
        <w:rPr>
          <w:color w:val="231F20"/>
          <w:spacing w:val="-1"/>
        </w:rPr>
        <w:t>Familie.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Sonnenkollektoren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schmücken</w:t>
      </w:r>
      <w:r>
        <w:rPr>
          <w:color w:val="231F20"/>
          <w:spacing w:val="22"/>
        </w:rPr>
        <w:t> </w:t>
      </w:r>
      <w:r>
        <w:rPr>
          <w:color w:val="231F20"/>
        </w:rPr>
        <w:t>die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Süd-</w:t>
      </w:r>
      <w:r>
        <w:rPr>
          <w:color w:val="231F20"/>
          <w:spacing w:val="39"/>
        </w:rPr>
        <w:t> </w:t>
      </w:r>
      <w:r>
        <w:rPr>
          <w:color w:val="231F20"/>
        </w:rPr>
        <w:t>ost-</w:t>
      </w:r>
      <w:r>
        <w:rPr>
          <w:color w:val="231F20"/>
          <w:spacing w:val="1"/>
        </w:rPr>
        <w:t> </w:t>
      </w:r>
      <w:r>
        <w:rPr>
          <w:color w:val="231F20"/>
        </w:rPr>
        <w:t>und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Südwest-Fassade</w:t>
      </w:r>
      <w:r>
        <w:rPr>
          <w:color w:val="231F20"/>
          <w:spacing w:val="1"/>
        </w:rPr>
        <w:t> </w:t>
      </w:r>
      <w:r>
        <w:rPr>
          <w:color w:val="231F20"/>
        </w:rPr>
        <w:t>und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decken</w:t>
      </w:r>
      <w:r>
        <w:rPr>
          <w:color w:val="231F20"/>
          <w:spacing w:val="1"/>
        </w:rPr>
        <w:t> </w:t>
      </w:r>
      <w:r>
        <w:rPr>
          <w:color w:val="231F20"/>
        </w:rPr>
        <w:t>den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Warmwasser-</w:t>
      </w:r>
      <w:r>
        <w:rPr>
          <w:color w:val="231F20"/>
          <w:spacing w:val="-7"/>
        </w:rPr>
        <w:t> </w:t>
      </w:r>
      <w:r>
        <w:rPr>
          <w:color w:val="231F20"/>
        </w:rPr>
        <w:t>und</w:t>
      </w:r>
      <w:r>
        <w:rPr>
          <w:color w:val="231F20"/>
          <w:spacing w:val="-7"/>
        </w:rPr>
        <w:t> </w:t>
      </w:r>
      <w:r>
        <w:rPr>
          <w:color w:val="231F20"/>
        </w:rPr>
        <w:t>Heizbedarf</w:t>
      </w:r>
      <w:r>
        <w:rPr>
          <w:color w:val="231F20"/>
          <w:spacing w:val="-7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fünf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Woh-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nungen.</w:t>
      </w:r>
      <w:r>
        <w:rPr>
          <w:color w:val="231F20"/>
          <w:spacing w:val="-11"/>
        </w:rPr>
        <w:t> </w:t>
      </w:r>
      <w:r>
        <w:rPr>
          <w:color w:val="231F20"/>
        </w:rPr>
        <w:t>Eine 19.2 kW </w:t>
      </w:r>
      <w:r>
        <w:rPr>
          <w:color w:val="231F20"/>
          <w:spacing w:val="-1"/>
        </w:rPr>
        <w:t>starke</w:t>
      </w:r>
      <w:r>
        <w:rPr>
          <w:color w:val="231F20"/>
        </w:rPr>
        <w:t> und rund 100</w:t>
      </w:r>
      <w:r>
        <w:rPr>
          <w:color w:val="231F20"/>
          <w:spacing w:val="26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10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versorgt</w:t>
      </w:r>
      <w:r>
        <w:rPr>
          <w:color w:val="231F20"/>
          <w:spacing w:val="-12"/>
        </w:rPr>
        <w:t> </w:t>
      </w:r>
      <w:r>
        <w:rPr>
          <w:color w:val="231F20"/>
        </w:rPr>
        <w:t>das</w:t>
      </w:r>
      <w:r>
        <w:rPr>
          <w:color w:val="231F20"/>
          <w:spacing w:val="-11"/>
        </w:rPr>
        <w:t> </w:t>
      </w:r>
      <w:r>
        <w:rPr>
          <w:color w:val="231F20"/>
        </w:rPr>
        <w:t>MFH</w:t>
      </w:r>
      <w:r>
        <w:rPr>
          <w:color w:val="231F20"/>
          <w:spacing w:val="23"/>
        </w:rPr>
        <w:t> </w:t>
      </w:r>
      <w:r>
        <w:rPr>
          <w:color w:val="231F20"/>
        </w:rPr>
        <w:t>mit</w:t>
      </w:r>
      <w:r>
        <w:rPr>
          <w:color w:val="231F20"/>
          <w:spacing w:val="26"/>
        </w:rPr>
        <w:t> </w:t>
      </w:r>
      <w:r>
        <w:rPr>
          <w:color w:val="231F20"/>
        </w:rPr>
        <w:t>16’000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6"/>
        </w:rPr>
        <w:t> </w:t>
      </w:r>
      <w:r>
        <w:rPr>
          <w:color w:val="231F20"/>
        </w:rPr>
        <w:t>für</w:t>
      </w:r>
      <w:r>
        <w:rPr>
          <w:color w:val="231F20"/>
          <w:spacing w:val="27"/>
        </w:rPr>
        <w:t> </w:t>
      </w:r>
      <w:r>
        <w:rPr>
          <w:color w:val="231F20"/>
        </w:rPr>
        <w:t>alle</w:t>
      </w:r>
      <w:r>
        <w:rPr>
          <w:color w:val="231F20"/>
          <w:spacing w:val="27"/>
        </w:rPr>
        <w:t> </w:t>
      </w:r>
      <w:r>
        <w:rPr>
          <w:color w:val="231F20"/>
        </w:rPr>
        <w:t>Haushalte.</w:t>
      </w:r>
      <w:r>
        <w:rPr>
          <w:color w:val="231F20"/>
          <w:spacing w:val="16"/>
        </w:rPr>
        <w:t> </w:t>
      </w:r>
      <w:r>
        <w:rPr>
          <w:color w:val="231F20"/>
        </w:rPr>
        <w:t>Der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  <w:spacing w:val="31"/>
        </w:rPr>
        <w:t> </w:t>
      </w:r>
      <w:r>
        <w:rPr>
          <w:color w:val="231F20"/>
        </w:rPr>
        <w:t>von</w:t>
      </w:r>
      <w:r>
        <w:rPr>
          <w:color w:val="231F20"/>
          <w:spacing w:val="32"/>
        </w:rPr>
        <w:t> </w:t>
      </w:r>
      <w:r>
        <w:rPr>
          <w:color w:val="231F20"/>
        </w:rPr>
        <w:t>rund</w:t>
      </w:r>
      <w:r>
        <w:rPr>
          <w:color w:val="231F20"/>
          <w:spacing w:val="31"/>
        </w:rPr>
        <w:t> </w:t>
      </w:r>
      <w:r>
        <w:rPr>
          <w:color w:val="231F20"/>
        </w:rPr>
        <w:t>7’300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35"/>
        </w:rPr>
        <w:t> </w:t>
      </w:r>
      <w:r>
        <w:rPr>
          <w:color w:val="231F20"/>
        </w:rPr>
        <w:t>in</w:t>
      </w:r>
      <w:r>
        <w:rPr>
          <w:color w:val="231F20"/>
          <w:spacing w:val="34"/>
        </w:rPr>
        <w:t> </w:t>
      </w:r>
      <w:r>
        <w:rPr>
          <w:color w:val="231F20"/>
        </w:rPr>
        <w:t>einer</w:t>
      </w:r>
      <w:r>
        <w:rPr>
          <w:color w:val="231F20"/>
          <w:spacing w:val="35"/>
        </w:rPr>
        <w:t> </w:t>
      </w:r>
      <w:r>
        <w:rPr>
          <w:color w:val="231F20"/>
          <w:spacing w:val="1"/>
        </w:rPr>
        <w:t>Batterie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zwischenge-</w:t>
      </w:r>
      <w:r>
        <w:rPr>
          <w:color w:val="231F20"/>
          <w:spacing w:val="28"/>
        </w:rPr>
        <w:t> </w:t>
      </w:r>
      <w:r>
        <w:rPr>
          <w:color w:val="231F20"/>
        </w:rPr>
        <w:t>speichert</w:t>
      </w:r>
      <w:r>
        <w:rPr>
          <w:color w:val="231F20"/>
          <w:spacing w:val="-11"/>
        </w:rPr>
        <w:t> </w:t>
      </w:r>
      <w:r>
        <w:rPr>
          <w:color w:val="231F20"/>
        </w:rPr>
        <w:t>und</w:t>
      </w:r>
      <w:r>
        <w:rPr>
          <w:color w:val="231F20"/>
          <w:spacing w:val="-11"/>
        </w:rPr>
        <w:t> </w:t>
      </w:r>
      <w:r>
        <w:rPr>
          <w:color w:val="231F20"/>
        </w:rPr>
        <w:t>für</w:t>
      </w:r>
      <w:r>
        <w:rPr>
          <w:color w:val="231F20"/>
          <w:spacing w:val="-11"/>
        </w:rPr>
        <w:t> </w:t>
      </w:r>
      <w:r>
        <w:rPr>
          <w:color w:val="231F20"/>
        </w:rPr>
        <w:t>die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Wärmepumpe</w:t>
      </w:r>
      <w:r>
        <w:rPr>
          <w:color w:val="231F20"/>
          <w:spacing w:val="-11"/>
        </w:rPr>
        <w:t> </w:t>
      </w:r>
      <w:r>
        <w:rPr>
          <w:color w:val="231F20"/>
          <w:spacing w:val="1"/>
        </w:rPr>
        <w:t>genutzt.</w:t>
      </w:r>
      <w:r>
        <w:rPr>
          <w:color w:val="231F20"/>
          <w:spacing w:val="29"/>
        </w:rPr>
        <w:t> </w:t>
      </w:r>
      <w:r>
        <w:rPr>
          <w:color w:val="231F20"/>
        </w:rPr>
        <w:t>Bei</w:t>
      </w:r>
      <w:r>
        <w:rPr>
          <w:color w:val="231F20"/>
          <w:spacing w:val="-15"/>
        </w:rPr>
        <w:t> </w:t>
      </w:r>
      <w:r>
        <w:rPr>
          <w:color w:val="231F20"/>
        </w:rPr>
        <w:t>einem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-15"/>
        </w:rPr>
        <w:t> </w:t>
      </w:r>
      <w:r>
        <w:rPr>
          <w:color w:val="231F20"/>
        </w:rPr>
        <w:t>von</w:t>
      </w:r>
      <w:r>
        <w:rPr>
          <w:color w:val="231F20"/>
          <w:spacing w:val="-15"/>
        </w:rPr>
        <w:t> </w:t>
      </w:r>
      <w:r>
        <w:rPr>
          <w:color w:val="231F20"/>
        </w:rPr>
        <w:t>17’300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kWh/a</w:t>
      </w:r>
      <w:r>
        <w:rPr/>
      </w:r>
    </w:p>
    <w:p>
      <w:pPr>
        <w:pStyle w:val="BodyText"/>
        <w:spacing w:line="230" w:lineRule="exact" w:before="52"/>
        <w:ind w:right="8"/>
        <w:jc w:val="both"/>
      </w:pPr>
      <w:r>
        <w:rPr/>
        <w:br w:type="column"/>
      </w:r>
      <w:r>
        <w:rPr>
          <w:color w:val="231F20"/>
          <w:spacing w:val="-1"/>
        </w:rPr>
        <w:t>erreicht</w:t>
      </w:r>
      <w:r>
        <w:rPr>
          <w:color w:val="231F20"/>
          <w:spacing w:val="3"/>
        </w:rPr>
        <w:t> </w:t>
      </w:r>
      <w:r>
        <w:rPr>
          <w:color w:val="231F20"/>
        </w:rPr>
        <w:t>der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PEB</w:t>
      </w:r>
      <w:r>
        <w:rPr>
          <w:color w:val="231F20"/>
          <w:spacing w:val="3"/>
        </w:rPr>
        <w:t> </w:t>
      </w:r>
      <w:r>
        <w:rPr>
          <w:color w:val="231F20"/>
        </w:rPr>
        <w:t>mit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seinen</w:t>
      </w:r>
      <w:r>
        <w:rPr>
          <w:color w:val="231F20"/>
          <w:spacing w:val="3"/>
        </w:rPr>
        <w:t> </w:t>
      </w:r>
      <w:r>
        <w:rPr>
          <w:color w:val="231F20"/>
        </w:rPr>
        <w:t>solarthermi-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schen</w:t>
      </w:r>
      <w:r>
        <w:rPr>
          <w:color w:val="231F20"/>
          <w:spacing w:val="-2"/>
        </w:rPr>
        <w:t> </w:t>
      </w:r>
      <w:r>
        <w:rPr>
          <w:color w:val="231F20"/>
        </w:rPr>
        <w:t>8’500</w:t>
      </w:r>
      <w:r>
        <w:rPr>
          <w:color w:val="231F20"/>
          <w:spacing w:val="-2"/>
        </w:rPr>
        <w:t> kWh/a </w:t>
      </w:r>
      <w:r>
        <w:rPr>
          <w:color w:val="231F20"/>
        </w:rPr>
        <w:t>und</w:t>
      </w:r>
      <w:r>
        <w:rPr>
          <w:color w:val="231F20"/>
          <w:spacing w:val="-2"/>
        </w:rPr>
        <w:t> </w:t>
      </w:r>
      <w:r>
        <w:rPr>
          <w:color w:val="231F20"/>
        </w:rPr>
        <w:t>16’000</w:t>
      </w:r>
      <w:r>
        <w:rPr>
          <w:color w:val="231F20"/>
          <w:spacing w:val="-2"/>
        </w:rPr>
        <w:t> kWh/a </w:t>
      </w:r>
      <w:r>
        <w:rPr>
          <w:color w:val="231F20"/>
        </w:rPr>
        <w:t>der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46"/>
        </w:rPr>
        <w:t> </w:t>
      </w:r>
      <w:r>
        <w:rPr>
          <w:color w:val="231F20"/>
        </w:rPr>
        <w:t>eine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Eigenenergieversor-</w:t>
      </w:r>
      <w:r>
        <w:rPr>
          <w:color w:val="231F20"/>
          <w:spacing w:val="27"/>
        </w:rPr>
        <w:t> </w:t>
      </w:r>
      <w:r>
        <w:rPr>
          <w:color w:val="231F20"/>
        </w:rPr>
        <w:t>gung von 24’600 </w:t>
      </w:r>
      <w:r>
        <w:rPr>
          <w:color w:val="231F20"/>
          <w:spacing w:val="-2"/>
        </w:rPr>
        <w:t>kWh/a</w:t>
      </w:r>
      <w:r>
        <w:rPr>
          <w:color w:val="231F20"/>
        </w:rPr>
        <w:t> oder von 142%.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34"/>
        </w:rPr>
        <w:t> </w:t>
      </w:r>
      <w:r>
        <w:rPr>
          <w:color w:val="231F20"/>
        </w:rPr>
        <w:t>Herzstück</w:t>
      </w:r>
      <w:r>
        <w:rPr>
          <w:color w:val="231F20"/>
          <w:spacing w:val="34"/>
        </w:rPr>
        <w:t> </w:t>
      </w:r>
      <w:r>
        <w:rPr>
          <w:color w:val="231F20"/>
        </w:rPr>
        <w:t>des</w:t>
      </w:r>
      <w:r>
        <w:rPr>
          <w:color w:val="231F20"/>
          <w:spacing w:val="35"/>
        </w:rPr>
        <w:t> </w:t>
      </w:r>
      <w:r>
        <w:rPr>
          <w:color w:val="231F20"/>
        </w:rPr>
        <w:t>MFH</w:t>
      </w:r>
      <w:r>
        <w:rPr>
          <w:color w:val="231F20"/>
          <w:spacing w:val="34"/>
        </w:rPr>
        <w:t> </w:t>
      </w:r>
      <w:r>
        <w:rPr>
          <w:color w:val="231F20"/>
        </w:rPr>
        <w:t>ist</w:t>
      </w:r>
      <w:r>
        <w:rPr>
          <w:color w:val="231F20"/>
          <w:spacing w:val="34"/>
        </w:rPr>
        <w:t> </w:t>
      </w:r>
      <w:r>
        <w:rPr>
          <w:color w:val="231F20"/>
        </w:rPr>
        <w:t>ein</w:t>
      </w:r>
      <w:r>
        <w:rPr>
          <w:color w:val="231F20"/>
          <w:spacing w:val="35"/>
        </w:rPr>
        <w:t> </w:t>
      </w:r>
      <w:r>
        <w:rPr>
          <w:color w:val="231F20"/>
        </w:rPr>
        <w:t>32</w:t>
      </w:r>
      <w:r>
        <w:rPr>
          <w:color w:val="231F20"/>
          <w:spacing w:val="34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</w:rPr>
        <w:t>3</w:t>
      </w:r>
      <w:r>
        <w:rPr>
          <w:color w:val="231F20"/>
          <w:spacing w:val="22"/>
          <w:w w:val="105"/>
          <w:position w:val="6"/>
          <w:sz w:val="10"/>
        </w:rPr>
        <w:t> </w:t>
      </w:r>
      <w:r>
        <w:rPr>
          <w:color w:val="231F20"/>
          <w:spacing w:val="-2"/>
        </w:rPr>
        <w:t>grosser</w:t>
      </w:r>
      <w:r>
        <w:rPr>
          <w:color w:val="231F20"/>
          <w:spacing w:val="2"/>
        </w:rPr>
        <w:t> </w:t>
      </w:r>
      <w:r>
        <w:rPr>
          <w:color w:val="231F20"/>
        </w:rPr>
        <w:t>Wassertank,</w:t>
      </w:r>
      <w:r>
        <w:rPr>
          <w:color w:val="231F20"/>
          <w:spacing w:val="40"/>
        </w:rPr>
        <w:t> </w:t>
      </w:r>
      <w:r>
        <w:rPr>
          <w:color w:val="231F20"/>
        </w:rPr>
        <w:t>der</w:t>
      </w:r>
      <w:r>
        <w:rPr>
          <w:color w:val="231F20"/>
          <w:spacing w:val="3"/>
        </w:rPr>
        <w:t> </w:t>
      </w:r>
      <w:r>
        <w:rPr>
          <w:color w:val="231F20"/>
        </w:rPr>
        <w:t>die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Energie</w:t>
      </w:r>
      <w:r>
        <w:rPr>
          <w:color w:val="231F20"/>
          <w:spacing w:val="3"/>
        </w:rPr>
        <w:t> </w:t>
      </w:r>
      <w:r>
        <w:rPr>
          <w:color w:val="231F20"/>
        </w:rPr>
        <w:t>der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Sonnenkollektoren</w:t>
      </w:r>
      <w:r>
        <w:rPr>
          <w:color w:val="231F20"/>
          <w:spacing w:val="10"/>
        </w:rPr>
        <w:t> </w:t>
      </w:r>
      <w:r>
        <w:rPr>
          <w:color w:val="231F20"/>
        </w:rPr>
        <w:t>speichert.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0"/>
        </w:rPr>
        <w:t> </w:t>
      </w:r>
      <w:r>
        <w:rPr>
          <w:color w:val="231F20"/>
        </w:rPr>
        <w:t>oberste</w:t>
      </w:r>
      <w:r>
        <w:rPr>
          <w:color w:val="231F20"/>
          <w:spacing w:val="26"/>
        </w:rPr>
        <w:t> </w:t>
      </w:r>
      <w:r>
        <w:rPr>
          <w:color w:val="231F20"/>
        </w:rPr>
        <w:t>und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wärmste</w:t>
      </w:r>
      <w:r>
        <w:rPr>
          <w:color w:val="231F20"/>
          <w:spacing w:val="26"/>
        </w:rPr>
        <w:t> </w:t>
      </w:r>
      <w:r>
        <w:rPr>
          <w:color w:val="231F20"/>
        </w:rPr>
        <w:t>Schicht</w:t>
      </w:r>
      <w:r>
        <w:rPr>
          <w:color w:val="231F20"/>
          <w:spacing w:val="25"/>
        </w:rPr>
        <w:t> </w:t>
      </w:r>
      <w:r>
        <w:rPr>
          <w:color w:val="231F20"/>
        </w:rPr>
        <w:t>dient</w:t>
      </w:r>
      <w:r>
        <w:rPr>
          <w:color w:val="231F20"/>
          <w:spacing w:val="26"/>
        </w:rPr>
        <w:t> </w:t>
      </w:r>
      <w:r>
        <w:rPr>
          <w:color w:val="231F20"/>
        </w:rPr>
        <w:t>der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Warmwas-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serversorgung.</w:t>
      </w:r>
      <w:r>
        <w:rPr>
          <w:color w:val="231F20"/>
          <w:spacing w:val="24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restliche</w:t>
      </w:r>
      <w:r>
        <w:rPr>
          <w:color w:val="231F20"/>
          <w:spacing w:val="35"/>
        </w:rPr>
        <w:t> </w:t>
      </w:r>
      <w:r>
        <w:rPr>
          <w:color w:val="231F20"/>
        </w:rPr>
        <w:t>gespeicherte</w:t>
      </w:r>
      <w:r>
        <w:rPr>
          <w:color w:val="231F20"/>
          <w:spacing w:val="31"/>
        </w:rPr>
        <w:t> </w:t>
      </w:r>
      <w:r>
        <w:rPr>
          <w:color w:val="231F20"/>
          <w:spacing w:val="-2"/>
        </w:rPr>
        <w:t>Wasser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versorgt</w:t>
      </w:r>
      <w:r>
        <w:rPr>
          <w:color w:val="231F20"/>
          <w:spacing w:val="-8"/>
        </w:rPr>
        <w:t> </w:t>
      </w:r>
      <w:r>
        <w:rPr>
          <w:color w:val="231F20"/>
        </w:rPr>
        <w:t>die</w:t>
      </w:r>
      <w:r>
        <w:rPr>
          <w:color w:val="231F20"/>
          <w:spacing w:val="-8"/>
        </w:rPr>
        <w:t> </w:t>
      </w:r>
      <w:r>
        <w:rPr>
          <w:color w:val="231F20"/>
        </w:rPr>
        <w:t>Bodenheizung.</w:t>
      </w:r>
      <w:r>
        <w:rPr>
          <w:color w:val="231F20"/>
          <w:spacing w:val="-19"/>
        </w:rPr>
        <w:t> </w:t>
      </w:r>
      <w:r>
        <w:rPr>
          <w:color w:val="231F20"/>
        </w:rPr>
        <w:t>Mit</w:t>
      </w:r>
      <w:r>
        <w:rPr>
          <w:color w:val="231F20"/>
          <w:spacing w:val="-8"/>
        </w:rPr>
        <w:t> </w:t>
      </w:r>
      <w:r>
        <w:rPr>
          <w:color w:val="231F20"/>
        </w:rPr>
        <w:t>dem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Wassertank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kann</w:t>
      </w:r>
      <w:r>
        <w:rPr>
          <w:color w:val="231F20"/>
          <w:spacing w:val="8"/>
        </w:rPr>
        <w:t> </w:t>
      </w:r>
      <w:r>
        <w:rPr>
          <w:color w:val="231F20"/>
        </w:rPr>
        <w:t>ein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Teil</w:t>
      </w:r>
      <w:r>
        <w:rPr>
          <w:color w:val="231F20"/>
          <w:spacing w:val="8"/>
        </w:rPr>
        <w:t> </w:t>
      </w:r>
      <w:r>
        <w:rPr>
          <w:color w:val="231F20"/>
        </w:rPr>
        <w:t>der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Sommer-Son-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nenwärme</w:t>
      </w:r>
      <w:r>
        <w:rPr>
          <w:color w:val="231F20"/>
          <w:spacing w:val="7"/>
        </w:rPr>
        <w:t> </w:t>
      </w:r>
      <w:r>
        <w:rPr>
          <w:color w:val="231F20"/>
        </w:rPr>
        <w:t>für</w:t>
      </w:r>
      <w:r>
        <w:rPr>
          <w:color w:val="231F20"/>
          <w:spacing w:val="7"/>
        </w:rPr>
        <w:t> </w:t>
      </w:r>
      <w:r>
        <w:rPr>
          <w:color w:val="231F20"/>
        </w:rPr>
        <w:t>den</w:t>
      </w:r>
      <w:r>
        <w:rPr>
          <w:color w:val="231F20"/>
          <w:spacing w:val="7"/>
        </w:rPr>
        <w:t> </w:t>
      </w:r>
      <w:r>
        <w:rPr>
          <w:color w:val="231F20"/>
        </w:rPr>
        <w:t>Winter</w:t>
      </w:r>
      <w:r>
        <w:rPr>
          <w:color w:val="231F20"/>
          <w:spacing w:val="7"/>
        </w:rPr>
        <w:t> </w:t>
      </w:r>
      <w:r>
        <w:rPr>
          <w:color w:val="231F20"/>
        </w:rPr>
        <w:t>gespeichert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wer-</w:t>
      </w:r>
      <w:r>
        <w:rPr>
          <w:color w:val="231F20"/>
          <w:spacing w:val="27"/>
        </w:rPr>
        <w:t> </w:t>
      </w:r>
      <w:r>
        <w:rPr>
          <w:color w:val="231F20"/>
        </w:rPr>
        <w:t>den.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Dieses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PlusEnergie-MFH</w:t>
      </w:r>
      <w:r>
        <w:rPr>
          <w:color w:val="231F20"/>
          <w:spacing w:val="1"/>
        </w:rPr>
        <w:t> </w:t>
      </w:r>
      <w:r>
        <w:rPr>
          <w:color w:val="231F20"/>
        </w:rPr>
        <w:t>zeigt,</w:t>
      </w:r>
      <w:r>
        <w:rPr>
          <w:color w:val="231F20"/>
          <w:spacing w:val="40"/>
        </w:rPr>
        <w:t> </w:t>
      </w:r>
      <w:r>
        <w:rPr>
          <w:color w:val="231F20"/>
        </w:rPr>
        <w:t>dass</w:t>
      </w:r>
      <w:r>
        <w:rPr>
          <w:color w:val="231F20"/>
          <w:spacing w:val="27"/>
        </w:rPr>
        <w:t> </w:t>
      </w:r>
      <w:r>
        <w:rPr>
          <w:color w:val="231F20"/>
        </w:rPr>
        <w:t>mit</w:t>
      </w:r>
      <w:r>
        <w:rPr>
          <w:color w:val="231F20"/>
          <w:spacing w:val="12"/>
        </w:rPr>
        <w:t> </w:t>
      </w:r>
      <w:r>
        <w:rPr>
          <w:color w:val="231F20"/>
        </w:rPr>
        <w:t>einer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hochgedämmten</w:t>
      </w:r>
      <w:r>
        <w:rPr>
          <w:color w:val="231F20"/>
          <w:spacing w:val="12"/>
        </w:rPr>
        <w:t> </w:t>
      </w:r>
      <w:r>
        <w:rPr>
          <w:color w:val="231F20"/>
        </w:rPr>
        <w:t>Gebäudehülle</w:t>
      </w:r>
      <w:r>
        <w:rPr>
          <w:color w:val="231F20"/>
          <w:spacing w:val="26"/>
        </w:rPr>
        <w:t> </w:t>
      </w:r>
      <w:r>
        <w:rPr>
          <w:color w:val="231F20"/>
        </w:rPr>
        <w:t>und</w:t>
      </w:r>
      <w:r>
        <w:rPr>
          <w:color w:val="231F20"/>
          <w:spacing w:val="23"/>
        </w:rPr>
        <w:t> </w:t>
      </w:r>
      <w:r>
        <w:rPr>
          <w:color w:val="231F20"/>
        </w:rPr>
        <w:t>einem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ausgeklügelten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Energiekonzept</w:t>
      </w:r>
      <w:r>
        <w:rPr>
          <w:color w:val="231F20"/>
          <w:spacing w:val="31"/>
        </w:rPr>
        <w:t> </w:t>
      </w:r>
      <w:r>
        <w:rPr>
          <w:color w:val="231F20"/>
        </w:rPr>
        <w:t>auch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2"/>
        </w:rPr>
        <w:t> </w:t>
      </w:r>
      <w:r>
        <w:rPr>
          <w:color w:val="231F20"/>
        </w:rPr>
        <w:t>einem</w:t>
      </w:r>
      <w:r>
        <w:rPr>
          <w:color w:val="231F20"/>
          <w:spacing w:val="2"/>
        </w:rPr>
        <w:t> </w:t>
      </w:r>
      <w:r>
        <w:rPr>
          <w:color w:val="231F20"/>
        </w:rPr>
        <w:t>unvorteilhaften</w:t>
      </w:r>
      <w:r>
        <w:rPr>
          <w:color w:val="231F20"/>
          <w:spacing w:val="2"/>
        </w:rPr>
        <w:t> </w:t>
      </w:r>
      <w:r>
        <w:rPr>
          <w:color w:val="231F20"/>
        </w:rPr>
        <w:t>Standort</w:t>
      </w:r>
      <w:r>
        <w:rPr>
          <w:color w:val="231F20"/>
          <w:spacing w:val="2"/>
        </w:rPr>
        <w:t> </w:t>
      </w:r>
      <w:r>
        <w:rPr>
          <w:color w:val="231F20"/>
        </w:rPr>
        <w:t>ein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PlusEnergie-MFH</w:t>
      </w:r>
      <w:r>
        <w:rPr>
          <w:color w:val="231F20"/>
          <w:spacing w:val="22"/>
        </w:rPr>
        <w:t> </w:t>
      </w:r>
      <w:r>
        <w:rPr>
          <w:color w:val="231F20"/>
        </w:rPr>
        <w:t>realisiert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werden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kann.</w:t>
      </w:r>
      <w:r>
        <w:rPr>
          <w:color w:val="231F20"/>
          <w:spacing w:val="25"/>
        </w:rPr>
        <w:t> </w:t>
      </w:r>
      <w:r>
        <w:rPr>
          <w:color w:val="231F20"/>
        </w:rPr>
        <w:t>Dafür</w:t>
      </w:r>
      <w:r>
        <w:rPr>
          <w:color w:val="231F20"/>
          <w:spacing w:val="32"/>
        </w:rPr>
        <w:t> </w:t>
      </w:r>
      <w:r>
        <w:rPr>
          <w:color w:val="231F20"/>
        </w:rPr>
        <w:t>erhält</w:t>
      </w:r>
      <w:r>
        <w:rPr>
          <w:color w:val="231F20"/>
          <w:spacing w:val="33"/>
        </w:rPr>
        <w:t> </w:t>
      </w:r>
      <w:r>
        <w:rPr>
          <w:color w:val="231F20"/>
        </w:rPr>
        <w:t>das</w:t>
      </w:r>
      <w:r>
        <w:rPr>
          <w:color w:val="231F20"/>
          <w:spacing w:val="32"/>
        </w:rPr>
        <w:t> </w:t>
      </w:r>
      <w:r>
        <w:rPr>
          <w:color w:val="231F20"/>
        </w:rPr>
        <w:t>MFH</w:t>
      </w:r>
      <w:r>
        <w:rPr>
          <w:color w:val="231F20"/>
          <w:spacing w:val="33"/>
        </w:rPr>
        <w:t> </w:t>
      </w:r>
      <w:r>
        <w:rPr>
          <w:color w:val="231F20"/>
        </w:rPr>
        <w:t>Gütliweg</w:t>
      </w:r>
      <w:r>
        <w:rPr>
          <w:color w:val="231F20"/>
          <w:spacing w:val="33"/>
        </w:rPr>
        <w:t> </w:t>
      </w:r>
      <w:r>
        <w:rPr>
          <w:color w:val="231F20"/>
        </w:rPr>
        <w:t>das</w:t>
      </w:r>
      <w:r>
        <w:rPr>
          <w:color w:val="231F20"/>
          <w:spacing w:val="32"/>
        </w:rPr>
        <w:t> </w:t>
      </w:r>
      <w:r>
        <w:rPr>
          <w:color w:val="231F20"/>
        </w:rPr>
        <w:t>Plus-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EnergieBau-Diplom</w:t>
      </w:r>
      <w:r>
        <w:rPr>
          <w:color w:val="231F20"/>
        </w:rPr>
        <w:t> 2018.</w:t>
      </w:r>
      <w:r>
        <w:rPr/>
      </w:r>
    </w:p>
    <w:p>
      <w:pPr>
        <w:spacing w:before="8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273" w:val="left" w:leader="none"/>
          <w:tab w:pos="1904" w:val="left" w:leader="none"/>
        </w:tabs>
        <w:spacing w:line="16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1"/>
          <w:sz w:val="14"/>
        </w:rPr>
        <w:t>37</w:t>
      </w:r>
      <w:r>
        <w:rPr>
          <w:rFonts w:ascii="Theinhardt Regular"/>
          <w:color w:val="231F20"/>
          <w:sz w:val="14"/>
        </w:rPr>
        <w:t> cm</w:t>
        <w:tab/>
      </w:r>
      <w:r>
        <w:rPr>
          <w:rFonts w:ascii="Theinhardt Regular"/>
          <w:color w:val="231F20"/>
          <w:spacing w:val="1"/>
          <w:sz w:val="14"/>
        </w:rPr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5"/>
          <w:sz w:val="14"/>
        </w:rPr>
        <w:t> </w:t>
      </w:r>
      <w:r>
        <w:rPr>
          <w:rFonts w:ascii="Theinhardt Regular"/>
          <w:color w:val="231F20"/>
          <w:spacing w:val="-7"/>
          <w:sz w:val="14"/>
        </w:rPr>
        <w:t>0.11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0" w:right="28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1.265686pt;margin-top:2.675345pt;width:160pt;height:11.45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66"/>
                    <w:gridCol w:w="987"/>
                    <w:gridCol w:w="494"/>
                  </w:tblGrid>
                  <w:tr>
                    <w:trPr>
                      <w:trHeight w:val="113" w:hRule="exact"/>
                    </w:trPr>
                    <w:tc>
                      <w:tcPr>
                        <w:tcW w:w="8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35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42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98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12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  </w:t>
                        </w:r>
                        <w:r>
                          <w:rPr>
                            <w:rFonts w:ascii="Theinhardt Regular"/>
                            <w:color w:val="231F20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0.1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-1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0 </w:t>
                        </w: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16" w:hRule="exact"/>
                    </w:trPr>
                    <w:tc>
                      <w:tcPr>
                        <w:tcW w:w="8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6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Boden: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6" w:lineRule="exact"/>
                          <w:ind w:left="35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59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481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6" w:lineRule="exact"/>
                          <w:ind w:left="12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U-Wert: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  </w:t>
                        </w:r>
                        <w:r>
                          <w:rPr>
                            <w:rFonts w:ascii="Theinhardt Regular"/>
                            <w:color w:val="231F20"/>
                            <w:spacing w:val="11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0.11 W/m</w:t>
                        </w:r>
                        <w:r>
                          <w:rPr>
                            <w:rFonts w:ascii="Theinhardt Regular"/>
                            <w:color w:val="231F20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8"/>
        </w:rPr>
        <w:t>2</w:t>
      </w:r>
      <w:r>
        <w:rPr>
          <w:rFonts w:ascii="Theinhardt Regular"/>
          <w:color w:val="231F20"/>
          <w:position w:val="-4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58" w:lineRule="exact" w:before="0"/>
        <w:ind w:left="0" w:right="28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51" w:val="left" w:leader="none"/>
          <w:tab w:pos="1904" w:val="left" w:leader="none"/>
        </w:tabs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Fenster:</w:t>
        <w:tab/>
        <w:t>dreifach</w:t>
        <w:tab/>
        <w:t>U-Wert: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0.90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529" w:val="left" w:leader="none"/>
          <w:tab w:pos="1977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 style="position:absolute;margin-left:475.455292pt;margin-top:2.759793pt;width:80.350pt;height:35.25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8"/>
                    <w:gridCol w:w="493"/>
                    <w:gridCol w:w="655"/>
                  </w:tblGrid>
                  <w:tr>
                    <w:trPr>
                      <w:trHeight w:val="113" w:hRule="exact"/>
                    </w:trPr>
                    <w:tc>
                      <w:tcPr>
                        <w:tcW w:w="4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-2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h/m</w:t>
                        </w:r>
                        <w:r>
                          <w:rPr>
                            <w:rFonts w:ascii="Theinhardt Regular"/>
                            <w:color w:val="231F20"/>
                            <w:spacing w:val="11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22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19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4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7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14.2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8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49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3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8’542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4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4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4.4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14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3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2’678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4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7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10.0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8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37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2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"/>
                            <w:sz w:val="14"/>
                            <w:szCs w:val="14"/>
                          </w:rPr>
                          <w:t>6’040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12" w:hRule="exact"/>
                    </w:trPr>
                    <w:tc>
                      <w:tcPr>
                        <w:tcW w:w="4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28.6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10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5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13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17’260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pacing w:val="1"/>
          <w:sz w:val="14"/>
        </w:rPr>
        <w:t>EBF: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603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  <w:tab/>
      </w:r>
      <w:r>
        <w:rPr>
          <w:rFonts w:ascii="Theinhardt Regular"/>
          <w:color w:val="231F20"/>
          <w:spacing w:val="1"/>
          <w:sz w:val="14"/>
        </w:rPr>
        <w:t>kW</w:t>
        <w:tab/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spacing w:line="207" w:lineRule="auto" w:before="5"/>
        <w:ind w:left="117" w:right="18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Warmwasser/Heizung: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Elektrizität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WP:</w:t>
      </w:r>
      <w:r>
        <w:rPr>
          <w:rFonts w:ascii="Theinhardt Regular" w:hAnsi="Theinhardt Regular"/>
          <w:color w:val="231F20"/>
          <w:spacing w:val="27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Elektrizität: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Gesamt-EB:</w:t>
      </w:r>
      <w:r>
        <w:rPr>
          <w:rFonts w:ascii="Theinhardt Bold"/>
          <w:sz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035" w:val="left" w:leader="none"/>
          <w:tab w:pos="1922" w:val="left" w:leader="none"/>
          <w:tab w:pos="2874" w:val="left" w:leader="none"/>
        </w:tabs>
        <w:spacing w:line="207" w:lineRule="auto" w:before="5"/>
        <w:ind w:left="117" w:right="28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Eigen-EV: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</w:t>
      </w:r>
      <w:r>
        <w:rPr>
          <w:rFonts w:ascii="Theinhardt Regular" w:hAnsi="Theinhardt Regular" w:cs="Theinhardt Regular" w:eastAsia="Theinhardt Regular"/>
          <w:color w:val="231F20"/>
          <w:spacing w:val="1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 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   </w:t>
      </w:r>
      <w:r>
        <w:rPr>
          <w:rFonts w:ascii="Theinhardt Regular" w:hAnsi="Theinhardt Regular" w:cs="Theinhardt Regular" w:eastAsia="Theinhardt Regular"/>
          <w:color w:val="231F20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SK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2"/>
          <w:szCs w:val="12"/>
        </w:rPr>
        <w:t>genutzt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83.8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101.9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49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8’542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914" w:val="left" w:leader="none"/>
          <w:tab w:pos="2850" w:val="left" w:leader="none"/>
        </w:tabs>
        <w:spacing w:line="154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98.4   </w:t>
      </w:r>
      <w:r>
        <w:rPr>
          <w:rFonts w:ascii="Theinhardt Regular" w:hAnsi="Theinhardt Regular" w:cs="Theinhardt Regular" w:eastAsia="Theinhardt Regular"/>
          <w:color w:val="231F20"/>
          <w:spacing w:val="1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19.2</w:t>
        <w:tab/>
        <w:t>162.9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93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16’032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36" w:val="left" w:leader="none"/>
          <w:tab w:pos="2846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142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24’574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56" w:val="left" w:leader="none"/>
          <w:tab w:pos="2894" w:val="left" w:leader="none"/>
        </w:tabs>
        <w:spacing w:line="172" w:lineRule="exact" w:before="32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336" w:val="left" w:leader="none"/>
          <w:tab w:pos="2846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142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24’574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36" w:val="left" w:leader="none"/>
          <w:tab w:pos="2851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17’260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416" w:val="left" w:leader="none"/>
          <w:tab w:pos="2927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42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7’314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7" w:right="5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SH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Power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13.06.2018</w:t>
      </w:r>
      <w:r>
        <w:rPr>
          <w:rFonts w:ascii="Theinhardt Regular" w:hAnsi="Theinhardt Regular"/>
          <w:color w:val="231F20"/>
          <w:spacing w:val="2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Kathrin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Jessen</w:t>
      </w:r>
      <w:hyperlink r:id="rId6">
        <w:r>
          <w:rPr>
            <w:rFonts w:ascii="Theinhardt Regular" w:hAnsi="Theinhardt Regular"/>
            <w:color w:val="231F20"/>
            <w:spacing w:val="2"/>
            <w:sz w:val="14"/>
          </w:rPr>
          <w:t>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Kathrin.jessen@shpower.ch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before="105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Bauherrschaft und 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7" w:right="137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Alfred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Gründler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Ingenieur</w:t>
      </w:r>
      <w:r>
        <w:rPr>
          <w:rFonts w:ascii="Theinhardt Regular" w:hAnsi="Theinhardt Regular"/>
          <w:color w:val="231F20"/>
          <w:sz w:val="14"/>
        </w:rPr>
        <w:t> AG</w:t>
      </w:r>
      <w:r>
        <w:rPr>
          <w:rFonts w:ascii="Theinhardt Regular" w:hAnsi="Theinhardt Regular"/>
          <w:color w:val="231F20"/>
          <w:spacing w:val="3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Lindliweg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15,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8200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Schaffhausen</w:t>
      </w:r>
      <w:hyperlink r:id="rId7">
        <w:r>
          <w:rPr>
            <w:rFonts w:ascii="Theinhardt Regular" w:hAnsi="Theinhardt Regular"/>
            <w:color w:val="231F20"/>
            <w:spacing w:val="27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gruendler@eh-ing.ch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before="1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Gütliweg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15,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8200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Schaffhausen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Architektur </w:t>
      </w:r>
      <w:r>
        <w:rPr>
          <w:rFonts w:ascii="Theinhardt Bold"/>
          <w:b/>
          <w:color w:val="231F20"/>
          <w:spacing w:val="1"/>
          <w:sz w:val="14"/>
        </w:rPr>
        <w:t>und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Holzbau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Robert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Schaub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Bollenstrasse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7,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8450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Andelfingen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052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305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15</w:t>
      </w:r>
      <w:hyperlink r:id="rId8">
        <w:r>
          <w:rPr>
            <w:rFonts w:ascii="Theinhardt Regular"/>
            <w:color w:val="231F20"/>
            <w:spacing w:val="-3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www.schaub-ag.ch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Planung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Haustechnik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4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3"/>
          <w:sz w:val="14"/>
        </w:rPr>
        <w:t>E+H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Ingenieurbüro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Energie+Haustechnik</w:t>
      </w:r>
      <w:r>
        <w:rPr>
          <w:rFonts w:ascii="Theinhardt Regular" w:hAnsi="Theinhardt Regular"/>
          <w:color w:val="231F20"/>
          <w:sz w:val="14"/>
        </w:rPr>
        <w:t> AG</w:t>
      </w:r>
      <w:r>
        <w:rPr>
          <w:rFonts w:ascii="Theinhardt Regular" w:hAnsi="Theinhardt Regular"/>
          <w:color w:val="231F20"/>
          <w:spacing w:val="34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Fischerhäuserstr.</w:t>
      </w:r>
      <w:r>
        <w:rPr>
          <w:rFonts w:ascii="Theinhardt Regular" w:hAnsi="Theinhardt Regular"/>
          <w:color w:val="231F20"/>
          <w:sz w:val="14"/>
        </w:rPr>
        <w:t> 34, </w:t>
      </w:r>
      <w:r>
        <w:rPr>
          <w:rFonts w:ascii="Theinhardt Regular" w:hAnsi="Theinhardt Regular"/>
          <w:color w:val="231F20"/>
          <w:spacing w:val="1"/>
          <w:sz w:val="14"/>
        </w:rPr>
        <w:t>8200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Schaffhausen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052</w:t>
      </w:r>
      <w:r>
        <w:rPr>
          <w:rFonts w:ascii="Theinhardt Regular"/>
          <w:color w:val="231F20"/>
          <w:sz w:val="14"/>
        </w:rPr>
        <w:t> 634 </w:t>
      </w:r>
      <w:r>
        <w:rPr>
          <w:rFonts w:ascii="Theinhardt Regular"/>
          <w:color w:val="231F20"/>
          <w:spacing w:val="1"/>
          <w:sz w:val="14"/>
        </w:rPr>
        <w:t>03</w:t>
      </w:r>
      <w:r>
        <w:rPr>
          <w:rFonts w:ascii="Theinhardt Regular"/>
          <w:color w:val="231F20"/>
          <w:sz w:val="14"/>
        </w:rPr>
        <w:t> 0</w:t>
      </w:r>
      <w:hyperlink r:id="rId9">
        <w:r>
          <w:rPr>
            <w:rFonts w:ascii="Theinhardt Regular"/>
            <w:color w:val="231F20"/>
            <w:sz w:val="14"/>
          </w:rPr>
          <w:t>3, </w:t>
        </w:r>
        <w:r>
          <w:rPr>
            <w:rFonts w:ascii="Theinhardt Regular"/>
            <w:color w:val="231F20"/>
            <w:spacing w:val="1"/>
            <w:sz w:val="14"/>
          </w:rPr>
          <w:t>www.eh-ing.ch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S</w:t>
      </w:r>
      <w:r>
        <w:rPr>
          <w:rFonts w:ascii="Theinhardt Bold"/>
          <w:b/>
          <w:color w:val="231F20"/>
          <w:spacing w:val="2"/>
          <w:sz w:val="14"/>
        </w:rPr>
        <w:t>olara</w:t>
      </w:r>
      <w:r>
        <w:rPr>
          <w:rFonts w:ascii="Theinhardt Bold"/>
          <w:b/>
          <w:color w:val="231F20"/>
          <w:spacing w:val="1"/>
          <w:sz w:val="14"/>
        </w:rPr>
        <w:t>n</w:t>
      </w:r>
      <w:r>
        <w:rPr>
          <w:rFonts w:ascii="Theinhardt Bold"/>
          <w:b/>
          <w:color w:val="231F20"/>
          <w:spacing w:val="2"/>
          <w:sz w:val="14"/>
        </w:rPr>
        <w:t>lagen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Solarbau</w:t>
      </w:r>
      <w:r>
        <w:rPr>
          <w:rFonts w:ascii="Theinhardt Regular"/>
          <w:color w:val="231F20"/>
          <w:sz w:val="14"/>
        </w:rPr>
        <w:t> LOWEL </w:t>
      </w:r>
      <w:r>
        <w:rPr>
          <w:rFonts w:ascii="Theinhardt Regular"/>
          <w:color w:val="231F20"/>
          <w:spacing w:val="2"/>
          <w:sz w:val="14"/>
        </w:rPr>
        <w:t>GmbH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Pestalozzistr.</w:t>
      </w:r>
      <w:r>
        <w:rPr>
          <w:rFonts w:ascii="Theinhardt Regular"/>
          <w:color w:val="231F20"/>
          <w:sz w:val="14"/>
        </w:rPr>
        <w:t> 36, </w:t>
      </w:r>
      <w:r>
        <w:rPr>
          <w:rFonts w:ascii="Theinhardt Regular"/>
          <w:color w:val="231F20"/>
          <w:spacing w:val="-4"/>
          <w:sz w:val="14"/>
        </w:rPr>
        <w:t>8212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Neuhausen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a.R.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052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672</w:t>
      </w:r>
      <w:r>
        <w:rPr>
          <w:rFonts w:ascii="Theinhardt Regular"/>
          <w:color w:val="231F20"/>
          <w:sz w:val="14"/>
        </w:rPr>
        <w:t> 55 </w:t>
      </w:r>
      <w:r>
        <w:rPr>
          <w:rFonts w:ascii="Theinhardt Regular"/>
          <w:color w:val="231F20"/>
          <w:spacing w:val="-1"/>
          <w:sz w:val="14"/>
        </w:rPr>
        <w:t>5</w:t>
      </w:r>
      <w:hyperlink r:id="rId10">
        <w:r>
          <w:rPr>
            <w:rFonts w:ascii="Theinhardt Regular"/>
            <w:color w:val="231F20"/>
            <w:spacing w:val="-1"/>
            <w:sz w:val="14"/>
          </w:rPr>
          <w:t>2,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www.solarbau-lowel.ch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620" w:right="900"/>
          <w:cols w:num="3" w:equalWidth="0">
            <w:col w:w="3473" w:space="98"/>
            <w:col w:w="3473" w:space="98"/>
            <w:col w:w="3588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0" w:lineRule="atLeast"/>
        <w:ind w:left="726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pict>
          <v:group style="width:167.25pt;height:98.2pt;mso-position-horizontal-relative:char;mso-position-vertical-relative:line" coordorigin="0,0" coordsize="3345,1964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  <v:shape style="position:absolute;left:2;top:78;width:3343;height:1885" type="#_x0000_t75" stroked="false">
                <v:imagedata r:id="rId11" o:title="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60" w:val="left" w:leader="none"/>
        </w:tabs>
        <w:spacing w:before="9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6.693001pt;margin-top:-229.622208pt;width:345.984pt;height:229.563pt;mso-position-horizontal-relative:page;mso-position-vertical-relative:paragraph;z-index:1216" type="#_x0000_t75" stroked="false">
            <v:imagedata r:id="rId12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</w:r>
      <w:r>
        <w:rPr>
          <w:rFonts w:ascii="Theinhardt Bold"/>
          <w:b/>
          <w:color w:val="231F20"/>
          <w:position w:val="1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40" w:bottom="280" w:left="620" w:right="900"/>
        </w:sectPr>
      </w:pP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0"/>
        <w:ind w:left="34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</w:t>
      </w:r>
      <w:r>
        <w:rPr>
          <w:rFonts w:ascii="Theinhardt Bold" w:hAnsi="Theinhardt Bold"/>
          <w:b/>
          <w:color w:val="231F20"/>
          <w:spacing w:val="-1"/>
          <w:sz w:val="14"/>
        </w:rPr>
        <w:t>Sonnenkollektoren</w:t>
      </w:r>
      <w:r>
        <w:rPr>
          <w:rFonts w:ascii="Theinhardt Bold" w:hAnsi="Theinhardt Bold"/>
          <w:b/>
          <w:color w:val="231F20"/>
          <w:sz w:val="14"/>
        </w:rPr>
        <w:t> an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Südost- und</w:t>
      </w:r>
      <w:r>
        <w:rPr>
          <w:rFonts w:ascii="Theinhardt Bold" w:hAnsi="Theinhardt Bold"/>
          <w:b/>
          <w:color w:val="231F20"/>
          <w:spacing w:val="35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Südwest-Fassade </w:t>
      </w:r>
      <w:r>
        <w:rPr>
          <w:rFonts w:ascii="Theinhardt Bold" w:hAnsi="Theinhardt Bold"/>
          <w:b/>
          <w:color w:val="231F20"/>
          <w:spacing w:val="-1"/>
          <w:sz w:val="14"/>
        </w:rPr>
        <w:t>decken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Warmwasser-</w:t>
      </w:r>
      <w:r>
        <w:rPr>
          <w:rFonts w:ascii="Theinhardt Bold" w:hAnsi="Theinhardt Bold"/>
          <w:b/>
          <w:color w:val="231F20"/>
          <w:sz w:val="14"/>
        </w:rPr>
        <w:t> und</w:t>
      </w:r>
      <w:r>
        <w:rPr>
          <w:rFonts w:ascii="Theinhardt Bold" w:hAnsi="Theinhardt Bold"/>
          <w:b/>
          <w:color w:val="231F20"/>
          <w:spacing w:val="33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Heizenergiebedarf von fünf </w:t>
      </w:r>
      <w:r>
        <w:rPr>
          <w:rFonts w:ascii="Theinhardt Bold" w:hAnsi="Theinhardt Bold"/>
          <w:b/>
          <w:color w:val="231F20"/>
          <w:spacing w:val="-1"/>
          <w:sz w:val="14"/>
        </w:rPr>
        <w:t>Wohnungen.</w:t>
      </w:r>
      <w:r>
        <w:rPr>
          <w:rFonts w:ascii="Theinhardt Bold" w:hAnsi="Theinhardt Bold"/>
          <w:sz w:val="14"/>
        </w:rPr>
      </w: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5"/>
          <w:szCs w:val="15"/>
        </w:rPr>
      </w:pPr>
      <w:r>
        <w:rPr/>
        <w:br w:type="column"/>
      </w:r>
      <w:r>
        <w:rPr>
          <w:rFonts w:ascii="Theinhardt Bold"/>
          <w:b/>
          <w:sz w:val="15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0"/>
        <w:ind w:left="343" w:right="3767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19.2 kW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Dachanlage produziert rund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16’000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620" w:right="900"/>
          <w:cols w:num="2" w:equalWidth="0">
            <w:col w:w="3445" w:space="127"/>
            <w:col w:w="7158"/>
          </w:cols>
        </w:sect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62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40" w:bottom="280" w:left="6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5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63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73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8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94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04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14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24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Kathrin.jessen@shpower.ch" TargetMode="External"/><Relationship Id="rId7" Type="http://schemas.openxmlformats.org/officeDocument/2006/relationships/hyperlink" Target="mailto:gruendler@eh-ing.ch" TargetMode="External"/><Relationship Id="rId8" Type="http://schemas.openxmlformats.org/officeDocument/2006/relationships/hyperlink" Target="http://www.schaub-ag.ch/" TargetMode="External"/><Relationship Id="rId9" Type="http://schemas.openxmlformats.org/officeDocument/2006/relationships/hyperlink" Target="http://www.eh-ing.ch/" TargetMode="External"/><Relationship Id="rId10" Type="http://schemas.openxmlformats.org/officeDocument/2006/relationships/hyperlink" Target="http://www.solarbau-lowel.ch/" TargetMode="External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2018-10-02T10:04:19Z</dcterms:created>
  <dcterms:modified xsi:type="dcterms:W3CDTF">2018-10-02T10:04:19Z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