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39" w:val="left" w:leader="none"/>
        </w:tabs>
        <w:spacing w:line="230" w:lineRule="exact" w:before="38"/>
        <w:ind w:left="100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51.236198pt;margin-top:14.14727pt;width:.1pt;height:.1pt;mso-position-horizontal-relative:page;mso-position-vertical-relative:paragraph;z-index:-5608" coordorigin="1025,283" coordsize="2,2">
            <v:shape style="position:absolute;left:1025;top:283;width:2;height:2" coordorigin="1025,283" coordsize="0,0" path="m1025,283l1025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73.409195pt;margin-top:14.14727pt;width:.1pt;height:.1pt;mso-position-horizontal-relative:page;mso-position-vertical-relative:paragraph;z-index:1120" coordorigin="3468,283" coordsize="2,2">
            <v:shape style="position:absolute;left:3468;top:283;width:2;height:2" coordorigin="3468,283" coordsize="0,0" path="m3468,283l3468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51.236198pt;margin-top:25.64727pt;width:.1pt;height:.1pt;mso-position-horizontal-relative:page;mso-position-vertical-relative:paragraph;z-index:-5560" coordorigin="1025,513" coordsize="2,2">
            <v:shape style="position:absolute;left:1025;top:513;width:2;height:2" coordorigin="1025,513" coordsize="0,0" path="m1025,513l1025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73.409195pt;margin-top:25.64727pt;width:.1pt;height:.1pt;mso-position-horizontal-relative:page;mso-position-vertical-relative:paragraph;z-index:1168" coordorigin="3468,513" coordsize="2,2">
            <v:shape style="position:absolute;left:3468;top:513;width:2;height:2" coordorigin="3468,513" coordsize="0,0" path="m3468,513l3468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shape style="position:absolute;margin-left:51.0242pt;margin-top:53.477772pt;width:82.204400pt;height:60.2039pt;mso-position-horizontal-relative:page;mso-position-vertical-relative:paragraph;z-index:1192" type="#_x0000_t75" stroked="false">
            <v:imagedata r:id="rId5" o:title=""/>
          </v:shape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B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PlusEnergieBauten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2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PlusEnergieBau</w:t>
      </w:r>
      <w:r>
        <w:rPr>
          <w:rFonts w:ascii="Theinhardt Regular" w:hAnsi="Theinhardt Regular"/>
          <w:color w:val="231F20"/>
          <w:spacing w:val="-1"/>
          <w:position w:val="6"/>
          <w:sz w:val="10"/>
        </w:rPr>
        <w:t>®</w:t>
      </w:r>
      <w:r>
        <w:rPr>
          <w:rFonts w:ascii="Theinhardt Regular" w:hAnsi="Theinhardt Regular"/>
          <w:color w:val="231F20"/>
          <w:spacing w:val="-1"/>
          <w:sz w:val="18"/>
        </w:rPr>
        <w:t>-Diplom</w:t>
      </w:r>
      <w:r>
        <w:rPr>
          <w:rFonts w:ascii="Theinhardt Regular" w:hAnsi="Theinhardt Regular"/>
          <w:color w:val="231F20"/>
          <w:spacing w:val="3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2018</w:t>
      </w:r>
      <w:r>
        <w:rPr>
          <w:rFonts w:ascii="Theinhardt Regular" w:hAnsi="Theinhardt Regular"/>
          <w:sz w:val="18"/>
        </w:rPr>
      </w:r>
    </w:p>
    <w:p>
      <w:pPr>
        <w:spacing w:line="230" w:lineRule="exact" w:before="38"/>
        <w:ind w:left="100" w:right="114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Sieben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Mitarbeiter/innen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Vincenz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Weishaupt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Architekten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bezogen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Ende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Januar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2018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5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neue</w:t>
      </w:r>
      <w:r>
        <w:rPr>
          <w:rFonts w:ascii="Theinhardt Bold" w:hAnsi="Theinhardt Bold" w:cs="Theinhardt Bold" w:eastAsia="Theinhardt Bold"/>
          <w:b/>
          <w:bCs/>
          <w:color w:val="231F20"/>
          <w:spacing w:val="3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Bürogebäude</w:t>
      </w:r>
      <w:r>
        <w:rPr>
          <w:rFonts w:ascii="Theinhardt Bold" w:hAnsi="Theinhardt Bold" w:cs="Theinhardt Bold" w:eastAsia="Theinhardt Bold"/>
          <w:b/>
          <w:bCs/>
          <w:color w:val="231F20"/>
          <w:spacing w:val="3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3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Ilanz/Glion.</w:t>
      </w:r>
      <w:r>
        <w:rPr>
          <w:rFonts w:ascii="Theinhardt Bold" w:hAnsi="Theinhardt Bold" w:cs="Theinhardt Bold" w:eastAsia="Theinhardt Bold"/>
          <w:b/>
          <w:bCs/>
          <w:color w:val="231F20"/>
          <w:spacing w:val="2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3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PlusEnergieBau</w:t>
      </w:r>
      <w:r>
        <w:rPr>
          <w:rFonts w:ascii="Theinhardt Bold" w:hAnsi="Theinhardt Bold" w:cs="Theinhardt Bold" w:eastAsia="Theinhardt Bold"/>
          <w:b/>
          <w:bCs/>
          <w:color w:val="231F20"/>
          <w:spacing w:val="3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3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Minergie-P-Standard</w:t>
      </w:r>
      <w:r>
        <w:rPr>
          <w:rFonts w:ascii="Theinhardt Bold" w:hAnsi="Theinhardt Bold" w:cs="Theinhardt Bold" w:eastAsia="Theinhardt Bold"/>
          <w:b/>
          <w:bCs/>
          <w:color w:val="231F20"/>
          <w:spacing w:val="3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konsumiert</w:t>
      </w:r>
      <w:r>
        <w:rPr>
          <w:rFonts w:ascii="Theinhardt Bold" w:hAnsi="Theinhardt Bold" w:cs="Theinhardt Bold" w:eastAsia="Theinhardt Bold"/>
          <w:b/>
          <w:bCs/>
          <w:color w:val="231F20"/>
          <w:spacing w:val="9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11’000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kWh/a,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inkl.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solarbetriebenen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Elektroauto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12’400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süd-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nordseitig</w:t>
      </w:r>
      <w:r>
        <w:rPr>
          <w:rFonts w:ascii="Theinhardt Bold" w:hAnsi="Theinhardt Bold" w:cs="Theinhardt Bold" w:eastAsia="Theinhardt Bold"/>
          <w:b/>
          <w:bCs/>
          <w:color w:val="231F20"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optimal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dachintegrierte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15.5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starke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produziert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15’900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-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Büro</w:t>
      </w:r>
      <w:r>
        <w:rPr>
          <w:rFonts w:ascii="Theinhardt Bold" w:hAnsi="Theinhardt Bold" w:cs="Theinhardt Bold" w:eastAsia="Theinhardt Bold"/>
          <w:b/>
          <w:bCs/>
          <w:color w:val="231F20"/>
          <w:spacing w:val="3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weist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somit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Eigenenergieversorgung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145%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–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CO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position w:val="-5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-frei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fahrenden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E-Mobil</w:t>
      </w:r>
      <w:r>
        <w:rPr>
          <w:rFonts w:ascii="Theinhardt Bold" w:hAnsi="Theinhardt Bold" w:cs="Theinhardt Bold" w:eastAsia="Theinhardt Bold"/>
          <w:b/>
          <w:bCs/>
          <w:color w:val="231F20"/>
          <w:spacing w:val="7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129%.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eingebaute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Ladestation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ermöglicht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E-Auto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hauseigenem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Solarstrom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zu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be-</w:t>
      </w:r>
      <w:r>
        <w:rPr>
          <w:rFonts w:ascii="Theinhardt Bold" w:hAnsi="Theinhardt Bold" w:cs="Theinhardt Bold" w:eastAsia="Theinhardt Bold"/>
          <w:b/>
          <w:bCs/>
          <w:color w:val="231F20"/>
          <w:spacing w:val="5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treiben.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Büroneubau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besticht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durch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seine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klare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moderne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Architektur,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welche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durch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color w:val="231F20"/>
          <w:spacing w:val="4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konsequente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Materialwahl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unterstrichen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wird.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00" w:bottom="280" w:left="920" w:right="620"/>
          <w:cols w:num="2" w:equalWidth="0">
            <w:col w:w="2540" w:space="139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7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5"/>
        <w:ind w:left="100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pacing w:val="1"/>
          <w:sz w:val="40"/>
        </w:rPr>
        <w:t>145%-PEB-Büro</w:t>
      </w:r>
      <w:r>
        <w:rPr>
          <w:rFonts w:ascii="Theinhardt Black" w:hAnsi="Theinhardt Black"/>
          <w:b/>
          <w:color w:val="0067B1"/>
          <w:spacing w:val="-24"/>
          <w:sz w:val="40"/>
        </w:rPr>
        <w:t> </w:t>
      </w:r>
      <w:r>
        <w:rPr>
          <w:rFonts w:ascii="Theinhardt Black" w:hAnsi="Theinhardt Black"/>
          <w:b/>
          <w:color w:val="0067B1"/>
          <w:spacing w:val="4"/>
          <w:sz w:val="40"/>
        </w:rPr>
        <w:t>Vincenz</w:t>
      </w:r>
      <w:r>
        <w:rPr>
          <w:rFonts w:ascii="Theinhardt Black" w:hAnsi="Theinhardt Black"/>
          <w:b/>
          <w:color w:val="0067B1"/>
          <w:sz w:val="40"/>
        </w:rPr>
        <w:t> </w:t>
      </w:r>
      <w:r>
        <w:rPr>
          <w:rFonts w:ascii="Theinhardt Black" w:hAnsi="Theinhardt Black"/>
          <w:b/>
          <w:color w:val="0067B1"/>
          <w:spacing w:val="4"/>
          <w:sz w:val="40"/>
        </w:rPr>
        <w:t>Weishaupt,</w:t>
      </w:r>
      <w:r>
        <w:rPr>
          <w:rFonts w:ascii="Theinhardt Black" w:hAnsi="Theinhardt Black"/>
          <w:b/>
          <w:color w:val="0067B1"/>
          <w:spacing w:val="-24"/>
          <w:sz w:val="40"/>
        </w:rPr>
        <w:t> </w:t>
      </w:r>
      <w:r>
        <w:rPr>
          <w:rFonts w:ascii="Theinhardt Black" w:hAnsi="Theinhardt Black"/>
          <w:b/>
          <w:color w:val="0067B1"/>
          <w:sz w:val="40"/>
        </w:rPr>
        <w:t>7130 </w:t>
      </w:r>
      <w:r>
        <w:rPr>
          <w:rFonts w:ascii="Theinhardt Black" w:hAnsi="Theinhardt Black"/>
          <w:b/>
          <w:color w:val="0067B1"/>
          <w:spacing w:val="3"/>
          <w:sz w:val="40"/>
        </w:rPr>
        <w:t>Ilanz/GR</w:t>
      </w:r>
      <w:r>
        <w:rPr>
          <w:rFonts w:ascii="Theinhardt Black" w:hAns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00" w:bottom="280" w:left="920" w:right="620"/>
        </w:sectPr>
      </w:pPr>
    </w:p>
    <w:p>
      <w:pPr>
        <w:pStyle w:val="BodyText"/>
        <w:spacing w:line="230" w:lineRule="exact" w:before="52"/>
        <w:ind w:right="0"/>
        <w:jc w:val="both"/>
      </w:pPr>
      <w:r>
        <w:rPr>
          <w:color w:val="231F20"/>
        </w:rPr>
        <w:t>Der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Büroneubau</w:t>
      </w:r>
      <w:r>
        <w:rPr>
          <w:color w:val="231F20"/>
          <w:spacing w:val="2"/>
        </w:rPr>
        <w:t> </w:t>
      </w:r>
      <w:r>
        <w:rPr>
          <w:color w:val="231F20"/>
        </w:rPr>
        <w:t>der</w:t>
      </w:r>
      <w:r>
        <w:rPr>
          <w:color w:val="231F20"/>
          <w:spacing w:val="-9"/>
        </w:rPr>
        <w:t> </w:t>
      </w:r>
      <w:r>
        <w:rPr>
          <w:color w:val="231F20"/>
        </w:rPr>
        <w:t>Vincenz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Weishaupt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Ar-</w:t>
      </w:r>
      <w:r>
        <w:rPr>
          <w:color w:val="231F20"/>
          <w:spacing w:val="28"/>
        </w:rPr>
        <w:t> </w:t>
      </w:r>
      <w:r>
        <w:rPr>
          <w:color w:val="231F20"/>
        </w:rPr>
        <w:t>chitekten</w:t>
      </w:r>
      <w:r>
        <w:rPr>
          <w:color w:val="231F20"/>
          <w:spacing w:val="13"/>
        </w:rPr>
        <w:t> </w:t>
      </w:r>
      <w:r>
        <w:rPr>
          <w:color w:val="231F20"/>
        </w:rPr>
        <w:t>in</w:t>
      </w:r>
      <w:r>
        <w:rPr>
          <w:color w:val="231F20"/>
          <w:spacing w:val="13"/>
        </w:rPr>
        <w:t> </w:t>
      </w:r>
      <w:r>
        <w:rPr>
          <w:color w:val="231F20"/>
        </w:rPr>
        <w:t>Ilanz/Glion</w:t>
      </w:r>
      <w:r>
        <w:rPr>
          <w:color w:val="231F20"/>
          <w:spacing w:val="13"/>
        </w:rPr>
        <w:t> </w:t>
      </w:r>
      <w:r>
        <w:rPr>
          <w:color w:val="231F20"/>
        </w:rPr>
        <w:t>überzeugt</w:t>
      </w:r>
      <w:r>
        <w:rPr>
          <w:color w:val="231F20"/>
          <w:spacing w:val="13"/>
        </w:rPr>
        <w:t> </w:t>
      </w:r>
      <w:r>
        <w:rPr>
          <w:color w:val="231F20"/>
          <w:spacing w:val="-2"/>
        </w:rPr>
        <w:t>durch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seine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klare</w:t>
      </w:r>
      <w:r>
        <w:rPr>
          <w:color w:val="231F20"/>
          <w:spacing w:val="41"/>
        </w:rPr>
        <w:t> </w:t>
      </w:r>
      <w:r>
        <w:rPr>
          <w:color w:val="231F20"/>
        </w:rPr>
        <w:t>und</w:t>
      </w:r>
      <w:r>
        <w:rPr>
          <w:color w:val="231F20"/>
          <w:spacing w:val="40"/>
        </w:rPr>
        <w:t> </w:t>
      </w:r>
      <w:r>
        <w:rPr>
          <w:color w:val="231F20"/>
        </w:rPr>
        <w:t>moderne</w:t>
      </w:r>
      <w:r>
        <w:rPr>
          <w:color w:val="231F20"/>
          <w:spacing w:val="41"/>
        </w:rPr>
        <w:t> </w:t>
      </w:r>
      <w:r>
        <w:rPr>
          <w:color w:val="231F20"/>
          <w:spacing w:val="-2"/>
        </w:rPr>
        <w:t>Architektur.</w:t>
      </w:r>
      <w:r>
        <w:rPr>
          <w:color w:val="231F20"/>
          <w:spacing w:val="31"/>
        </w:rPr>
        <w:t> </w:t>
      </w:r>
      <w:r>
        <w:rPr>
          <w:color w:val="231F20"/>
        </w:rPr>
        <w:t>Der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schlichte</w:t>
      </w:r>
      <w:r>
        <w:rPr>
          <w:color w:val="231F20"/>
          <w:spacing w:val="37"/>
        </w:rPr>
        <w:t> </w:t>
      </w:r>
      <w:r>
        <w:rPr>
          <w:color w:val="231F20"/>
        </w:rPr>
        <w:t>Betonbau</w:t>
      </w:r>
      <w:r>
        <w:rPr>
          <w:color w:val="231F20"/>
          <w:spacing w:val="38"/>
        </w:rPr>
        <w:t> </w:t>
      </w:r>
      <w:r>
        <w:rPr>
          <w:color w:val="231F20"/>
        </w:rPr>
        <w:t>fügt</w:t>
      </w:r>
      <w:r>
        <w:rPr>
          <w:color w:val="231F20"/>
          <w:spacing w:val="37"/>
        </w:rPr>
        <w:t> </w:t>
      </w:r>
      <w:r>
        <w:rPr>
          <w:color w:val="231F20"/>
        </w:rPr>
        <w:t>sich</w:t>
      </w:r>
      <w:r>
        <w:rPr>
          <w:color w:val="231F20"/>
          <w:spacing w:val="38"/>
        </w:rPr>
        <w:t> </w:t>
      </w:r>
      <w:r>
        <w:rPr>
          <w:color w:val="231F20"/>
        </w:rPr>
        <w:t>mit</w:t>
      </w:r>
      <w:r>
        <w:rPr>
          <w:color w:val="231F20"/>
          <w:spacing w:val="38"/>
        </w:rPr>
        <w:t> </w:t>
      </w:r>
      <w:r>
        <w:rPr>
          <w:color w:val="231F20"/>
        </w:rPr>
        <w:t>den</w:t>
      </w:r>
      <w:r>
        <w:rPr>
          <w:color w:val="231F20"/>
          <w:spacing w:val="37"/>
        </w:rPr>
        <w:t> </w:t>
      </w:r>
      <w:r>
        <w:rPr>
          <w:color w:val="231F20"/>
        </w:rPr>
        <w:t>mit</w:t>
      </w:r>
      <w:r>
        <w:rPr>
          <w:color w:val="231F20"/>
          <w:spacing w:val="24"/>
        </w:rPr>
        <w:t> </w:t>
      </w:r>
      <w:r>
        <w:rPr>
          <w:color w:val="231F20"/>
        </w:rPr>
        <w:t>monokristallinen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PV-Modulen</w:t>
      </w:r>
      <w:r>
        <w:rPr>
          <w:color w:val="231F20"/>
          <w:spacing w:val="44"/>
        </w:rPr>
        <w:t> </w:t>
      </w:r>
      <w:r>
        <w:rPr>
          <w:color w:val="231F20"/>
          <w:spacing w:val="-1"/>
        </w:rPr>
        <w:t>eingekleide-</w:t>
      </w:r>
      <w:r>
        <w:rPr>
          <w:color w:val="231F20"/>
          <w:spacing w:val="38"/>
        </w:rPr>
        <w:t> </w:t>
      </w:r>
      <w:r>
        <w:rPr>
          <w:color w:val="231F20"/>
        </w:rPr>
        <w:t>ten</w:t>
      </w:r>
      <w:r>
        <w:rPr>
          <w:color w:val="231F20"/>
          <w:spacing w:val="6"/>
        </w:rPr>
        <w:t> </w:t>
      </w:r>
      <w:r>
        <w:rPr>
          <w:color w:val="231F20"/>
        </w:rPr>
        <w:t>Satteldach</w:t>
      </w:r>
      <w:r>
        <w:rPr>
          <w:color w:val="231F20"/>
          <w:spacing w:val="6"/>
        </w:rPr>
        <w:t> </w:t>
      </w:r>
      <w:r>
        <w:rPr>
          <w:color w:val="231F20"/>
        </w:rPr>
        <w:t>und</w:t>
      </w:r>
      <w:r>
        <w:rPr>
          <w:color w:val="231F20"/>
          <w:spacing w:val="6"/>
        </w:rPr>
        <w:t> </w:t>
      </w:r>
      <w:r>
        <w:rPr>
          <w:color w:val="231F20"/>
        </w:rPr>
        <w:t>den</w:t>
      </w:r>
      <w:r>
        <w:rPr>
          <w:color w:val="231F20"/>
          <w:spacing w:val="6"/>
        </w:rPr>
        <w:t> </w:t>
      </w:r>
      <w:r>
        <w:rPr>
          <w:color w:val="231F20"/>
        </w:rPr>
        <w:t>Altholz-Lamellen</w:t>
      </w:r>
      <w:r>
        <w:rPr>
          <w:color w:val="231F20"/>
          <w:spacing w:val="6"/>
        </w:rPr>
        <w:t> </w:t>
      </w:r>
      <w:r>
        <w:rPr>
          <w:color w:val="231F20"/>
        </w:rPr>
        <w:t>in</w:t>
      </w:r>
      <w:r>
        <w:rPr/>
      </w:r>
    </w:p>
    <w:p>
      <w:pPr>
        <w:pStyle w:val="BodyText"/>
        <w:spacing w:line="230" w:lineRule="exact" w:before="52"/>
        <w:ind w:right="0"/>
        <w:jc w:val="both"/>
      </w:pPr>
      <w:r>
        <w:rPr/>
        <w:br w:type="column"/>
      </w:r>
      <w:r>
        <w:rPr>
          <w:color w:val="231F20"/>
        </w:rPr>
        <w:t>jährlich</w:t>
      </w:r>
      <w:r>
        <w:rPr>
          <w:color w:val="231F20"/>
          <w:spacing w:val="19"/>
        </w:rPr>
        <w:t> </w:t>
      </w:r>
      <w:r>
        <w:rPr>
          <w:color w:val="231F20"/>
        </w:rPr>
        <w:t>mit</w:t>
      </w:r>
      <w:r>
        <w:rPr>
          <w:color w:val="231F20"/>
          <w:spacing w:val="19"/>
        </w:rPr>
        <w:t> </w:t>
      </w:r>
      <w:r>
        <w:rPr>
          <w:color w:val="231F20"/>
        </w:rPr>
        <w:t>rund</w:t>
      </w:r>
      <w:r>
        <w:rPr>
          <w:color w:val="231F20"/>
          <w:spacing w:val="19"/>
        </w:rPr>
        <w:t> </w:t>
      </w:r>
      <w:r>
        <w:rPr>
          <w:color w:val="231F20"/>
        </w:rPr>
        <w:t>1’400</w:t>
      </w:r>
      <w:r>
        <w:rPr>
          <w:color w:val="231F20"/>
          <w:spacing w:val="19"/>
        </w:rPr>
        <w:t> </w:t>
      </w:r>
      <w:r>
        <w:rPr>
          <w:color w:val="231F20"/>
        </w:rPr>
        <w:t>kWh</w:t>
      </w:r>
      <w:r>
        <w:rPr>
          <w:color w:val="231F20"/>
          <w:spacing w:val="19"/>
        </w:rPr>
        <w:t> </w:t>
      </w:r>
      <w:r>
        <w:rPr>
          <w:color w:val="231F20"/>
          <w:spacing w:val="-1"/>
        </w:rPr>
        <w:t>hauseigenem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CO</w:t>
      </w:r>
      <w:r>
        <w:rPr>
          <w:color w:val="231F20"/>
          <w:spacing w:val="-1"/>
          <w:position w:val="-5"/>
          <w:sz w:val="10"/>
          <w:szCs w:val="10"/>
        </w:rPr>
        <w:t>2</w:t>
      </w:r>
      <w:r>
        <w:rPr>
          <w:color w:val="231F20"/>
          <w:spacing w:val="-1"/>
        </w:rPr>
        <w:t>-freiem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Solarstrom.</w:t>
      </w:r>
      <w:r>
        <w:rPr>
          <w:color w:val="231F20"/>
          <w:spacing w:val="2"/>
        </w:rPr>
        <w:t> </w:t>
      </w:r>
      <w:r>
        <w:rPr>
          <w:color w:val="231F20"/>
          <w:spacing w:val="1"/>
        </w:rPr>
        <w:t>Das</w:t>
      </w:r>
      <w:r>
        <w:rPr>
          <w:color w:val="231F20"/>
          <w:spacing w:val="12"/>
        </w:rPr>
        <w:t> </w:t>
      </w:r>
      <w:r>
        <w:rPr>
          <w:color w:val="231F20"/>
          <w:spacing w:val="-2"/>
        </w:rPr>
        <w:t>PEB-Büro</w:t>
      </w:r>
      <w:r>
        <w:rPr>
          <w:color w:val="231F20"/>
          <w:spacing w:val="13"/>
        </w:rPr>
        <w:t> </w:t>
      </w:r>
      <w:r>
        <w:rPr>
          <w:color w:val="231F20"/>
          <w:spacing w:val="-2"/>
        </w:rPr>
        <w:t>kon-</w:t>
      </w:r>
      <w:r>
        <w:rPr>
          <w:color w:val="231F20"/>
          <w:spacing w:val="33"/>
        </w:rPr>
        <w:t> </w:t>
      </w:r>
      <w:r>
        <w:rPr>
          <w:color w:val="231F20"/>
        </w:rPr>
        <w:t>sumiert</w:t>
      </w:r>
      <w:r>
        <w:rPr>
          <w:color w:val="231F20"/>
          <w:spacing w:val="-2"/>
        </w:rPr>
        <w:t> </w:t>
      </w:r>
      <w:r>
        <w:rPr>
          <w:color w:val="231F20"/>
        </w:rPr>
        <w:t>11’000</w:t>
      </w:r>
      <w:r>
        <w:rPr>
          <w:color w:val="231F20"/>
          <w:spacing w:val="-2"/>
        </w:rPr>
        <w:t> kWh/a,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zusammen</w:t>
      </w:r>
      <w:r>
        <w:rPr>
          <w:color w:val="231F20"/>
          <w:spacing w:val="-2"/>
        </w:rPr>
        <w:t> </w:t>
      </w:r>
      <w:r>
        <w:rPr>
          <w:color w:val="231F20"/>
        </w:rPr>
        <w:t>mit</w:t>
      </w:r>
      <w:r>
        <w:rPr>
          <w:color w:val="231F20"/>
          <w:spacing w:val="-2"/>
        </w:rPr>
        <w:t> </w:t>
      </w:r>
      <w:r>
        <w:rPr>
          <w:color w:val="231F20"/>
        </w:rPr>
        <w:t>dem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Elektromobil</w:t>
      </w:r>
      <w:r>
        <w:rPr>
          <w:color w:val="231F20"/>
          <w:spacing w:val="38"/>
        </w:rPr>
        <w:t> </w:t>
      </w:r>
      <w:r>
        <w:rPr>
          <w:color w:val="231F20"/>
        </w:rPr>
        <w:t>rund</w:t>
      </w:r>
      <w:r>
        <w:rPr>
          <w:color w:val="231F20"/>
          <w:spacing w:val="39"/>
        </w:rPr>
        <w:t> </w:t>
      </w:r>
      <w:r>
        <w:rPr>
          <w:color w:val="231F20"/>
        </w:rPr>
        <w:t>12’400</w:t>
      </w:r>
      <w:r>
        <w:rPr>
          <w:color w:val="231F20"/>
          <w:spacing w:val="38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39"/>
        </w:rPr>
        <w:t> </w:t>
      </w:r>
      <w:r>
        <w:rPr>
          <w:color w:val="231F20"/>
        </w:rPr>
        <w:t>16</w:t>
      </w:r>
      <w:r>
        <w:rPr>
          <w:color w:val="231F20"/>
          <w:spacing w:val="26"/>
        </w:rPr>
        <w:t> </w:t>
      </w:r>
      <w:r>
        <w:rPr>
          <w:color w:val="231F20"/>
        </w:rPr>
        <w:t>kW</w:t>
      </w:r>
      <w:r>
        <w:rPr>
          <w:color w:val="231F20"/>
          <w:spacing w:val="18"/>
        </w:rPr>
        <w:t> </w:t>
      </w:r>
      <w:r>
        <w:rPr>
          <w:color w:val="231F20"/>
          <w:spacing w:val="-1"/>
        </w:rPr>
        <w:t>starke</w:t>
      </w:r>
      <w:r>
        <w:rPr>
          <w:color w:val="231F20"/>
          <w:spacing w:val="18"/>
        </w:rPr>
        <w:t> </w:t>
      </w:r>
      <w:r>
        <w:rPr>
          <w:color w:val="231F20"/>
        </w:rPr>
        <w:t>und</w:t>
      </w:r>
      <w:r>
        <w:rPr>
          <w:color w:val="231F20"/>
          <w:spacing w:val="18"/>
        </w:rPr>
        <w:t> </w:t>
      </w:r>
      <w:r>
        <w:rPr>
          <w:color w:val="231F20"/>
        </w:rPr>
        <w:t>optimal</w:t>
      </w:r>
      <w:r>
        <w:rPr>
          <w:color w:val="231F20"/>
          <w:spacing w:val="18"/>
        </w:rPr>
        <w:t> </w:t>
      </w:r>
      <w:r>
        <w:rPr>
          <w:color w:val="231F20"/>
        </w:rPr>
        <w:t>dachintegrierte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PV-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Anlage</w:t>
      </w:r>
      <w:r>
        <w:rPr>
          <w:color w:val="231F20"/>
          <w:spacing w:val="14"/>
        </w:rPr>
        <w:t> </w:t>
      </w:r>
      <w:r>
        <w:rPr>
          <w:color w:val="231F20"/>
        </w:rPr>
        <w:t>ist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nach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Norden</w:t>
      </w:r>
      <w:r>
        <w:rPr>
          <w:color w:val="231F20"/>
          <w:spacing w:val="14"/>
        </w:rPr>
        <w:t> </w:t>
      </w:r>
      <w:r>
        <w:rPr>
          <w:color w:val="231F20"/>
        </w:rPr>
        <w:t>und</w:t>
      </w:r>
      <w:r>
        <w:rPr>
          <w:color w:val="231F20"/>
          <w:spacing w:val="14"/>
        </w:rPr>
        <w:t> </w:t>
      </w:r>
      <w:r>
        <w:rPr>
          <w:color w:val="231F20"/>
        </w:rPr>
        <w:t>Süden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ausge-</w:t>
      </w:r>
      <w:r>
        <w:rPr/>
      </w:r>
    </w:p>
    <w:p>
      <w:pPr>
        <w:spacing w:before="87"/>
        <w:ind w:left="10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913" w:val="left" w:leader="none"/>
          <w:tab w:pos="1687" w:val="left" w:leader="none"/>
          <w:tab w:pos="2441" w:val="left" w:leader="none"/>
        </w:tabs>
        <w:spacing w:line="162" w:lineRule="exact" w:before="0"/>
        <w:ind w:left="0" w:right="279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Wand:</w:t>
        <w:tab/>
        <w:t>20 cm</w:t>
        <w:tab/>
      </w:r>
      <w:r>
        <w:rPr>
          <w:rFonts w:ascii="Theinhardt Regular"/>
          <w:color w:val="231F20"/>
          <w:spacing w:val="1"/>
          <w:sz w:val="14"/>
        </w:rPr>
        <w:t>U-Wert:</w:t>
        <w:tab/>
      </w:r>
      <w:r>
        <w:rPr>
          <w:rFonts w:ascii="Theinhardt Regular"/>
          <w:color w:val="231F20"/>
          <w:spacing w:val="-5"/>
          <w:sz w:val="14"/>
        </w:rPr>
        <w:t>0.12</w:t>
      </w:r>
      <w:r>
        <w:rPr>
          <w:rFonts w:ascii="Theinhardt Regular"/>
          <w:color w:val="231F20"/>
          <w:sz w:val="14"/>
        </w:rPr>
        <w:t>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0" w:right="279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5.438995pt;margin-top:2.675345pt;width:160pt;height:23.1pt;mso-position-horizontal-relative:page;mso-position-vertical-relative:paragraph;z-index:12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06"/>
                    <w:gridCol w:w="843"/>
                    <w:gridCol w:w="1107"/>
                    <w:gridCol w:w="544"/>
                  </w:tblGrid>
                  <w:tr>
                    <w:trPr>
                      <w:trHeight w:val="113" w:hRule="exact"/>
                    </w:trPr>
                    <w:tc>
                      <w:tcPr>
                        <w:tcW w:w="70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Dach: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4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26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28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cm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1651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953" w:val="left" w:leader="none"/>
                          </w:tabs>
                          <w:spacing w:line="113" w:lineRule="exact"/>
                          <w:ind w:left="19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U-Wert:</w:t>
                          <w:tab/>
                        </w:r>
                        <w:r>
                          <w:rPr>
                            <w:rFonts w:ascii="Theinhardt Regular"/>
                            <w:color w:val="231F20"/>
                            <w:spacing w:val="-5"/>
                            <w:sz w:val="14"/>
                          </w:rPr>
                          <w:t>0.16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-3"/>
                            <w:sz w:val="14"/>
                          </w:rPr>
                          <w:t>W/m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70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Boden: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4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26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35 cm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110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929" w:val="left" w:leader="none"/>
                          </w:tabs>
                          <w:spacing w:line="160" w:lineRule="exact"/>
                          <w:ind w:left="193" w:right="-25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U-Wert:</w:t>
                          <w:tab/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0.1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54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24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8"/>
                            <w:szCs w:val="8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4 W/m</w:t>
                        </w:r>
                        <w:r>
                          <w:rPr>
                            <w:rFonts w:ascii="Theinhardt Regular"/>
                            <w:color w:val="231F20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sz w:val="8"/>
                          </w:rPr>
                        </w:r>
                      </w:p>
                    </w:tc>
                  </w:tr>
                  <w:tr>
                    <w:trPr>
                      <w:trHeight w:val="188" w:hRule="exact"/>
                    </w:trPr>
                    <w:tc>
                      <w:tcPr>
                        <w:tcW w:w="70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Fenster: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4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4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dreifach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110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927" w:val="left" w:leader="none"/>
                          </w:tabs>
                          <w:spacing w:line="165" w:lineRule="exact"/>
                          <w:ind w:left="193" w:right="-25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U-Wert:</w:t>
                          <w:tab/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0.8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54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24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8"/>
                            <w:szCs w:val="8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2 W/m</w:t>
                        </w:r>
                        <w:r>
                          <w:rPr>
                            <w:rFonts w:ascii="Theinhardt Regular"/>
                            <w:color w:val="231F20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sz w:val="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Regular"/>
          <w:color w:val="231F20"/>
          <w:sz w:val="8"/>
        </w:rPr>
        <w:t>2</w:t>
      </w:r>
      <w:r>
        <w:rPr>
          <w:rFonts w:ascii="Theinhardt Regular"/>
          <w:color w:val="231F20"/>
          <w:position w:val="-4"/>
          <w:sz w:val="14"/>
        </w:rPr>
        <w:t>K</w:t>
      </w:r>
      <w:r>
        <w:rPr>
          <w:rFonts w:ascii="Theinhardt Regular"/>
          <w:sz w:val="14"/>
        </w:rPr>
      </w:r>
    </w:p>
    <w:p>
      <w:pPr>
        <w:spacing w:line="207" w:lineRule="auto" w:before="4"/>
        <w:ind w:left="3122" w:right="279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K K</w:t>
      </w:r>
      <w:r>
        <w:rPr>
          <w:rFonts w:ascii="Theinhardt Regular"/>
          <w:sz w:val="14"/>
        </w:rPr>
      </w:r>
    </w:p>
    <w:p>
      <w:pPr>
        <w:spacing w:before="38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3"/>
          <w:sz w:val="14"/>
        </w:rPr>
        <w:t>E</w:t>
      </w:r>
      <w:r>
        <w:rPr>
          <w:rFonts w:ascii="Theinhardt Bold"/>
          <w:b/>
          <w:color w:val="231F20"/>
          <w:spacing w:val="2"/>
          <w:sz w:val="14"/>
        </w:rPr>
        <w:t>ner</w:t>
      </w:r>
      <w:r>
        <w:rPr>
          <w:rFonts w:ascii="Theinhardt Bold"/>
          <w:b/>
          <w:color w:val="231F20"/>
          <w:spacing w:val="1"/>
          <w:sz w:val="14"/>
        </w:rPr>
        <w:t>g</w:t>
      </w:r>
      <w:r>
        <w:rPr>
          <w:rFonts w:ascii="Theinhardt Bold"/>
          <w:b/>
          <w:color w:val="231F20"/>
          <w:spacing w:val="2"/>
          <w:sz w:val="14"/>
        </w:rPr>
        <w:t>iebeda</w:t>
      </w:r>
      <w:r>
        <w:rPr>
          <w:rFonts w:ascii="Theinhardt Bold"/>
          <w:b/>
          <w:color w:val="231F20"/>
          <w:spacing w:val="4"/>
          <w:sz w:val="14"/>
        </w:rPr>
        <w:t>r</w:t>
      </w:r>
      <w:r>
        <w:rPr>
          <w:rFonts w:ascii="Theinhardt Bold"/>
          <w:b/>
          <w:color w:val="231F20"/>
          <w:sz w:val="14"/>
        </w:rPr>
        <w:t>f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920" w:right="620"/>
          <w:cols w:num="3" w:equalWidth="0">
            <w:col w:w="3446" w:space="126"/>
            <w:col w:w="3446" w:space="126"/>
            <w:col w:w="3566"/>
          </w:cols>
        </w:sectPr>
      </w:pPr>
    </w:p>
    <w:p>
      <w:pPr>
        <w:pStyle w:val="BodyText"/>
        <w:spacing w:line="126" w:lineRule="exact"/>
        <w:ind w:right="0"/>
        <w:jc w:val="left"/>
      </w:pPr>
      <w:r>
        <w:rPr>
          <w:color w:val="231F20"/>
        </w:rPr>
        <w:t>das</w:t>
      </w:r>
      <w:r>
        <w:rPr>
          <w:color w:val="231F20"/>
          <w:spacing w:val="2"/>
        </w:rPr>
        <w:t> </w:t>
      </w:r>
      <w:r>
        <w:rPr>
          <w:color w:val="231F20"/>
          <w:spacing w:val="1"/>
        </w:rPr>
        <w:t>Ortsbild</w:t>
      </w:r>
      <w:r>
        <w:rPr>
          <w:color w:val="231F20"/>
          <w:spacing w:val="2"/>
        </w:rPr>
        <w:t> </w:t>
      </w:r>
      <w:r>
        <w:rPr>
          <w:color w:val="231F20"/>
        </w:rPr>
        <w:t>der</w:t>
      </w:r>
      <w:r>
        <w:rPr>
          <w:color w:val="231F20"/>
          <w:spacing w:val="2"/>
        </w:rPr>
        <w:t> </w:t>
      </w:r>
      <w:r>
        <w:rPr>
          <w:color w:val="231F20"/>
        </w:rPr>
        <w:t>ersten</w:t>
      </w:r>
      <w:r>
        <w:rPr>
          <w:color w:val="231F20"/>
          <w:spacing w:val="2"/>
        </w:rPr>
        <w:t> </w:t>
      </w:r>
      <w:r>
        <w:rPr>
          <w:color w:val="231F20"/>
        </w:rPr>
        <w:t>Stadt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am</w:t>
      </w:r>
      <w:r>
        <w:rPr>
          <w:color w:val="231F20"/>
          <w:spacing w:val="2"/>
        </w:rPr>
        <w:t> </w:t>
      </w:r>
      <w:r>
        <w:rPr>
          <w:color w:val="231F20"/>
        </w:rPr>
        <w:t>Rhein</w:t>
      </w:r>
      <w:r>
        <w:rPr>
          <w:color w:val="231F20"/>
          <w:spacing w:val="2"/>
        </w:rPr>
        <w:t> </w:t>
      </w:r>
      <w:r>
        <w:rPr>
          <w:color w:val="231F20"/>
        </w:rPr>
        <w:t>ein.</w:t>
      </w:r>
      <w:r>
        <w:rPr/>
      </w:r>
    </w:p>
    <w:p>
      <w:pPr>
        <w:pStyle w:val="BodyText"/>
        <w:spacing w:line="126" w:lineRule="exact"/>
        <w:ind w:right="0"/>
        <w:jc w:val="left"/>
      </w:pPr>
      <w:r>
        <w:rPr/>
        <w:br w:type="column"/>
      </w:r>
      <w:r>
        <w:rPr>
          <w:color w:val="231F20"/>
        </w:rPr>
        <w:t>richtet.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Nordseite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produziert</w:t>
      </w:r>
      <w:r>
        <w:rPr>
          <w:color w:val="231F20"/>
          <w:spacing w:val="27"/>
        </w:rPr>
        <w:t> </w:t>
      </w:r>
      <w:r>
        <w:rPr>
          <w:color w:val="231F20"/>
        </w:rPr>
        <w:t>35%,</w:t>
      </w:r>
      <w:r>
        <w:rPr>
          <w:color w:val="231F20"/>
          <w:spacing w:val="17"/>
        </w:rPr>
        <w:t> </w:t>
      </w:r>
      <w:r>
        <w:rPr>
          <w:color w:val="231F20"/>
        </w:rPr>
        <w:t>die</w:t>
      </w:r>
      <w:r>
        <w:rPr/>
      </w:r>
    </w:p>
    <w:p>
      <w:pPr>
        <w:spacing w:line="130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EBF: 269 </w:t>
      </w:r>
      <w:r>
        <w:rPr>
          <w:rFonts w:ascii="Theinhardt Regular"/>
          <w:color w:val="231F20"/>
          <w:spacing w:val="-1"/>
          <w:sz w:val="14"/>
        </w:rPr>
        <w:t>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tabs>
          <w:tab w:pos="999" w:val="left" w:leader="none"/>
          <w:tab w:pos="1464" w:val="left" w:leader="none"/>
        </w:tabs>
        <w:spacing w:line="130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kWh/m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a</w:t>
        <w:tab/>
        <w:t>%</w:t>
        <w:tab/>
        <w:t>kWh/a</w:t>
      </w:r>
      <w:r>
        <w:rPr>
          <w:rFonts w:ascii="Theinhardt Regular"/>
          <w:sz w:val="14"/>
        </w:rPr>
      </w:r>
    </w:p>
    <w:p>
      <w:pPr>
        <w:spacing w:after="0" w:line="130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920" w:right="620"/>
          <w:cols w:num="4" w:equalWidth="0">
            <w:col w:w="3457" w:space="115"/>
            <w:col w:w="3446" w:space="126"/>
            <w:col w:w="878" w:space="535"/>
            <w:col w:w="2153"/>
          </w:cols>
        </w:sectPr>
      </w:pPr>
    </w:p>
    <w:p>
      <w:pPr>
        <w:pStyle w:val="BodyText"/>
        <w:spacing w:line="230" w:lineRule="exact" w:before="94"/>
        <w:ind w:right="0"/>
        <w:jc w:val="both"/>
      </w:pPr>
      <w:r>
        <w:rPr>
          <w:color w:val="231F20"/>
          <w:spacing w:val="1"/>
        </w:rPr>
        <w:t>Das</w:t>
      </w:r>
      <w:r>
        <w:rPr>
          <w:color w:val="231F20"/>
          <w:spacing w:val="13"/>
        </w:rPr>
        <w:t> </w:t>
      </w:r>
      <w:r>
        <w:rPr>
          <w:color w:val="231F20"/>
        </w:rPr>
        <w:t>Holz</w:t>
      </w:r>
      <w:r>
        <w:rPr>
          <w:color w:val="231F20"/>
          <w:spacing w:val="13"/>
        </w:rPr>
        <w:t> </w:t>
      </w:r>
      <w:r>
        <w:rPr>
          <w:color w:val="231F20"/>
        </w:rPr>
        <w:t>des</w:t>
      </w:r>
      <w:r>
        <w:rPr>
          <w:color w:val="231F20"/>
          <w:spacing w:val="2"/>
        </w:rPr>
        <w:t> </w:t>
      </w:r>
      <w:r>
        <w:rPr>
          <w:color w:val="231F20"/>
          <w:spacing w:val="-2"/>
        </w:rPr>
        <w:t>Vorgängergebäudes</w:t>
      </w:r>
      <w:r>
        <w:rPr>
          <w:color w:val="231F20"/>
          <w:spacing w:val="13"/>
        </w:rPr>
        <w:t> </w:t>
      </w:r>
      <w:r>
        <w:rPr>
          <w:color w:val="231F20"/>
        </w:rPr>
        <w:t>–</w:t>
      </w:r>
      <w:r>
        <w:rPr>
          <w:color w:val="231F20"/>
          <w:spacing w:val="13"/>
        </w:rPr>
        <w:t> </w:t>
      </w:r>
      <w:r>
        <w:rPr>
          <w:color w:val="231F20"/>
        </w:rPr>
        <w:t>einem</w:t>
      </w:r>
      <w:r>
        <w:rPr>
          <w:color w:val="231F20"/>
          <w:spacing w:val="24"/>
        </w:rPr>
        <w:t> </w:t>
      </w:r>
      <w:r>
        <w:rPr>
          <w:color w:val="231F20"/>
        </w:rPr>
        <w:t>Stall</w:t>
      </w:r>
      <w:r>
        <w:rPr>
          <w:color w:val="231F20"/>
          <w:spacing w:val="37"/>
        </w:rPr>
        <w:t> </w:t>
      </w:r>
      <w:r>
        <w:rPr>
          <w:color w:val="231F20"/>
        </w:rPr>
        <w:t>–</w:t>
      </w:r>
      <w:r>
        <w:rPr>
          <w:color w:val="231F20"/>
          <w:spacing w:val="38"/>
        </w:rPr>
        <w:t> </w:t>
      </w:r>
      <w:r>
        <w:rPr>
          <w:color w:val="231F20"/>
          <w:spacing w:val="-2"/>
        </w:rPr>
        <w:t>wurde</w:t>
      </w:r>
      <w:r>
        <w:rPr>
          <w:color w:val="231F20"/>
          <w:spacing w:val="37"/>
        </w:rPr>
        <w:t> </w:t>
      </w:r>
      <w:r>
        <w:rPr>
          <w:color w:val="231F20"/>
        </w:rPr>
        <w:t>für</w:t>
      </w:r>
      <w:r>
        <w:rPr>
          <w:color w:val="231F20"/>
          <w:spacing w:val="38"/>
        </w:rPr>
        <w:t> </w:t>
      </w:r>
      <w:r>
        <w:rPr>
          <w:color w:val="231F20"/>
        </w:rPr>
        <w:t>die</w:t>
      </w:r>
      <w:r>
        <w:rPr>
          <w:color w:val="231F20"/>
          <w:spacing w:val="38"/>
        </w:rPr>
        <w:t> </w:t>
      </w:r>
      <w:r>
        <w:rPr>
          <w:color w:val="231F20"/>
        </w:rPr>
        <w:t>Lamellen</w:t>
      </w:r>
      <w:r>
        <w:rPr>
          <w:color w:val="231F20"/>
          <w:spacing w:val="37"/>
        </w:rPr>
        <w:t> </w:t>
      </w:r>
      <w:r>
        <w:rPr>
          <w:color w:val="231F20"/>
        </w:rPr>
        <w:t>des</w:t>
      </w:r>
      <w:r>
        <w:rPr>
          <w:color w:val="231F20"/>
          <w:spacing w:val="38"/>
        </w:rPr>
        <w:t> </w:t>
      </w:r>
      <w:r>
        <w:rPr>
          <w:color w:val="231F20"/>
          <w:spacing w:val="-2"/>
        </w:rPr>
        <w:t>PEB-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Büros</w:t>
      </w:r>
      <w:r>
        <w:rPr>
          <w:color w:val="231F20"/>
          <w:spacing w:val="8"/>
        </w:rPr>
        <w:t> </w:t>
      </w:r>
      <w:r>
        <w:rPr>
          <w:color w:val="231F20"/>
        </w:rPr>
        <w:t>verwendet.</w:t>
      </w:r>
      <w:r>
        <w:rPr>
          <w:color w:val="231F20"/>
          <w:spacing w:val="-3"/>
        </w:rPr>
        <w:t> </w:t>
      </w:r>
      <w:r>
        <w:rPr>
          <w:color w:val="231F20"/>
        </w:rPr>
        <w:t>Sie</w:t>
      </w:r>
      <w:r>
        <w:rPr>
          <w:color w:val="231F20"/>
          <w:spacing w:val="8"/>
        </w:rPr>
        <w:t> </w:t>
      </w:r>
      <w:r>
        <w:rPr>
          <w:color w:val="231F20"/>
        </w:rPr>
        <w:t>schützen</w:t>
      </w:r>
      <w:r>
        <w:rPr>
          <w:color w:val="231F20"/>
          <w:spacing w:val="8"/>
        </w:rPr>
        <w:t> </w:t>
      </w:r>
      <w:r>
        <w:rPr>
          <w:color w:val="231F20"/>
        </w:rPr>
        <w:t>im</w:t>
      </w:r>
      <w:r>
        <w:rPr>
          <w:color w:val="231F20"/>
          <w:spacing w:val="8"/>
        </w:rPr>
        <w:t> </w:t>
      </w:r>
      <w:r>
        <w:rPr>
          <w:color w:val="231F20"/>
        </w:rPr>
        <w:t>Sommer</w:t>
      </w:r>
      <w:r>
        <w:rPr>
          <w:color w:val="231F20"/>
          <w:spacing w:val="20"/>
        </w:rPr>
        <w:t> </w:t>
      </w:r>
      <w:r>
        <w:rPr>
          <w:color w:val="231F20"/>
        </w:rPr>
        <w:t>vor</w:t>
      </w:r>
      <w:r>
        <w:rPr>
          <w:color w:val="231F20"/>
          <w:spacing w:val="19"/>
        </w:rPr>
        <w:t> </w:t>
      </w:r>
      <w:r>
        <w:rPr>
          <w:color w:val="231F20"/>
        </w:rPr>
        <w:t>der</w:t>
      </w:r>
      <w:r>
        <w:rPr>
          <w:color w:val="231F20"/>
          <w:spacing w:val="19"/>
        </w:rPr>
        <w:t> </w:t>
      </w:r>
      <w:r>
        <w:rPr>
          <w:color w:val="231F20"/>
          <w:spacing w:val="1"/>
        </w:rPr>
        <w:t>Hitze</w:t>
      </w:r>
      <w:r>
        <w:rPr>
          <w:color w:val="231F20"/>
          <w:spacing w:val="19"/>
        </w:rPr>
        <w:t> </w:t>
      </w:r>
      <w:r>
        <w:rPr>
          <w:color w:val="231F20"/>
        </w:rPr>
        <w:t>und</w:t>
      </w:r>
      <w:r>
        <w:rPr>
          <w:color w:val="231F20"/>
          <w:spacing w:val="19"/>
        </w:rPr>
        <w:t> </w:t>
      </w:r>
      <w:r>
        <w:rPr>
          <w:color w:val="231F20"/>
        </w:rPr>
        <w:t>nutzen</w:t>
      </w:r>
      <w:r>
        <w:rPr>
          <w:color w:val="231F20"/>
          <w:spacing w:val="19"/>
        </w:rPr>
        <w:t> </w:t>
      </w:r>
      <w:r>
        <w:rPr>
          <w:color w:val="231F20"/>
        </w:rPr>
        <w:t>im</w:t>
      </w:r>
      <w:r>
        <w:rPr>
          <w:color w:val="231F20"/>
          <w:spacing w:val="19"/>
        </w:rPr>
        <w:t> </w:t>
      </w:r>
      <w:r>
        <w:rPr>
          <w:color w:val="231F20"/>
        </w:rPr>
        <w:t>Winter</w:t>
      </w:r>
      <w:r>
        <w:rPr>
          <w:color w:val="231F20"/>
          <w:spacing w:val="19"/>
        </w:rPr>
        <w:t> </w:t>
      </w:r>
      <w:r>
        <w:rPr>
          <w:color w:val="231F20"/>
        </w:rPr>
        <w:t>passiv</w:t>
      </w:r>
      <w:r>
        <w:rPr>
          <w:color w:val="231F20"/>
          <w:spacing w:val="25"/>
        </w:rPr>
        <w:t> </w:t>
      </w:r>
      <w:r>
        <w:rPr>
          <w:color w:val="231F20"/>
        </w:rPr>
        <w:t>die </w:t>
      </w:r>
      <w:r>
        <w:rPr>
          <w:color w:val="231F20"/>
          <w:spacing w:val="-1"/>
        </w:rPr>
        <w:t>Solarenergie.</w:t>
      </w:r>
      <w:r>
        <w:rPr/>
      </w:r>
    </w:p>
    <w:p>
      <w:pPr>
        <w:pStyle w:val="BodyText"/>
        <w:spacing w:line="230" w:lineRule="exact" w:before="0"/>
        <w:ind w:right="0" w:firstLine="226"/>
        <w:jc w:val="both"/>
      </w:pPr>
      <w:r>
        <w:rPr>
          <w:color w:val="231F20"/>
        </w:rPr>
        <w:t>Mit</w:t>
      </w:r>
      <w:r>
        <w:rPr>
          <w:color w:val="231F20"/>
          <w:spacing w:val="23"/>
        </w:rPr>
        <w:t> </w:t>
      </w:r>
      <w:r>
        <w:rPr>
          <w:color w:val="231F20"/>
        </w:rPr>
        <w:t>guter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Wärmedämmung</w:t>
      </w:r>
      <w:r>
        <w:rPr>
          <w:color w:val="231F20"/>
          <w:spacing w:val="23"/>
        </w:rPr>
        <w:t> </w:t>
      </w:r>
      <w:r>
        <w:rPr>
          <w:color w:val="231F20"/>
        </w:rPr>
        <w:t>und</w:t>
      </w:r>
      <w:r>
        <w:rPr>
          <w:color w:val="231F20"/>
          <w:spacing w:val="23"/>
        </w:rPr>
        <w:t> </w:t>
      </w:r>
      <w:r>
        <w:rPr>
          <w:color w:val="231F20"/>
        </w:rPr>
        <w:t>neuster</w:t>
      </w:r>
      <w:r>
        <w:rPr>
          <w:color w:val="231F20"/>
          <w:spacing w:val="23"/>
        </w:rPr>
        <w:t> </w:t>
      </w:r>
      <w:r>
        <w:rPr>
          <w:color w:val="231F20"/>
        </w:rPr>
        <w:t>Gebäudetechnik</w:t>
      </w:r>
      <w:r>
        <w:rPr>
          <w:color w:val="231F20"/>
          <w:spacing w:val="-9"/>
        </w:rPr>
        <w:t> </w:t>
      </w:r>
      <w:r>
        <w:rPr>
          <w:color w:val="231F20"/>
          <w:spacing w:val="1"/>
        </w:rPr>
        <w:t>erfüllt</w:t>
      </w:r>
      <w:r>
        <w:rPr>
          <w:color w:val="231F20"/>
          <w:spacing w:val="-9"/>
        </w:rPr>
        <w:t> </w:t>
      </w:r>
      <w:r>
        <w:rPr>
          <w:color w:val="231F20"/>
        </w:rPr>
        <w:t>das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Büro</w:t>
      </w:r>
      <w:r>
        <w:rPr>
          <w:color w:val="231F20"/>
          <w:spacing w:val="-9"/>
        </w:rPr>
        <w:t> </w:t>
      </w:r>
      <w:r>
        <w:rPr>
          <w:color w:val="231F20"/>
        </w:rPr>
        <w:t>den</w:t>
      </w:r>
      <w:r>
        <w:rPr>
          <w:color w:val="231F20"/>
          <w:spacing w:val="-9"/>
        </w:rPr>
        <w:t> </w:t>
      </w:r>
      <w:r>
        <w:rPr>
          <w:color w:val="231F20"/>
        </w:rPr>
        <w:t>Miner-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gie-P-Standard.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solarbetriebene</w:t>
      </w:r>
      <w:r>
        <w:rPr>
          <w:color w:val="231F20"/>
          <w:spacing w:val="14"/>
        </w:rPr>
        <w:t> </w:t>
      </w:r>
      <w:r>
        <w:rPr>
          <w:color w:val="231F20"/>
          <w:spacing w:val="-2"/>
        </w:rPr>
        <w:t>Wär-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mepumpe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versorgt</w:t>
      </w:r>
      <w:r>
        <w:rPr>
          <w:color w:val="231F20"/>
          <w:spacing w:val="11"/>
        </w:rPr>
        <w:t> </w:t>
      </w:r>
      <w:r>
        <w:rPr>
          <w:color w:val="231F20"/>
        </w:rPr>
        <w:t>den</w:t>
      </w:r>
      <w:r>
        <w:rPr>
          <w:color w:val="231F20"/>
          <w:spacing w:val="11"/>
        </w:rPr>
        <w:t> </w:t>
      </w:r>
      <w:r>
        <w:rPr>
          <w:color w:val="231F20"/>
        </w:rPr>
        <w:t>Neubau</w:t>
      </w:r>
      <w:r>
        <w:rPr>
          <w:color w:val="231F20"/>
          <w:spacing w:val="11"/>
        </w:rPr>
        <w:t> </w:t>
      </w:r>
      <w:r>
        <w:rPr>
          <w:color w:val="231F20"/>
        </w:rPr>
        <w:t>mit</w:t>
      </w:r>
      <w:r>
        <w:rPr>
          <w:color w:val="231F20"/>
          <w:spacing w:val="11"/>
        </w:rPr>
        <w:t> </w:t>
      </w:r>
      <w:r>
        <w:rPr>
          <w:color w:val="231F20"/>
          <w:spacing w:val="-2"/>
        </w:rPr>
        <w:t>Warm-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wasser</w:t>
      </w:r>
      <w:r>
        <w:rPr>
          <w:color w:val="231F20"/>
          <w:spacing w:val="-14"/>
        </w:rPr>
        <w:t> </w:t>
      </w:r>
      <w:r>
        <w:rPr>
          <w:color w:val="231F20"/>
        </w:rPr>
        <w:t>und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Heizenergie.</w:t>
      </w:r>
      <w:r>
        <w:rPr>
          <w:color w:val="231F20"/>
          <w:spacing w:val="-25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-14"/>
        </w:rPr>
        <w:t> </w:t>
      </w:r>
      <w:r>
        <w:rPr>
          <w:color w:val="231F20"/>
        </w:rPr>
        <w:t>Komfortlüftung</w:t>
      </w:r>
      <w:r>
        <w:rPr>
          <w:color w:val="231F20"/>
          <w:spacing w:val="33"/>
        </w:rPr>
        <w:t> </w:t>
      </w:r>
      <w:r>
        <w:rPr>
          <w:color w:val="231F20"/>
          <w:spacing w:val="-2"/>
        </w:rPr>
        <w:t>sorgt</w:t>
      </w:r>
      <w:r>
        <w:rPr>
          <w:color w:val="231F20"/>
          <w:spacing w:val="-11"/>
        </w:rPr>
        <w:t> </w:t>
      </w:r>
      <w:r>
        <w:rPr>
          <w:color w:val="231F20"/>
        </w:rPr>
        <w:t>für</w:t>
      </w:r>
      <w:r>
        <w:rPr>
          <w:color w:val="231F20"/>
          <w:spacing w:val="-11"/>
        </w:rPr>
        <w:t> </w:t>
      </w:r>
      <w:r>
        <w:rPr>
          <w:color w:val="231F20"/>
        </w:rPr>
        <w:t>ein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angenehmes</w:t>
      </w:r>
      <w:r>
        <w:rPr>
          <w:color w:val="231F20"/>
          <w:spacing w:val="-11"/>
        </w:rPr>
        <w:t> </w:t>
      </w:r>
      <w:r>
        <w:rPr>
          <w:color w:val="231F20"/>
        </w:rPr>
        <w:t>Arbeitsklima.</w:t>
      </w:r>
      <w:r>
        <w:rPr>
          <w:color w:val="231F20"/>
          <w:spacing w:val="-21"/>
        </w:rPr>
        <w:t> </w:t>
      </w:r>
      <w:r>
        <w:rPr>
          <w:color w:val="231F20"/>
        </w:rPr>
        <w:t>Eine</w:t>
      </w:r>
      <w:r>
        <w:rPr>
          <w:color w:val="231F20"/>
          <w:spacing w:val="30"/>
        </w:rPr>
        <w:t> </w:t>
      </w:r>
      <w:r>
        <w:rPr>
          <w:color w:val="231F20"/>
        </w:rPr>
        <w:t>eingebaute</w:t>
      </w:r>
      <w:r>
        <w:rPr>
          <w:color w:val="231F20"/>
          <w:spacing w:val="36"/>
        </w:rPr>
        <w:t> </w:t>
      </w:r>
      <w:r>
        <w:rPr>
          <w:color w:val="231F20"/>
        </w:rPr>
        <w:t>Ladestation</w:t>
      </w:r>
      <w:r>
        <w:rPr>
          <w:color w:val="231F20"/>
          <w:spacing w:val="37"/>
        </w:rPr>
        <w:t> </w:t>
      </w:r>
      <w:r>
        <w:rPr>
          <w:color w:val="231F20"/>
          <w:spacing w:val="-1"/>
        </w:rPr>
        <w:t>speist</w:t>
      </w:r>
      <w:r>
        <w:rPr>
          <w:color w:val="231F20"/>
          <w:spacing w:val="36"/>
        </w:rPr>
        <w:t> </w:t>
      </w:r>
      <w:r>
        <w:rPr>
          <w:color w:val="231F20"/>
        </w:rPr>
        <w:t>das</w:t>
      </w:r>
      <w:r>
        <w:rPr>
          <w:color w:val="231F20"/>
          <w:spacing w:val="37"/>
        </w:rPr>
        <w:t> </w:t>
      </w:r>
      <w:r>
        <w:rPr>
          <w:color w:val="231F20"/>
          <w:spacing w:val="-1"/>
        </w:rPr>
        <w:t>E-Auto</w:t>
      </w:r>
      <w:r>
        <w:rPr/>
      </w:r>
    </w:p>
    <w:p>
      <w:pPr>
        <w:pStyle w:val="BodyText"/>
        <w:spacing w:line="230" w:lineRule="exact" w:before="94"/>
        <w:ind w:right="0"/>
        <w:jc w:val="both"/>
      </w:pPr>
      <w:r>
        <w:rPr/>
        <w:br w:type="column"/>
      </w:r>
      <w:r>
        <w:rPr>
          <w:color w:val="231F20"/>
          <w:spacing w:val="-1"/>
        </w:rPr>
        <w:t>Südseite</w:t>
      </w:r>
      <w:r>
        <w:rPr>
          <w:color w:val="231F20"/>
          <w:spacing w:val="-2"/>
        </w:rPr>
        <w:t> </w:t>
      </w:r>
      <w:r>
        <w:rPr>
          <w:color w:val="231F20"/>
        </w:rPr>
        <w:t>65%</w:t>
      </w:r>
      <w:r>
        <w:rPr>
          <w:color w:val="231F20"/>
          <w:spacing w:val="-2"/>
        </w:rPr>
        <w:t> </w:t>
      </w:r>
      <w:r>
        <w:rPr>
          <w:color w:val="231F20"/>
        </w:rPr>
        <w:t>des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gesamten</w:t>
      </w:r>
      <w:r>
        <w:rPr>
          <w:color w:val="231F20"/>
          <w:spacing w:val="-2"/>
        </w:rPr>
        <w:t> </w:t>
      </w:r>
      <w:r>
        <w:rPr>
          <w:color w:val="231F20"/>
        </w:rPr>
        <w:t>erzeugten</w:t>
      </w:r>
      <w:r>
        <w:rPr>
          <w:color w:val="231F20"/>
          <w:spacing w:val="-2"/>
        </w:rPr>
        <w:t> </w:t>
      </w:r>
      <w:r>
        <w:rPr>
          <w:color w:val="231F20"/>
        </w:rPr>
        <w:t>So-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larstroms</w:t>
      </w:r>
      <w:r>
        <w:rPr>
          <w:color w:val="231F20"/>
          <w:spacing w:val="39"/>
        </w:rPr>
        <w:t> </w:t>
      </w:r>
      <w:r>
        <w:rPr>
          <w:color w:val="231F20"/>
        </w:rPr>
        <w:t>von</w:t>
      </w:r>
      <w:r>
        <w:rPr>
          <w:color w:val="231F20"/>
          <w:spacing w:val="40"/>
        </w:rPr>
        <w:t> </w:t>
      </w:r>
      <w:r>
        <w:rPr>
          <w:color w:val="231F20"/>
        </w:rPr>
        <w:t>rund</w:t>
      </w:r>
      <w:r>
        <w:rPr>
          <w:color w:val="231F20"/>
          <w:spacing w:val="39"/>
        </w:rPr>
        <w:t> </w:t>
      </w:r>
      <w:r>
        <w:rPr>
          <w:color w:val="231F20"/>
        </w:rPr>
        <w:t>15’900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29"/>
        </w:rPr>
        <w:t> </w:t>
      </w:r>
      <w:r>
        <w:rPr>
          <w:color w:val="231F20"/>
        </w:rPr>
        <w:t>Somit</w:t>
      </w:r>
      <w:r>
        <w:rPr>
          <w:color w:val="231F20"/>
          <w:spacing w:val="28"/>
        </w:rPr>
        <w:t> </w:t>
      </w:r>
      <w:r>
        <w:rPr>
          <w:color w:val="231F20"/>
        </w:rPr>
        <w:t>deckt</w:t>
      </w:r>
      <w:r>
        <w:rPr>
          <w:color w:val="231F20"/>
          <w:spacing w:val="42"/>
        </w:rPr>
        <w:t> </w:t>
      </w:r>
      <w:r>
        <w:rPr>
          <w:color w:val="231F20"/>
        </w:rPr>
        <w:t>der</w:t>
      </w:r>
      <w:r>
        <w:rPr>
          <w:color w:val="231F20"/>
          <w:spacing w:val="43"/>
        </w:rPr>
        <w:t> </w:t>
      </w:r>
      <w:r>
        <w:rPr>
          <w:color w:val="231F20"/>
          <w:spacing w:val="-2"/>
        </w:rPr>
        <w:t>PEB</w:t>
      </w:r>
      <w:r>
        <w:rPr>
          <w:color w:val="231F20"/>
          <w:spacing w:val="42"/>
        </w:rPr>
        <w:t> </w:t>
      </w:r>
      <w:r>
        <w:rPr>
          <w:color w:val="231F20"/>
        </w:rPr>
        <w:t>den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Gesamtenergiebedarf</w:t>
      </w:r>
      <w:r>
        <w:rPr>
          <w:color w:val="231F20"/>
          <w:spacing w:val="37"/>
        </w:rPr>
        <w:t> </w:t>
      </w:r>
      <w:r>
        <w:rPr>
          <w:color w:val="231F20"/>
        </w:rPr>
        <w:t>und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produziert</w:t>
      </w:r>
      <w:r>
        <w:rPr>
          <w:color w:val="231F20"/>
          <w:spacing w:val="7"/>
        </w:rPr>
        <w:t> </w:t>
      </w:r>
      <w:r>
        <w:rPr>
          <w:color w:val="231F20"/>
        </w:rPr>
        <w:t>zudem</w:t>
      </w:r>
      <w:r>
        <w:rPr>
          <w:color w:val="231F20"/>
          <w:spacing w:val="7"/>
        </w:rPr>
        <w:t> </w:t>
      </w:r>
      <w:r>
        <w:rPr>
          <w:color w:val="231F20"/>
        </w:rPr>
        <w:t>jedes</w:t>
      </w:r>
      <w:r>
        <w:rPr>
          <w:color w:val="231F20"/>
          <w:spacing w:val="7"/>
        </w:rPr>
        <w:t> </w:t>
      </w:r>
      <w:r>
        <w:rPr>
          <w:color w:val="231F20"/>
        </w:rPr>
        <w:t>Jahr</w:t>
      </w:r>
      <w:r>
        <w:rPr>
          <w:color w:val="231F20"/>
          <w:spacing w:val="7"/>
        </w:rPr>
        <w:t> </w:t>
      </w:r>
      <w:r>
        <w:rPr>
          <w:color w:val="231F20"/>
        </w:rPr>
        <w:t>einen</w:t>
      </w:r>
      <w:r>
        <w:rPr>
          <w:color w:val="231F20"/>
          <w:spacing w:val="7"/>
        </w:rPr>
        <w:t> </w:t>
      </w:r>
      <w:r>
        <w:rPr>
          <w:color w:val="231F20"/>
        </w:rPr>
        <w:t>So-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larstromüberschuss</w:t>
      </w:r>
      <w:r>
        <w:rPr>
          <w:color w:val="231F20"/>
          <w:spacing w:val="3"/>
        </w:rPr>
        <w:t> </w:t>
      </w:r>
      <w:r>
        <w:rPr>
          <w:color w:val="231F20"/>
        </w:rPr>
        <w:t>von</w:t>
      </w:r>
      <w:r>
        <w:rPr>
          <w:color w:val="231F20"/>
          <w:spacing w:val="3"/>
        </w:rPr>
        <w:t> </w:t>
      </w:r>
      <w:r>
        <w:rPr>
          <w:color w:val="231F20"/>
        </w:rPr>
        <w:t>3’500</w:t>
      </w:r>
      <w:r>
        <w:rPr>
          <w:color w:val="231F20"/>
          <w:spacing w:val="3"/>
        </w:rPr>
        <w:t> </w:t>
      </w:r>
      <w:r>
        <w:rPr>
          <w:color w:val="231F20"/>
        </w:rPr>
        <w:t>kWh</w:t>
      </w:r>
      <w:r>
        <w:rPr>
          <w:color w:val="231F20"/>
          <w:spacing w:val="3"/>
        </w:rPr>
        <w:t> </w:t>
      </w:r>
      <w:r>
        <w:rPr>
          <w:color w:val="231F20"/>
        </w:rPr>
        <w:t>oder</w:t>
      </w:r>
      <w:r>
        <w:rPr>
          <w:color w:val="231F20"/>
          <w:spacing w:val="28"/>
        </w:rPr>
        <w:t> </w:t>
      </w:r>
      <w:r>
        <w:rPr>
          <w:color w:val="231F20"/>
        </w:rPr>
        <w:t>29%,</w:t>
      </w:r>
      <w:r>
        <w:rPr>
          <w:color w:val="231F20"/>
          <w:spacing w:val="8"/>
        </w:rPr>
        <w:t> </w:t>
      </w:r>
      <w:r>
        <w:rPr>
          <w:color w:val="231F20"/>
          <w:spacing w:val="-1"/>
        </w:rPr>
        <w:t>ohne</w:t>
      </w:r>
      <w:r>
        <w:rPr>
          <w:color w:val="231F20"/>
          <w:spacing w:val="18"/>
        </w:rPr>
        <w:t> </w:t>
      </w:r>
      <w:r>
        <w:rPr>
          <w:color w:val="231F20"/>
        </w:rPr>
        <w:t>E-Mobil</w:t>
      </w:r>
      <w:r>
        <w:rPr>
          <w:color w:val="231F20"/>
          <w:spacing w:val="18"/>
        </w:rPr>
        <w:t> </w:t>
      </w:r>
      <w:r>
        <w:rPr>
          <w:color w:val="231F20"/>
        </w:rPr>
        <w:t>ca.</w:t>
      </w:r>
      <w:r>
        <w:rPr>
          <w:color w:val="231F20"/>
          <w:spacing w:val="8"/>
        </w:rPr>
        <w:t> </w:t>
      </w:r>
      <w:r>
        <w:rPr>
          <w:color w:val="231F20"/>
        </w:rPr>
        <w:t>4’900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19"/>
        </w:rPr>
        <w:t> </w:t>
      </w:r>
      <w:r>
        <w:rPr>
          <w:color w:val="231F20"/>
        </w:rPr>
        <w:t>oder</w:t>
      </w:r>
      <w:r>
        <w:rPr>
          <w:color w:val="231F20"/>
          <w:spacing w:val="29"/>
        </w:rPr>
        <w:t> </w:t>
      </w:r>
      <w:r>
        <w:rPr>
          <w:color w:val="231F20"/>
        </w:rPr>
        <w:t>45%.</w:t>
      </w:r>
      <w:r>
        <w:rPr>
          <w:color w:val="231F20"/>
          <w:spacing w:val="-23"/>
        </w:rPr>
        <w:t> </w:t>
      </w:r>
      <w:r>
        <w:rPr>
          <w:color w:val="231F20"/>
          <w:spacing w:val="1"/>
        </w:rPr>
        <w:t>Das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innovative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Bürogebäude</w:t>
      </w:r>
      <w:r>
        <w:rPr>
          <w:color w:val="231F20"/>
          <w:spacing w:val="-13"/>
        </w:rPr>
        <w:t> </w:t>
      </w:r>
      <w:r>
        <w:rPr>
          <w:color w:val="231F20"/>
        </w:rPr>
        <w:t>dient</w:t>
      </w:r>
      <w:r>
        <w:rPr>
          <w:color w:val="231F20"/>
          <w:spacing w:val="-13"/>
        </w:rPr>
        <w:t> </w:t>
      </w:r>
      <w:r>
        <w:rPr>
          <w:color w:val="231F20"/>
        </w:rPr>
        <w:t>als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Vorzeigebau</w:t>
      </w:r>
      <w:r>
        <w:rPr>
          <w:color w:val="231F20"/>
          <w:spacing w:val="18"/>
        </w:rPr>
        <w:t> </w:t>
      </w:r>
      <w:r>
        <w:rPr>
          <w:color w:val="231F20"/>
        </w:rPr>
        <w:t>für</w:t>
      </w:r>
      <w:r>
        <w:rPr>
          <w:color w:val="231F20"/>
          <w:spacing w:val="18"/>
        </w:rPr>
        <w:t> </w:t>
      </w:r>
      <w:r>
        <w:rPr>
          <w:color w:val="231F20"/>
        </w:rPr>
        <w:t>die</w:t>
      </w:r>
      <w:r>
        <w:rPr>
          <w:color w:val="231F20"/>
          <w:spacing w:val="8"/>
        </w:rPr>
        <w:t> </w:t>
      </w:r>
      <w:r>
        <w:rPr>
          <w:color w:val="231F20"/>
        </w:rPr>
        <w:t>Vincenz</w:t>
      </w:r>
      <w:r>
        <w:rPr>
          <w:color w:val="231F20"/>
          <w:spacing w:val="18"/>
        </w:rPr>
        <w:t> </w:t>
      </w:r>
      <w:r>
        <w:rPr>
          <w:color w:val="231F20"/>
          <w:spacing w:val="-1"/>
        </w:rPr>
        <w:t>Weishaupt</w:t>
      </w:r>
      <w:r>
        <w:rPr>
          <w:color w:val="231F20"/>
          <w:spacing w:val="18"/>
        </w:rPr>
        <w:t> </w:t>
      </w:r>
      <w:r>
        <w:rPr>
          <w:color w:val="231F20"/>
        </w:rPr>
        <w:t>Ar-</w:t>
      </w:r>
      <w:r>
        <w:rPr>
          <w:color w:val="231F20"/>
          <w:spacing w:val="21"/>
        </w:rPr>
        <w:t> </w:t>
      </w:r>
      <w:r>
        <w:rPr>
          <w:color w:val="231F20"/>
        </w:rPr>
        <w:t>chitekten.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Für</w:t>
      </w:r>
      <w:r>
        <w:rPr>
          <w:color w:val="231F20"/>
          <w:spacing w:val="32"/>
        </w:rPr>
        <w:t> </w:t>
      </w:r>
      <w:r>
        <w:rPr>
          <w:color w:val="231F20"/>
        </w:rPr>
        <w:t>das</w:t>
      </w:r>
      <w:r>
        <w:rPr>
          <w:color w:val="231F20"/>
          <w:spacing w:val="33"/>
        </w:rPr>
        <w:t> </w:t>
      </w:r>
      <w:r>
        <w:rPr>
          <w:color w:val="231F20"/>
        </w:rPr>
        <w:t>gelungene</w:t>
      </w:r>
      <w:r>
        <w:rPr>
          <w:color w:val="231F20"/>
          <w:spacing w:val="32"/>
        </w:rPr>
        <w:t> </w:t>
      </w:r>
      <w:r>
        <w:rPr>
          <w:color w:val="231F20"/>
          <w:spacing w:val="-2"/>
        </w:rPr>
        <w:t>Energiekon-</w:t>
      </w:r>
      <w:r>
        <w:rPr>
          <w:color w:val="231F20"/>
          <w:spacing w:val="26"/>
        </w:rPr>
        <w:t> </w:t>
      </w:r>
      <w:r>
        <w:rPr>
          <w:color w:val="231F20"/>
        </w:rPr>
        <w:t>zept mit der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CO</w:t>
      </w:r>
      <w:r>
        <w:rPr>
          <w:color w:val="231F20"/>
          <w:spacing w:val="-1"/>
          <w:position w:val="-5"/>
          <w:sz w:val="10"/>
          <w:szCs w:val="10"/>
        </w:rPr>
        <w:t>2</w:t>
      </w:r>
      <w:r>
        <w:rPr>
          <w:color w:val="231F20"/>
          <w:spacing w:val="-1"/>
        </w:rPr>
        <w:t>-freien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Versorgung</w:t>
      </w:r>
      <w:r>
        <w:rPr>
          <w:color w:val="231F20"/>
        </w:rPr>
        <w:t> des</w:t>
      </w:r>
      <w:r>
        <w:rPr>
          <w:color w:val="231F20"/>
          <w:spacing w:val="1"/>
        </w:rPr>
        <w:t> </w:t>
      </w:r>
      <w:r>
        <w:rPr>
          <w:color w:val="231F20"/>
        </w:rPr>
        <w:t>Ge-</w:t>
      </w:r>
      <w:r>
        <w:rPr>
          <w:color w:val="231F20"/>
          <w:spacing w:val="25"/>
        </w:rPr>
        <w:t> </w:t>
      </w:r>
      <w:r>
        <w:rPr>
          <w:color w:val="231F20"/>
        </w:rPr>
        <w:t>bäudes</w:t>
      </w:r>
      <w:r>
        <w:rPr>
          <w:color w:val="231F20"/>
          <w:spacing w:val="38"/>
        </w:rPr>
        <w:t> </w:t>
      </w:r>
      <w:r>
        <w:rPr>
          <w:color w:val="231F20"/>
        </w:rPr>
        <w:t>und</w:t>
      </w:r>
      <w:r>
        <w:rPr>
          <w:color w:val="231F20"/>
          <w:spacing w:val="39"/>
        </w:rPr>
        <w:t> </w:t>
      </w:r>
      <w:r>
        <w:rPr>
          <w:color w:val="231F20"/>
        </w:rPr>
        <w:t>des</w:t>
      </w:r>
      <w:r>
        <w:rPr>
          <w:color w:val="231F20"/>
          <w:spacing w:val="27"/>
        </w:rPr>
        <w:t> </w:t>
      </w:r>
      <w:r>
        <w:rPr>
          <w:color w:val="231F20"/>
          <w:spacing w:val="-3"/>
        </w:rPr>
        <w:t>Verkehrs</w:t>
      </w:r>
      <w:r>
        <w:rPr>
          <w:color w:val="231F20"/>
          <w:spacing w:val="39"/>
        </w:rPr>
        <w:t> </w:t>
      </w:r>
      <w:r>
        <w:rPr>
          <w:color w:val="231F20"/>
          <w:spacing w:val="-1"/>
        </w:rPr>
        <w:t>verdient</w:t>
      </w:r>
      <w:r>
        <w:rPr>
          <w:color w:val="231F20"/>
          <w:spacing w:val="39"/>
        </w:rPr>
        <w:t> </w:t>
      </w:r>
      <w:r>
        <w:rPr>
          <w:color w:val="231F20"/>
        </w:rPr>
        <w:t>der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Büroneubau</w:t>
      </w:r>
      <w:r>
        <w:rPr>
          <w:color w:val="231F20"/>
        </w:rPr>
        <w:t> das </w:t>
      </w:r>
      <w:r>
        <w:rPr>
          <w:color w:val="231F20"/>
          <w:spacing w:val="-1"/>
        </w:rPr>
        <w:t>PEB-Diplom</w:t>
      </w:r>
      <w:r>
        <w:rPr>
          <w:color w:val="231F20"/>
        </w:rPr>
        <w:t> 2018.</w:t>
      </w:r>
      <w:r>
        <w:rPr/>
      </w:r>
    </w:p>
    <w:p>
      <w:pPr>
        <w:tabs>
          <w:tab w:pos="1876" w:val="left" w:leader="none"/>
          <w:tab w:pos="2385" w:val="left" w:leader="none"/>
          <w:tab w:pos="2916" w:val="left" w:leader="none"/>
        </w:tabs>
        <w:spacing w:line="142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Warmwasser:</w:t>
        <w:tab/>
      </w: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6.9</w:t>
        <w:tab/>
      </w:r>
      <w:r>
        <w:rPr>
          <w:rFonts w:ascii="Theinhardt Regular" w:hAnsi="Theinhardt Regular" w:cs="Theinhardt Regular" w:eastAsia="Theinhardt Regular"/>
          <w:color w:val="231F20"/>
          <w:spacing w:val="-5"/>
          <w:sz w:val="14"/>
          <w:szCs w:val="14"/>
        </w:rPr>
        <w:t>17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1’856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794" w:val="left" w:leader="none"/>
          <w:tab w:pos="2375" w:val="left" w:leader="none"/>
          <w:tab w:pos="2907" w:val="left" w:leader="none"/>
        </w:tabs>
        <w:spacing w:line="160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Heizung: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29.5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72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7’935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876" w:val="left" w:leader="none"/>
          <w:tab w:pos="2387" w:val="left" w:leader="none"/>
          <w:tab w:pos="2912" w:val="left" w:leader="none"/>
        </w:tabs>
        <w:spacing w:line="160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4.5</w:t>
        <w:tab/>
      </w:r>
      <w:r>
        <w:rPr>
          <w:rFonts w:ascii="Theinhardt Regular" w:hAnsi="Theinhardt Regular" w:cs="Theinhardt Regular" w:eastAsia="Theinhardt Regular"/>
          <w:color w:val="231F20"/>
          <w:spacing w:val="-7"/>
          <w:sz w:val="14"/>
          <w:szCs w:val="14"/>
        </w:rPr>
        <w:t>11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1’200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783" w:val="left" w:leader="none"/>
          <w:tab w:pos="2292" w:val="left" w:leader="none"/>
          <w:tab w:pos="2820" w:val="left" w:leader="none"/>
        </w:tabs>
        <w:spacing w:line="172" w:lineRule="exact" w:before="0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Gesamt-EB:</w:t>
        <w:tab/>
      </w:r>
      <w:r>
        <w:rPr>
          <w:rFonts w:ascii="Theinhardt Bold" w:hAnsi="Theinhardt Bold" w:cs="Theinhardt Bold" w:eastAsia="Theinhardt Bold"/>
          <w:b/>
          <w:bCs/>
          <w:color w:val="231F20"/>
          <w:w w:val="95"/>
          <w:sz w:val="14"/>
          <w:szCs w:val="14"/>
        </w:rPr>
        <w:t>40.9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10’991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1734" w:val="left" w:leader="none"/>
          <w:tab w:pos="2297" w:val="left" w:leader="none"/>
          <w:tab w:pos="2412" w:val="left" w:leader="none"/>
          <w:tab w:pos="2840" w:val="left" w:leader="none"/>
        </w:tabs>
        <w:spacing w:line="207" w:lineRule="auto" w:before="5"/>
        <w:ind w:left="100" w:right="278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Eigen-EV: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1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     </w:t>
      </w:r>
      <w:r>
        <w:rPr>
          <w:rFonts w:ascii="Theinhardt Regular" w:hAnsi="Theinhardt Regular" w:cs="Theinhardt Regular" w:eastAsia="Theinhardt Regular"/>
          <w:color w:val="231F20"/>
          <w:spacing w:val="2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kWp </w:t>
      </w:r>
      <w:r>
        <w:rPr>
          <w:rFonts w:ascii="Theinhardt Regular" w:hAnsi="Theinhardt Regular" w:cs="Theinhardt Regular" w:eastAsia="Theinhardt Regular"/>
          <w:color w:val="231F20"/>
          <w:spacing w:val="3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</w:t>
        <w:tab/>
        <w:tab/>
        <w:t>%</w:t>
        <w:tab/>
        <w:t>kWh/a</w:t>
      </w:r>
      <w:r>
        <w:rPr>
          <w:rFonts w:ascii="Theinhardt Regular" w:hAnsi="Theinhardt Regular" w:cs="Theinhardt Regular" w:eastAsia="Theinhardt Regular"/>
          <w:color w:val="231F20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Dach: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2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92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15.5</w:t>
        <w:tab/>
      </w:r>
      <w:r>
        <w:rPr>
          <w:rFonts w:ascii="Theinhardt Regular" w:hAnsi="Theinhardt Regular" w:cs="Theinhardt Regular" w:eastAsia="Theinhardt Regular"/>
          <w:color w:val="231F20"/>
          <w:spacing w:val="-5"/>
          <w:sz w:val="14"/>
          <w:szCs w:val="14"/>
        </w:rPr>
        <w:t>173.1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145</w:t>
        <w:tab/>
        <w:t>15’923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spacing w:before="1"/>
        <w:ind w:left="100" w:right="0" w:firstLine="0"/>
        <w:jc w:val="left"/>
        <w:rPr>
          <w:rFonts w:ascii="Theinhardt Regular" w:hAnsi="Theinhardt Regular" w:cs="Theinhardt Regular" w:eastAsia="Theinhardt Regular"/>
          <w:sz w:val="12"/>
          <w:szCs w:val="12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2"/>
          <w:szCs w:val="12"/>
        </w:rPr>
        <w:t>PV</w:t>
      </w:r>
      <w:r>
        <w:rPr>
          <w:rFonts w:ascii="Theinhardt Regular" w:hAnsi="Theinhardt Regular" w:cs="Theinhardt Regular" w:eastAsia="Theinhardt Regular"/>
          <w:color w:val="231F20"/>
          <w:sz w:val="12"/>
          <w:szCs w:val="12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2"/>
          <w:szCs w:val="12"/>
        </w:rPr>
        <w:t>Süd:</w:t>
      </w:r>
      <w:r>
        <w:rPr>
          <w:rFonts w:ascii="Theinhardt Regular" w:hAnsi="Theinhardt Regular" w:cs="Theinhardt Regular" w:eastAsia="Theinhardt Regular"/>
          <w:color w:val="231F20"/>
          <w:sz w:val="12"/>
          <w:szCs w:val="12"/>
        </w:rPr>
        <w:t> 10’339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2"/>
          <w:szCs w:val="12"/>
        </w:rPr>
        <w:t>kWh/a</w:t>
      </w:r>
      <w:r>
        <w:rPr>
          <w:rFonts w:ascii="Theinhardt Regular" w:hAnsi="Theinhardt Regular" w:cs="Theinhardt Regular" w:eastAsia="Theinhardt Regular"/>
          <w:color w:val="231F20"/>
          <w:sz w:val="12"/>
          <w:szCs w:val="12"/>
        </w:rPr>
        <w:t> (65%),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2"/>
          <w:szCs w:val="12"/>
        </w:rPr>
        <w:t>PV</w:t>
      </w:r>
      <w:r>
        <w:rPr>
          <w:rFonts w:ascii="Theinhardt Regular" w:hAnsi="Theinhardt Regular" w:cs="Theinhardt Regular" w:eastAsia="Theinhardt Regular"/>
          <w:color w:val="231F20"/>
          <w:sz w:val="12"/>
          <w:szCs w:val="12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2"/>
          <w:szCs w:val="12"/>
        </w:rPr>
        <w:t>Nord:</w:t>
      </w:r>
      <w:r>
        <w:rPr>
          <w:rFonts w:ascii="Theinhardt Regular" w:hAnsi="Theinhardt Regular" w:cs="Theinhardt Regular" w:eastAsia="Theinhardt Regular"/>
          <w:color w:val="231F20"/>
          <w:sz w:val="12"/>
          <w:szCs w:val="12"/>
        </w:rPr>
        <w:t> 5’584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2"/>
          <w:szCs w:val="12"/>
        </w:rPr>
        <w:t>kWh/a</w:t>
      </w:r>
      <w:r>
        <w:rPr>
          <w:rFonts w:ascii="Theinhardt Regular" w:hAnsi="Theinhardt Regular" w:cs="Theinhardt Regular" w:eastAsia="Theinhardt Regular"/>
          <w:color w:val="231F20"/>
          <w:sz w:val="12"/>
          <w:szCs w:val="12"/>
        </w:rPr>
        <w:t> (35%)</w:t>
      </w:r>
      <w:r>
        <w:rPr>
          <w:rFonts w:ascii="Theinhardt Regular" w:hAnsi="Theinhardt Regular" w:cs="Theinhardt Regular" w:eastAsia="Theinhardt Regular"/>
          <w:sz w:val="12"/>
          <w:szCs w:val="12"/>
        </w:rPr>
      </w:r>
    </w:p>
    <w:p>
      <w:pPr>
        <w:tabs>
          <w:tab w:pos="2440" w:val="left" w:leader="none"/>
          <w:tab w:pos="2877" w:val="left" w:leader="none"/>
        </w:tabs>
        <w:spacing w:line="172" w:lineRule="exact" w:before="39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Energiebilanz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(Endenergie)</w:t>
        <w:tab/>
      </w:r>
      <w:r>
        <w:rPr>
          <w:rFonts w:ascii="Theinhardt Regular"/>
          <w:color w:val="231F20"/>
          <w:sz w:val="14"/>
        </w:rPr>
        <w:t>%</w:t>
        <w:tab/>
      </w:r>
      <w:r>
        <w:rPr>
          <w:rFonts w:ascii="Theinhardt Regular"/>
          <w:color w:val="231F20"/>
          <w:spacing w:val="-1"/>
          <w:sz w:val="14"/>
        </w:rPr>
        <w:t>kWh/a</w:t>
      </w:r>
      <w:r>
        <w:rPr>
          <w:rFonts w:ascii="Theinhardt Regular"/>
          <w:sz w:val="14"/>
        </w:rPr>
      </w:r>
    </w:p>
    <w:p>
      <w:pPr>
        <w:tabs>
          <w:tab w:pos="2320" w:val="left" w:leader="none"/>
          <w:tab w:pos="2822" w:val="left" w:leader="none"/>
        </w:tabs>
        <w:spacing w:line="172" w:lineRule="exact" w:before="0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w w:val="95"/>
          <w:sz w:val="14"/>
          <w:szCs w:val="14"/>
        </w:rPr>
        <w:t>145</w:t>
        <w:tab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15’923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2"/>
          <w:szCs w:val="2"/>
        </w:rPr>
      </w:pPr>
    </w:p>
    <w:tbl>
      <w:tblPr>
        <w:tblW w:w="0" w:type="auto"/>
        <w:jc w:val="left"/>
        <w:tblInd w:w="4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79"/>
        <w:gridCol w:w="776"/>
        <w:gridCol w:w="635"/>
      </w:tblGrid>
      <w:tr>
        <w:trPr>
          <w:trHeight w:val="121" w:hRule="exact"/>
        </w:trPr>
        <w:tc>
          <w:tcPr>
            <w:tcW w:w="18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1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2"/>
                <w:sz w:val="14"/>
              </w:rPr>
              <w:t>Gesamtenergiebedarf: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7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1" w:lineRule="exact"/>
              <w:ind w:left="39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1"/>
                <w:sz w:val="14"/>
              </w:rPr>
              <w:t>100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1" w:lineRule="exact"/>
              <w:ind w:left="132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-2"/>
                <w:sz w:val="14"/>
                <w:szCs w:val="14"/>
              </w:rPr>
              <w:t>10’991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12" w:hRule="exact"/>
        </w:trPr>
        <w:tc>
          <w:tcPr>
            <w:tcW w:w="18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2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color w:val="231F20"/>
                <w:spacing w:val="2"/>
                <w:sz w:val="14"/>
              </w:rPr>
              <w:t>Solarstromüberschuss:</w:t>
            </w:r>
            <w:r>
              <w:rPr>
                <w:rFonts w:ascii="Theinhardt Regular" w:hAnsi="Theinhardt Regular"/>
                <w:sz w:val="14"/>
              </w:rPr>
            </w:r>
          </w:p>
        </w:tc>
        <w:tc>
          <w:tcPr>
            <w:tcW w:w="7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2" w:lineRule="exact"/>
              <w:ind w:left="47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2"/>
                <w:sz w:val="14"/>
              </w:rPr>
              <w:t>4</w:t>
            </w:r>
            <w:r>
              <w:rPr>
                <w:rFonts w:ascii="Theinhardt Regular"/>
                <w:color w:val="231F20"/>
                <w:sz w:val="14"/>
              </w:rPr>
              <w:t>5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2" w:lineRule="exact"/>
              <w:ind w:left="201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z w:val="14"/>
                <w:szCs w:val="14"/>
              </w:rPr>
              <w:t>4’932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line="172" w:lineRule="exact" w:before="84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Bestätigt von </w:t>
      </w:r>
      <w:r>
        <w:rPr>
          <w:rFonts w:ascii="Theinhardt Bold" w:hAnsi="Theinhardt Bold"/>
          <w:b/>
          <w:color w:val="231F20"/>
          <w:spacing w:val="2"/>
          <w:sz w:val="14"/>
        </w:rPr>
        <w:t>REPOWER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am </w:t>
      </w:r>
      <w:r>
        <w:rPr>
          <w:rFonts w:ascii="Theinhardt Regular" w:hAnsi="Theinhardt Regular"/>
          <w:color w:val="231F20"/>
          <w:spacing w:val="-1"/>
          <w:sz w:val="14"/>
        </w:rPr>
        <w:t>20.06.2018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Jessica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Brandt</w:t>
      </w:r>
      <w:hyperlink r:id="rId6">
        <w:r>
          <w:rPr>
            <w:rFonts w:ascii="Theinhardt Regular"/>
            <w:color w:val="231F20"/>
            <w:spacing w:val="2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kundenbetreuung.ch@repower.com</w:t>
        </w:r>
        <w:r>
          <w:rPr>
            <w:rFonts w:ascii="Theinhardt Regular"/>
            <w:sz w:val="14"/>
          </w:rPr>
        </w:r>
      </w:hyperlink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before="0"/>
        <w:ind w:left="10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z w:val="14"/>
        </w:rPr>
        <w:t>Beteiligte 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Bauherr, </w:t>
      </w:r>
      <w:r>
        <w:rPr>
          <w:rFonts w:ascii="Theinhardt Bold" w:hAnsi="Theinhardt Bold"/>
          <w:b/>
          <w:color w:val="231F20"/>
          <w:spacing w:val="2"/>
          <w:sz w:val="14"/>
        </w:rPr>
        <w:t>Architektur</w:t>
      </w:r>
      <w:r>
        <w:rPr>
          <w:rFonts w:ascii="Theinhardt Bold" w:hAnsi="Theinhardt Bold"/>
          <w:b/>
          <w:color w:val="231F20"/>
          <w:sz w:val="14"/>
        </w:rPr>
        <w:t> und Standort </w:t>
      </w:r>
      <w:r>
        <w:rPr>
          <w:rFonts w:ascii="Theinhardt Bold" w:hAnsi="Theinhardt Bold"/>
          <w:b/>
          <w:color w:val="231F20"/>
          <w:spacing w:val="1"/>
          <w:sz w:val="14"/>
        </w:rPr>
        <w:t>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Gebäudes</w:t>
      </w:r>
      <w:r>
        <w:rPr>
          <w:rFonts w:ascii="Theinhardt Bold" w:hAnsi="Theinhardt Bold"/>
          <w:sz w:val="14"/>
        </w:rPr>
      </w:r>
    </w:p>
    <w:p>
      <w:pPr>
        <w:spacing w:line="207" w:lineRule="auto" w:before="5"/>
        <w:ind w:left="100" w:right="1381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Vincenz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Weishaupt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Architekten</w:t>
      </w:r>
      <w:r>
        <w:rPr>
          <w:rFonts w:ascii="Theinhardt Regular"/>
          <w:color w:val="231F20"/>
          <w:spacing w:val="28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Obere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Giesslistr.</w:t>
      </w:r>
      <w:r>
        <w:rPr>
          <w:rFonts w:ascii="Theinhardt Regular"/>
          <w:color w:val="231F20"/>
          <w:sz w:val="14"/>
        </w:rPr>
        <w:t> 6, </w:t>
      </w:r>
      <w:r>
        <w:rPr>
          <w:rFonts w:ascii="Theinhardt Regular"/>
          <w:color w:val="231F20"/>
          <w:spacing w:val="-3"/>
          <w:sz w:val="14"/>
        </w:rPr>
        <w:t>7130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Ilanz</w:t>
      </w:r>
      <w:r>
        <w:rPr>
          <w:rFonts w:ascii="Theinhardt Regular"/>
          <w:sz w:val="14"/>
        </w:rPr>
      </w:r>
    </w:p>
    <w:p>
      <w:pPr>
        <w:spacing w:line="167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081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925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32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2</w:t>
      </w:r>
      <w:hyperlink r:id="rId7">
        <w:r>
          <w:rPr>
            <w:rFonts w:ascii="Theinhardt Regular"/>
            <w:color w:val="231F20"/>
            <w:spacing w:val="-1"/>
            <w:sz w:val="14"/>
          </w:rPr>
          <w:t>2,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info@vincenz-weishaupt.ch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Bauphysik</w:t>
      </w:r>
      <w:r>
        <w:rPr>
          <w:rFonts w:ascii="Theinhardt Bold"/>
          <w:sz w:val="14"/>
        </w:rPr>
      </w:r>
    </w:p>
    <w:p>
      <w:pPr>
        <w:spacing w:line="207" w:lineRule="auto" w:before="5"/>
        <w:ind w:left="100" w:right="1381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Bernhard-Bauexperte</w:t>
      </w:r>
      <w:r>
        <w:rPr>
          <w:rFonts w:ascii="Theinhardt Regular"/>
          <w:color w:val="231F20"/>
          <w:spacing w:val="28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Masanserstr.</w:t>
      </w:r>
      <w:r>
        <w:rPr>
          <w:rFonts w:ascii="Theinhardt Regular"/>
          <w:color w:val="231F20"/>
          <w:sz w:val="14"/>
        </w:rPr>
        <w:t> 84, </w:t>
      </w:r>
      <w:r>
        <w:rPr>
          <w:rFonts w:ascii="Theinhardt Regular"/>
          <w:color w:val="231F20"/>
          <w:spacing w:val="1"/>
          <w:sz w:val="14"/>
        </w:rPr>
        <w:t>7000</w:t>
      </w:r>
      <w:r>
        <w:rPr>
          <w:rFonts w:ascii="Theinhardt Regular"/>
          <w:color w:val="231F20"/>
          <w:sz w:val="14"/>
        </w:rPr>
        <w:t> Chur</w:t>
      </w:r>
      <w:r>
        <w:rPr>
          <w:rFonts w:ascii="Theinhardt Regular"/>
          <w:sz w:val="14"/>
        </w:rPr>
      </w:r>
    </w:p>
    <w:p>
      <w:pPr>
        <w:spacing w:line="167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081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252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42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14</w:t>
      </w:r>
      <w:r>
        <w:rPr>
          <w:rFonts w:ascii="Theinhardt Regular"/>
          <w:sz w:val="14"/>
        </w:rPr>
      </w:r>
    </w:p>
    <w:p>
      <w:pPr>
        <w:spacing w:line="172" w:lineRule="exact" w:before="32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2"/>
          <w:sz w:val="14"/>
        </w:rPr>
        <w:t>HLS-Planung</w:t>
      </w:r>
      <w:r>
        <w:rPr>
          <w:rFonts w:ascii="Theinhardt Bold"/>
          <w:sz w:val="14"/>
        </w:rPr>
      </w:r>
    </w:p>
    <w:p>
      <w:pPr>
        <w:spacing w:line="207" w:lineRule="auto" w:before="5"/>
        <w:ind w:left="100" w:right="33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HT-Plan </w:t>
      </w:r>
      <w:r>
        <w:rPr>
          <w:rFonts w:ascii="Theinhardt Regular"/>
          <w:color w:val="231F20"/>
          <w:spacing w:val="1"/>
          <w:sz w:val="14"/>
        </w:rPr>
        <w:t>Haustechnik-Planungs</w:t>
      </w:r>
      <w:r>
        <w:rPr>
          <w:rFonts w:ascii="Theinhardt Regular"/>
          <w:color w:val="231F20"/>
          <w:sz w:val="14"/>
        </w:rPr>
        <w:t> AG</w:t>
      </w:r>
      <w:r>
        <w:rPr>
          <w:rFonts w:ascii="Theinhardt Regular"/>
          <w:color w:val="231F20"/>
          <w:spacing w:val="34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Haldensteinerstr.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44,</w:t>
      </w:r>
      <w:r>
        <w:rPr>
          <w:rFonts w:ascii="Theinhardt Regular"/>
          <w:color w:val="231F20"/>
          <w:sz w:val="14"/>
        </w:rPr>
        <w:t> 7001 Chur</w:t>
      </w:r>
      <w:r>
        <w:rPr>
          <w:rFonts w:ascii="Theinhardt Regular"/>
          <w:sz w:val="14"/>
        </w:rPr>
      </w:r>
    </w:p>
    <w:p>
      <w:pPr>
        <w:spacing w:line="167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081</w:t>
      </w:r>
      <w:r>
        <w:rPr>
          <w:rFonts w:ascii="Theinhardt Regular"/>
          <w:color w:val="231F20"/>
          <w:sz w:val="14"/>
        </w:rPr>
        <w:t> 284 69 69</w:t>
      </w:r>
      <w:r>
        <w:rPr>
          <w:rFonts w:ascii="Theinhardt Regular"/>
          <w:sz w:val="14"/>
        </w:rPr>
      </w:r>
    </w:p>
    <w:p>
      <w:pPr>
        <w:spacing w:line="172" w:lineRule="exact" w:before="32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2"/>
          <w:sz w:val="14"/>
        </w:rPr>
        <w:t>Elektro-Planung/Solarstrom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das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licht.gmbh</w:t>
      </w:r>
      <w:r>
        <w:rPr>
          <w:rFonts w:ascii="Theinhardt Regular"/>
          <w:sz w:val="14"/>
        </w:rPr>
      </w:r>
    </w:p>
    <w:p>
      <w:pPr>
        <w:spacing w:line="207" w:lineRule="auto" w:before="5"/>
        <w:ind w:left="100" w:right="175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crep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cavalé,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7154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Ruschein</w:t>
      </w:r>
      <w:r>
        <w:rPr>
          <w:rFonts w:ascii="Theinhardt Regular" w:hAnsi="Theinhardt Regular"/>
          <w:color w:val="231F20"/>
          <w:spacing w:val="22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Tel.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081</w:t>
      </w:r>
      <w:r>
        <w:rPr>
          <w:rFonts w:ascii="Theinhardt Regular" w:hAnsi="Theinhardt Regular"/>
          <w:color w:val="231F20"/>
          <w:sz w:val="14"/>
        </w:rPr>
        <w:t> 936 77 66</w:t>
      </w:r>
      <w:r>
        <w:rPr>
          <w:rFonts w:ascii="Theinhardt Regular" w:hAnsi="Theinhardt Regular"/>
          <w:sz w:val="14"/>
        </w:rPr>
      </w:r>
    </w:p>
    <w:p>
      <w:pPr>
        <w:spacing w:after="0" w:line="207" w:lineRule="auto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920" w:right="620"/>
          <w:cols w:num="3" w:equalWidth="0">
            <w:col w:w="3446" w:space="126"/>
            <w:col w:w="3446" w:space="125"/>
            <w:col w:w="3567"/>
          </w:cols>
        </w:sectPr>
      </w:pP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3"/>
          <w:szCs w:val="3"/>
        </w:rPr>
      </w:pPr>
    </w:p>
    <w:p>
      <w:pPr>
        <w:spacing w:line="20" w:lineRule="atLeast"/>
        <w:ind w:left="7243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5"/>
        <w:rPr>
          <w:rFonts w:ascii="Theinhardt Regular" w:hAnsi="Theinhardt Regular" w:cs="Theinhardt Regular" w:eastAsia="Theinhardt Regular"/>
          <w:sz w:val="12"/>
          <w:szCs w:val="12"/>
        </w:rPr>
      </w:pPr>
    </w:p>
    <w:p>
      <w:pPr>
        <w:spacing w:line="200" w:lineRule="atLeast"/>
        <w:ind w:left="7243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27813" cy="1289304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7813" cy="1289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256" w:val="left" w:leader="none"/>
        </w:tabs>
        <w:spacing w:before="1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51.023998pt;margin-top:-226.978195pt;width:345.827pt;height:226.771pt;mso-position-horizontal-relative:page;mso-position-vertical-relative:paragraph;z-index:1216" type="#_x0000_t75" stroked="false">
            <v:imagedata r:id="rId9" o:title=""/>
          </v:shape>
        </w:pict>
      </w:r>
      <w:r>
        <w:rPr>
          <w:rFonts w:ascii="Theinhardt Bold"/>
          <w:b/>
          <w:color w:val="231F20"/>
          <w:sz w:val="14"/>
        </w:rPr>
        <w:t>1</w:t>
        <w:tab/>
        <w:t>2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20"/>
          <w:szCs w:val="20"/>
        </w:rPr>
        <w:sectPr>
          <w:type w:val="continuous"/>
          <w:pgSz w:w="12250" w:h="17180"/>
          <w:pgMar w:top="1000" w:bottom="280" w:left="920" w:right="620"/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17"/>
          <w:szCs w:val="17"/>
        </w:rPr>
      </w:pPr>
    </w:p>
    <w:p>
      <w:pPr>
        <w:numPr>
          <w:ilvl w:val="0"/>
          <w:numId w:val="1"/>
        </w:numPr>
        <w:tabs>
          <w:tab w:pos="328" w:val="left" w:leader="none"/>
        </w:tabs>
        <w:spacing w:line="160" w:lineRule="exact" w:before="0"/>
        <w:ind w:left="32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Die Holz-Lamellen schützen im Sommer vor </w:t>
      </w:r>
      <w:r>
        <w:rPr>
          <w:rFonts w:ascii="Theinhardt Bold" w:hAnsi="Theinhardt Bold"/>
          <w:b/>
          <w:color w:val="231F20"/>
          <w:spacing w:val="-1"/>
          <w:sz w:val="14"/>
        </w:rPr>
        <w:t>der</w:t>
      </w:r>
      <w:r>
        <w:rPr>
          <w:rFonts w:ascii="Theinhardt Bold" w:hAnsi="Theinhardt Bold"/>
          <w:b/>
          <w:color w:val="231F20"/>
          <w:spacing w:val="29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Hitze und nutzen im Winter passiv </w:t>
      </w:r>
      <w:r>
        <w:rPr>
          <w:rFonts w:ascii="Theinhardt Bold" w:hAnsi="Theinhardt Bold"/>
          <w:b/>
          <w:color w:val="231F20"/>
          <w:spacing w:val="-1"/>
          <w:sz w:val="14"/>
        </w:rPr>
        <w:t>die</w:t>
      </w:r>
      <w:r>
        <w:rPr>
          <w:rFonts w:ascii="Theinhardt Bold" w:hAnsi="Theinhardt Bold"/>
          <w:b/>
          <w:color w:val="231F20"/>
          <w:sz w:val="14"/>
        </w:rPr>
        <w:t> Solar-</w:t>
      </w:r>
      <w:r>
        <w:rPr>
          <w:rFonts w:ascii="Theinhardt Bold" w:hAnsi="Theinhardt Bold"/>
          <w:b/>
          <w:color w:val="231F20"/>
          <w:spacing w:val="26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energie.</w:t>
      </w:r>
      <w:r>
        <w:rPr>
          <w:rFonts w:ascii="Theinhardt Bold" w:hAns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17"/>
          <w:szCs w:val="17"/>
        </w:rPr>
      </w:pPr>
      <w:r>
        <w:rPr/>
        <w:br w:type="column"/>
      </w:r>
      <w:r>
        <w:rPr>
          <w:rFonts w:ascii="Theinhardt Bold"/>
          <w:b/>
          <w:sz w:val="17"/>
        </w:rPr>
      </w:r>
    </w:p>
    <w:p>
      <w:pPr>
        <w:numPr>
          <w:ilvl w:val="0"/>
          <w:numId w:val="1"/>
        </w:numPr>
        <w:tabs>
          <w:tab w:pos="328" w:val="left" w:leader="none"/>
        </w:tabs>
        <w:spacing w:line="160" w:lineRule="exact" w:before="0"/>
        <w:ind w:left="327" w:right="3972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Die 15.5 kW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starke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PV-Anlage auf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dem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Dach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produziert rund 15’900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920" w:right="620"/>
          <w:cols w:num="2" w:equalWidth="0">
            <w:col w:w="3364" w:space="208"/>
            <w:col w:w="7138"/>
          </w:cols>
        </w:sectPr>
      </w:pP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70"/>
        <w:ind w:left="665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Heavy"/>
          <w:b/>
          <w:color w:val="231F20"/>
          <w:sz w:val="14"/>
        </w:rPr>
        <w:t>61</w:t>
      </w:r>
      <w:r>
        <w:rPr>
          <w:rFonts w:ascii="Theinhardt Heavy"/>
          <w:sz w:val="14"/>
        </w:rPr>
      </w:r>
    </w:p>
    <w:sectPr>
      <w:type w:val="continuous"/>
      <w:pgSz w:w="12250" w:h="17180"/>
      <w:pgMar w:top="1000" w:bottom="280" w:left="92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27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30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34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38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41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45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48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52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56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9"/>
      <w:ind w:left="100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kundenbetreuung.ch@repower.com" TargetMode="External"/><Relationship Id="rId7" Type="http://schemas.openxmlformats.org/officeDocument/2006/relationships/hyperlink" Target="mailto:info@vincenz-weishaupt.ch" TargetMode="External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2018-10-02T10:03:48Z</dcterms:created>
  <dcterms:modified xsi:type="dcterms:W3CDTF">2018-10-02T10:03:48Z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