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6" w:val="left" w:leader="none"/>
        </w:tabs>
        <w:spacing w:line="230" w:lineRule="exact" w:before="38"/>
        <w:ind w:left="11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4.14727pt;width:.1pt;height:.1pt;mso-position-horizontal-relative:page;mso-position-vertical-relative:paragraph;z-index:-6640" coordorigin="741,283" coordsize="2,2">
            <v:shape style="position:absolute;left:741;top:283;width:2;height:2" coordorigin="741,283" coordsize="0,0" path="m741,283l741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4.14727pt;width:.1pt;height:.1pt;mso-position-horizontal-relative:page;mso-position-vertical-relative:paragraph;z-index:1120" coordorigin="3185,283" coordsize="2,2">
            <v:shape style="position:absolute;left:3185;top:283;width:2;height:2" coordorigin="3185,283" coordsize="0,0" path="m3185,283l318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64727pt;width:.1pt;height:.1pt;mso-position-horizontal-relative:page;mso-position-vertical-relative:paragraph;z-index:-6592" coordorigin="741,513" coordsize="2,2">
            <v:shape style="position:absolute;left:741;top:513;width:2;height:2" coordorigin="741,513" coordsize="0,0" path="m741,513l741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64727pt;width:.1pt;height:.1pt;mso-position-horizontal-relative:page;mso-position-vertical-relative:paragraph;z-index:1168" coordorigin="3185,513" coordsize="2,2">
            <v:shape style="position:absolute;left:3185;top:513;width:2;height:2" coordorigin="3185,513" coordsize="0,0" path="m3185,513l3185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36.851002pt;margin-top:53.477772pt;width:82.2043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38"/>
        <w:ind w:left="117" w:right="119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Vor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standen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Areal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Aesch/ZH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zwei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Tennishallen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Mehrfamilien-</w:t>
      </w:r>
      <w:r>
        <w:rPr>
          <w:rFonts w:ascii="Theinhardt Bold" w:hAnsi="Theinhardt Bold" w:cs="Theinhardt Bold" w:eastAsia="Theinhardt Bold"/>
          <w:b/>
          <w:bCs/>
          <w:color w:val="231F20"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haus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(MFH).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Jahr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2017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ersetzte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Tennishalle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Feld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AG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beiden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Tennishallen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durch</w:t>
      </w:r>
      <w:r>
        <w:rPr>
          <w:rFonts w:ascii="Theinhardt Bold" w:hAnsi="Theinhardt Bold" w:cs="Theinhardt Bold" w:eastAsia="Theinhardt Bold"/>
          <w:b/>
          <w:bCs/>
          <w:color w:val="231F20"/>
          <w:spacing w:val="7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zwei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neue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MFH.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Bei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diesem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Umbau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lösten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zwei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solarbetriebene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Wärmepumpen die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bestehende</w:t>
      </w:r>
      <w:r>
        <w:rPr>
          <w:rFonts w:ascii="Theinhardt Bold" w:hAnsi="Theinhardt Bold" w:cs="Theinhardt Bold" w:eastAsia="Theinhardt Bold"/>
          <w:b/>
          <w:bCs/>
          <w:color w:val="231F20"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Ölheizung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ab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sichern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seither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Wärmeversorgung.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Tennishalle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Feld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AG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liess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316</w:t>
      </w:r>
      <w:r>
        <w:rPr>
          <w:rFonts w:ascii="Theinhardt Bold" w:hAnsi="Theinhardt Bold" w:cs="Theinhardt Bold" w:eastAsia="Theinhardt Bold"/>
          <w:b/>
          <w:bCs/>
          <w:color w:val="231F20"/>
          <w:spacing w:val="6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Halle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errichten.</w:t>
      </w:r>
      <w:r>
        <w:rPr>
          <w:rFonts w:ascii="Theinhardt Bold" w:hAnsi="Theinhardt Bold" w:cs="Theinhardt Bold" w:eastAsia="Theinhardt Bold"/>
          <w:b/>
          <w:bCs/>
          <w:color w:val="231F20"/>
          <w:spacing w:val="-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Sie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produziert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282’000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Strom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4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deckt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Energiebedarf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Tennishalle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171’200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sowie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Wärmebedarf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drei</w:t>
      </w:r>
      <w:r>
        <w:rPr>
          <w:rFonts w:ascii="Theinhardt Bold" w:hAnsi="Theinhardt Bold" w:cs="Theinhardt Bold" w:eastAsia="Theinhardt Bold"/>
          <w:b/>
          <w:bCs/>
          <w:color w:val="231F20"/>
          <w:spacing w:val="5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MFH.</w:t>
      </w:r>
      <w:r>
        <w:rPr>
          <w:rFonts w:ascii="Theinhardt Bold" w:hAnsi="Theinhardt Bold" w:cs="Theinhardt Bold" w:eastAsia="Theinhardt Bold"/>
          <w:b/>
          <w:bCs/>
          <w:color w:val="231F20"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Tennishalle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165%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Stromüberschuss</w:t>
      </w:r>
      <w:r>
        <w:rPr>
          <w:rFonts w:ascii="Theinhardt Bold" w:hAnsi="Theinhardt Bold" w:cs="Theinhardt Bold" w:eastAsia="Theinhardt Bold"/>
          <w:b/>
          <w:bCs/>
          <w:color w:val="231F20"/>
          <w:spacing w:val="5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 111’000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Damit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könnten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79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E-Mobile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12’000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km CO</w:t>
      </w:r>
      <w:r>
        <w:rPr>
          <w:rFonts w:ascii="Theinhardt Bold" w:hAnsi="Theinhardt Bold" w:cs="Theinhardt Bold" w:eastAsia="Theinhardt Bold"/>
          <w:b/>
          <w:bCs/>
          <w:color w:val="231F20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-frei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fahren.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620" w:right="900"/>
          <w:cols w:num="2" w:equalWidth="0">
            <w:col w:w="2557" w:space="122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4"/>
          <w:sz w:val="40"/>
        </w:rPr>
        <w:t>165%</w:t>
      </w:r>
      <w:r>
        <w:rPr>
          <w:rFonts w:ascii="Theinhardt Black"/>
          <w:b/>
          <w:color w:val="0067B1"/>
          <w:spacing w:val="-1"/>
          <w:sz w:val="40"/>
        </w:rPr>
        <w:t>-</w:t>
      </w:r>
      <w:r>
        <w:rPr>
          <w:rFonts w:ascii="Theinhardt Black"/>
          <w:b/>
          <w:color w:val="0067B1"/>
          <w:spacing w:val="-8"/>
          <w:sz w:val="40"/>
        </w:rPr>
        <w:t>P</w:t>
      </w:r>
      <w:r>
        <w:rPr>
          <w:rFonts w:ascii="Theinhardt Black"/>
          <w:b/>
          <w:color w:val="0067B1"/>
          <w:spacing w:val="-6"/>
          <w:sz w:val="40"/>
        </w:rPr>
        <w:t>E</w:t>
      </w:r>
      <w:r>
        <w:rPr>
          <w:rFonts w:ascii="Theinhardt Black"/>
          <w:b/>
          <w:color w:val="0067B1"/>
          <w:spacing w:val="-4"/>
          <w:sz w:val="40"/>
        </w:rPr>
        <w:t>B</w:t>
      </w:r>
      <w:r>
        <w:rPr>
          <w:rFonts w:ascii="Theinhardt Black"/>
          <w:b/>
          <w:color w:val="0067B1"/>
          <w:spacing w:val="-20"/>
          <w:sz w:val="40"/>
        </w:rPr>
        <w:t>-</w:t>
      </w:r>
      <w:r>
        <w:rPr>
          <w:rFonts w:ascii="Theinhardt Black"/>
          <w:b/>
          <w:color w:val="0067B1"/>
          <w:spacing w:val="4"/>
          <w:sz w:val="40"/>
        </w:rPr>
        <w:t>S</w:t>
      </w:r>
      <w:r>
        <w:rPr>
          <w:rFonts w:ascii="Theinhardt Black"/>
          <w:b/>
          <w:color w:val="0067B1"/>
          <w:sz w:val="40"/>
        </w:rPr>
        <w:t>a</w:t>
      </w:r>
      <w:r>
        <w:rPr>
          <w:rFonts w:ascii="Theinhardt Black"/>
          <w:b/>
          <w:color w:val="0067B1"/>
          <w:spacing w:val="-2"/>
          <w:sz w:val="40"/>
        </w:rPr>
        <w:t>n</w:t>
      </w:r>
      <w:r>
        <w:rPr>
          <w:rFonts w:ascii="Theinhardt Black"/>
          <w:b/>
          <w:color w:val="0067B1"/>
          <w:spacing w:val="-3"/>
          <w:sz w:val="40"/>
        </w:rPr>
        <w:t>i</w:t>
      </w:r>
      <w:r>
        <w:rPr>
          <w:rFonts w:ascii="Theinhardt Black"/>
          <w:b/>
          <w:color w:val="0067B1"/>
          <w:spacing w:val="-2"/>
          <w:sz w:val="40"/>
        </w:rPr>
        <w:t>e</w:t>
      </w:r>
      <w:r>
        <w:rPr>
          <w:rFonts w:ascii="Theinhardt Black"/>
          <w:b/>
          <w:color w:val="0067B1"/>
          <w:spacing w:val="4"/>
          <w:sz w:val="40"/>
        </w:rPr>
        <w:t>r</w:t>
      </w:r>
      <w:r>
        <w:rPr>
          <w:rFonts w:ascii="Theinhardt Black"/>
          <w:b/>
          <w:color w:val="0067B1"/>
          <w:spacing w:val="-2"/>
          <w:sz w:val="40"/>
        </w:rPr>
        <w:t>u</w:t>
      </w:r>
      <w:r>
        <w:rPr>
          <w:rFonts w:ascii="Theinhardt Black"/>
          <w:b/>
          <w:color w:val="0067B1"/>
          <w:spacing w:val="-3"/>
          <w:sz w:val="40"/>
        </w:rPr>
        <w:t>n</w:t>
      </w:r>
      <w:r>
        <w:rPr>
          <w:rFonts w:ascii="Theinhardt Black"/>
          <w:b/>
          <w:color w:val="0067B1"/>
          <w:sz w:val="40"/>
        </w:rPr>
        <w:t>g</w:t>
      </w:r>
      <w:r>
        <w:rPr>
          <w:rFonts w:ascii="Theinhardt Black"/>
          <w:b/>
          <w:color w:val="0067B1"/>
          <w:spacing w:val="-32"/>
          <w:sz w:val="40"/>
        </w:rPr>
        <w:t> </w:t>
      </w:r>
      <w:r>
        <w:rPr>
          <w:rFonts w:ascii="Theinhardt Black"/>
          <w:b/>
          <w:color w:val="0067B1"/>
          <w:spacing w:val="-30"/>
          <w:sz w:val="40"/>
        </w:rPr>
        <w:t>T</w:t>
      </w:r>
      <w:r>
        <w:rPr>
          <w:rFonts w:ascii="Theinhardt Black"/>
          <w:b/>
          <w:color w:val="0067B1"/>
          <w:spacing w:val="-2"/>
          <w:sz w:val="40"/>
        </w:rPr>
        <w:t>enn</w:t>
      </w:r>
      <w:r>
        <w:rPr>
          <w:rFonts w:ascii="Theinhardt Black"/>
          <w:b/>
          <w:color w:val="0067B1"/>
          <w:spacing w:val="4"/>
          <w:sz w:val="40"/>
        </w:rPr>
        <w:t>i</w:t>
      </w:r>
      <w:r>
        <w:rPr>
          <w:rFonts w:ascii="Theinhardt Black"/>
          <w:b/>
          <w:color w:val="0067B1"/>
          <w:spacing w:val="-1"/>
          <w:sz w:val="40"/>
        </w:rPr>
        <w:t>s</w:t>
      </w:r>
      <w:r>
        <w:rPr>
          <w:rFonts w:ascii="Theinhardt Black"/>
          <w:b/>
          <w:color w:val="0067B1"/>
          <w:spacing w:val="1"/>
          <w:sz w:val="40"/>
        </w:rPr>
        <w:t>h</w:t>
      </w:r>
      <w:r>
        <w:rPr>
          <w:rFonts w:ascii="Theinhardt Black"/>
          <w:b/>
          <w:color w:val="0067B1"/>
          <w:sz w:val="40"/>
        </w:rPr>
        <w:t>al</w:t>
      </w:r>
      <w:r>
        <w:rPr>
          <w:rFonts w:ascii="Theinhardt Black"/>
          <w:b/>
          <w:color w:val="0067B1"/>
          <w:spacing w:val="-2"/>
          <w:sz w:val="40"/>
        </w:rPr>
        <w:t>l</w:t>
      </w:r>
      <w:r>
        <w:rPr>
          <w:rFonts w:ascii="Theinhardt Black"/>
          <w:b/>
          <w:color w:val="0067B1"/>
          <w:sz w:val="40"/>
        </w:rPr>
        <w:t>e</w:t>
      </w:r>
      <w:r>
        <w:rPr>
          <w:rFonts w:ascii="Theinhardt Black"/>
          <w:b/>
          <w:color w:val="0067B1"/>
          <w:spacing w:val="-8"/>
          <w:sz w:val="40"/>
        </w:rPr>
        <w:t> F</w:t>
      </w:r>
      <w:r>
        <w:rPr>
          <w:rFonts w:ascii="Theinhardt Black"/>
          <w:b/>
          <w:color w:val="0067B1"/>
          <w:spacing w:val="-2"/>
          <w:sz w:val="40"/>
        </w:rPr>
        <w:t>el</w:t>
      </w:r>
      <w:r>
        <w:rPr>
          <w:rFonts w:ascii="Theinhardt Black"/>
          <w:b/>
          <w:color w:val="0067B1"/>
          <w:spacing w:val="-4"/>
          <w:sz w:val="40"/>
        </w:rPr>
        <w:t>d</w:t>
      </w:r>
      <w:r>
        <w:rPr>
          <w:rFonts w:ascii="Theinhardt Black"/>
          <w:b/>
          <w:color w:val="0067B1"/>
          <w:sz w:val="40"/>
        </w:rPr>
        <w:t>,</w:t>
      </w:r>
      <w:r>
        <w:rPr>
          <w:rFonts w:ascii="Theinhardt Black"/>
          <w:b/>
          <w:color w:val="0067B1"/>
          <w:spacing w:val="-32"/>
          <w:sz w:val="40"/>
        </w:rPr>
        <w:t> </w:t>
      </w:r>
      <w:r>
        <w:rPr>
          <w:rFonts w:ascii="Theinhardt Black"/>
          <w:b/>
          <w:color w:val="0067B1"/>
          <w:spacing w:val="-4"/>
          <w:sz w:val="40"/>
        </w:rPr>
        <w:t>890</w:t>
      </w:r>
      <w:r>
        <w:rPr>
          <w:rFonts w:ascii="Theinhardt Black"/>
          <w:b/>
          <w:color w:val="0067B1"/>
          <w:sz w:val="40"/>
        </w:rPr>
        <w:t>4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4"/>
          <w:sz w:val="40"/>
        </w:rPr>
        <w:t>A</w:t>
      </w:r>
      <w:r>
        <w:rPr>
          <w:rFonts w:ascii="Theinhardt Black"/>
          <w:b/>
          <w:color w:val="0067B1"/>
          <w:spacing w:val="10"/>
          <w:sz w:val="40"/>
        </w:rPr>
        <w:t>e</w:t>
      </w:r>
      <w:r>
        <w:rPr>
          <w:rFonts w:ascii="Theinhardt Black"/>
          <w:b/>
          <w:color w:val="0067B1"/>
          <w:spacing w:val="2"/>
          <w:sz w:val="40"/>
        </w:rPr>
        <w:t>sc</w:t>
      </w:r>
      <w:r>
        <w:rPr>
          <w:rFonts w:ascii="Theinhardt Black"/>
          <w:b/>
          <w:color w:val="0067B1"/>
          <w:spacing w:val="6"/>
          <w:sz w:val="40"/>
        </w:rPr>
        <w:t>h</w:t>
      </w:r>
      <w:r>
        <w:rPr>
          <w:rFonts w:ascii="Theinhardt Black"/>
          <w:b/>
          <w:color w:val="0067B1"/>
          <w:spacing w:val="7"/>
          <w:sz w:val="40"/>
        </w:rPr>
        <w:t>/</w:t>
      </w:r>
      <w:r>
        <w:rPr>
          <w:rFonts w:ascii="Theinhardt Black"/>
          <w:b/>
          <w:color w:val="0067B1"/>
          <w:spacing w:val="2"/>
          <w:sz w:val="40"/>
        </w:rPr>
        <w:t>Z</w:t>
      </w:r>
      <w:r>
        <w:rPr>
          <w:rFonts w:ascii="Theinhardt Black"/>
          <w:b/>
          <w:color w:val="0067B1"/>
          <w:sz w:val="40"/>
        </w:rPr>
        <w:t>H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pStyle w:val="BodyText"/>
        <w:spacing w:line="230" w:lineRule="exact" w:before="52"/>
        <w:ind w:right="8" w:firstLine="0"/>
        <w:jc w:val="both"/>
      </w:pPr>
      <w:r>
        <w:rPr>
          <w:color w:val="231F20"/>
          <w:spacing w:val="-1"/>
        </w:rPr>
        <w:t>Früher</w:t>
      </w:r>
      <w:r>
        <w:rPr>
          <w:color w:val="231F20"/>
          <w:spacing w:val="32"/>
        </w:rPr>
        <w:t> </w:t>
      </w:r>
      <w:r>
        <w:rPr>
          <w:color w:val="231F20"/>
        </w:rPr>
        <w:t>standen</w:t>
      </w:r>
      <w:r>
        <w:rPr>
          <w:color w:val="231F20"/>
          <w:spacing w:val="33"/>
        </w:rPr>
        <w:t> </w:t>
      </w:r>
      <w:r>
        <w:rPr>
          <w:color w:val="231F20"/>
        </w:rPr>
        <w:t>zwei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Tennishallen</w:t>
      </w:r>
      <w:r>
        <w:rPr>
          <w:color w:val="231F20"/>
          <w:spacing w:val="32"/>
        </w:rPr>
        <w:t> </w:t>
      </w:r>
      <w:r>
        <w:rPr>
          <w:color w:val="231F20"/>
        </w:rPr>
        <w:t>und</w:t>
      </w:r>
      <w:r>
        <w:rPr>
          <w:color w:val="231F20"/>
          <w:spacing w:val="33"/>
        </w:rPr>
        <w:t> </w:t>
      </w:r>
      <w:r>
        <w:rPr>
          <w:color w:val="231F20"/>
        </w:rPr>
        <w:t>ein</w:t>
      </w:r>
      <w:r>
        <w:rPr>
          <w:color w:val="231F20"/>
          <w:spacing w:val="23"/>
        </w:rPr>
        <w:t> </w:t>
      </w:r>
      <w:r>
        <w:rPr>
          <w:color w:val="231F20"/>
        </w:rPr>
        <w:t>MFH</w:t>
      </w:r>
      <w:r>
        <w:rPr>
          <w:color w:val="231F20"/>
          <w:spacing w:val="-10"/>
        </w:rPr>
        <w:t> </w:t>
      </w:r>
      <w:r>
        <w:rPr>
          <w:color w:val="231F20"/>
        </w:rPr>
        <w:t>auf</w:t>
      </w:r>
      <w:r>
        <w:rPr>
          <w:color w:val="231F20"/>
          <w:spacing w:val="-10"/>
        </w:rPr>
        <w:t> </w:t>
      </w:r>
      <w:r>
        <w:rPr>
          <w:color w:val="231F20"/>
        </w:rPr>
        <w:t>dem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Areal</w:t>
      </w:r>
      <w:r>
        <w:rPr>
          <w:color w:val="231F20"/>
          <w:spacing w:val="-10"/>
        </w:rPr>
        <w:t> </w:t>
      </w:r>
      <w:r>
        <w:rPr>
          <w:color w:val="231F20"/>
        </w:rPr>
        <w:t>in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Aesch.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Tennishalle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Feld</w:t>
      </w:r>
      <w:r>
        <w:rPr>
          <w:color w:val="231F20"/>
          <w:spacing w:val="14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14"/>
        </w:rPr>
        <w:t> </w:t>
      </w:r>
      <w:r>
        <w:rPr>
          <w:color w:val="231F20"/>
        </w:rPr>
        <w:t>entschied</w:t>
      </w:r>
      <w:r>
        <w:rPr>
          <w:color w:val="231F20"/>
          <w:spacing w:val="14"/>
        </w:rPr>
        <w:t> </w:t>
      </w:r>
      <w:r>
        <w:rPr>
          <w:color w:val="231F20"/>
        </w:rPr>
        <w:t>sich</w:t>
      </w:r>
      <w:r>
        <w:rPr>
          <w:color w:val="231F20"/>
          <w:spacing w:val="14"/>
        </w:rPr>
        <w:t> </w:t>
      </w:r>
      <w:r>
        <w:rPr>
          <w:color w:val="231F20"/>
        </w:rPr>
        <w:t>dazu,</w:t>
      </w:r>
      <w:r>
        <w:rPr>
          <w:color w:val="231F20"/>
          <w:spacing w:val="3"/>
        </w:rPr>
        <w:t> </w:t>
      </w:r>
      <w:r>
        <w:rPr>
          <w:color w:val="231F20"/>
        </w:rPr>
        <w:t>eine</w:t>
      </w:r>
      <w:r>
        <w:rPr>
          <w:color w:val="231F20"/>
          <w:spacing w:val="14"/>
        </w:rPr>
        <w:t> </w:t>
      </w:r>
      <w:r>
        <w:rPr>
          <w:color w:val="231F20"/>
        </w:rPr>
        <w:t>der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bei-</w:t>
      </w:r>
      <w:r>
        <w:rPr>
          <w:color w:val="231F20"/>
          <w:spacing w:val="26"/>
        </w:rPr>
        <w:t> </w:t>
      </w:r>
      <w:r>
        <w:rPr>
          <w:color w:val="231F20"/>
        </w:rPr>
        <w:t>den</w:t>
      </w:r>
      <w:r>
        <w:rPr>
          <w:color w:val="231F20"/>
          <w:spacing w:val="16"/>
        </w:rPr>
        <w:t> </w:t>
      </w:r>
      <w:r>
        <w:rPr>
          <w:color w:val="231F20"/>
        </w:rPr>
        <w:t>Hallen</w:t>
      </w:r>
      <w:r>
        <w:rPr>
          <w:color w:val="231F20"/>
          <w:spacing w:val="16"/>
        </w:rPr>
        <w:t> </w:t>
      </w:r>
      <w:r>
        <w:rPr>
          <w:color w:val="231F20"/>
          <w:spacing w:val="-2"/>
        </w:rPr>
        <w:t>durch</w:t>
      </w:r>
      <w:r>
        <w:rPr>
          <w:color w:val="231F20"/>
          <w:spacing w:val="16"/>
        </w:rPr>
        <w:t> </w:t>
      </w:r>
      <w:r>
        <w:rPr>
          <w:color w:val="231F20"/>
        </w:rPr>
        <w:t>zwei</w:t>
      </w:r>
      <w:r>
        <w:rPr>
          <w:color w:val="231F20"/>
          <w:spacing w:val="16"/>
        </w:rPr>
        <w:t> </w:t>
      </w:r>
      <w:r>
        <w:rPr>
          <w:color w:val="231F20"/>
        </w:rPr>
        <w:t>MFH-Neubauten</w:t>
      </w:r>
      <w:r>
        <w:rPr>
          <w:color w:val="231F20"/>
          <w:spacing w:val="16"/>
        </w:rPr>
        <w:t> </w:t>
      </w:r>
      <w:r>
        <w:rPr>
          <w:color w:val="231F20"/>
        </w:rPr>
        <w:t>zu</w:t>
      </w:r>
      <w:r>
        <w:rPr>
          <w:color w:val="231F20"/>
          <w:spacing w:val="29"/>
        </w:rPr>
        <w:t> </w:t>
      </w:r>
      <w:r>
        <w:rPr>
          <w:color w:val="231F20"/>
        </w:rPr>
        <w:t>ersetzen</w:t>
      </w:r>
      <w:r>
        <w:rPr>
          <w:color w:val="231F20"/>
          <w:spacing w:val="30"/>
        </w:rPr>
        <w:t> </w:t>
      </w:r>
      <w:r>
        <w:rPr>
          <w:color w:val="231F20"/>
        </w:rPr>
        <w:t>und</w:t>
      </w:r>
      <w:r>
        <w:rPr>
          <w:color w:val="231F20"/>
          <w:spacing w:val="31"/>
        </w:rPr>
        <w:t> </w:t>
      </w:r>
      <w:r>
        <w:rPr>
          <w:color w:val="231F20"/>
        </w:rPr>
        <w:t>dabei</w:t>
      </w:r>
      <w:r>
        <w:rPr>
          <w:color w:val="231F20"/>
          <w:spacing w:val="30"/>
        </w:rPr>
        <w:t> </w:t>
      </w:r>
      <w:r>
        <w:rPr>
          <w:color w:val="231F20"/>
        </w:rPr>
        <w:t>die</w:t>
      </w:r>
      <w:r>
        <w:rPr>
          <w:color w:val="231F20"/>
          <w:spacing w:val="31"/>
        </w:rPr>
        <w:t> </w:t>
      </w:r>
      <w:r>
        <w:rPr>
          <w:color w:val="231F20"/>
        </w:rPr>
        <w:t>bestehende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Ener-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gieversorgung</w:t>
      </w:r>
      <w:r>
        <w:rPr>
          <w:color w:val="231F20"/>
          <w:spacing w:val="22"/>
        </w:rPr>
        <w:t> </w:t>
      </w:r>
      <w:r>
        <w:rPr>
          <w:color w:val="231F20"/>
        </w:rPr>
        <w:t>zu</w:t>
      </w:r>
      <w:r>
        <w:rPr>
          <w:color w:val="231F20"/>
          <w:spacing w:val="22"/>
        </w:rPr>
        <w:t> </w:t>
      </w:r>
      <w:r>
        <w:rPr>
          <w:color w:val="231F20"/>
        </w:rPr>
        <w:t>erneuern.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unökologi-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sche</w:t>
      </w:r>
      <w:r>
        <w:rPr>
          <w:color w:val="231F20"/>
          <w:spacing w:val="20"/>
        </w:rPr>
        <w:t> </w:t>
      </w:r>
      <w:r>
        <w:rPr>
          <w:color w:val="231F20"/>
        </w:rPr>
        <w:t>und</w:t>
      </w:r>
      <w:r>
        <w:rPr>
          <w:color w:val="231F20"/>
          <w:spacing w:val="20"/>
        </w:rPr>
        <w:t> </w:t>
      </w:r>
      <w:r>
        <w:rPr>
          <w:color w:val="231F20"/>
        </w:rPr>
        <w:t>ineffiziente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Ölheizung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ab-</w:t>
      </w:r>
      <w:r>
        <w:rPr>
          <w:color w:val="231F20"/>
          <w:spacing w:val="38"/>
        </w:rPr>
        <w:t> </w:t>
      </w:r>
      <w:r>
        <w:rPr>
          <w:color w:val="231F20"/>
        </w:rPr>
        <w:t>gelöst.</w:t>
      </w:r>
      <w:r>
        <w:rPr/>
      </w:r>
    </w:p>
    <w:p>
      <w:pPr>
        <w:pStyle w:val="BodyText"/>
        <w:spacing w:line="230" w:lineRule="exact"/>
        <w:ind w:right="8"/>
        <w:jc w:val="both"/>
      </w:pPr>
      <w:r>
        <w:rPr>
          <w:color w:val="231F20"/>
        </w:rPr>
        <w:t>Auf</w:t>
      </w:r>
      <w:r>
        <w:rPr>
          <w:color w:val="231F20"/>
          <w:spacing w:val="13"/>
        </w:rPr>
        <w:t> </w:t>
      </w:r>
      <w:r>
        <w:rPr>
          <w:color w:val="231F20"/>
        </w:rPr>
        <w:t>dem</w:t>
      </w:r>
      <w:r>
        <w:rPr>
          <w:color w:val="231F20"/>
          <w:spacing w:val="13"/>
        </w:rPr>
        <w:t> </w:t>
      </w:r>
      <w:r>
        <w:rPr>
          <w:color w:val="231F20"/>
        </w:rPr>
        <w:t>Dach</w:t>
      </w:r>
      <w:r>
        <w:rPr>
          <w:color w:val="231F20"/>
          <w:spacing w:val="13"/>
        </w:rPr>
        <w:t> </w:t>
      </w:r>
      <w:r>
        <w:rPr>
          <w:color w:val="231F20"/>
        </w:rPr>
        <w:t>der</w:t>
      </w:r>
      <w:r>
        <w:rPr>
          <w:color w:val="231F20"/>
          <w:spacing w:val="13"/>
        </w:rPr>
        <w:t> </w:t>
      </w:r>
      <w:r>
        <w:rPr>
          <w:color w:val="231F20"/>
        </w:rPr>
        <w:t>Halle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13"/>
        </w:rPr>
        <w:t> </w:t>
      </w:r>
      <w:r>
        <w:rPr>
          <w:color w:val="231F20"/>
        </w:rPr>
        <w:t>eine</w:t>
      </w:r>
      <w:r>
        <w:rPr>
          <w:color w:val="231F20"/>
          <w:spacing w:val="28"/>
        </w:rPr>
        <w:t> </w:t>
      </w:r>
      <w:r>
        <w:rPr>
          <w:color w:val="231F20"/>
        </w:rPr>
        <w:t>1’880</w:t>
      </w:r>
      <w:r>
        <w:rPr>
          <w:color w:val="231F20"/>
          <w:spacing w:val="-1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  <w:spacing w:val="21"/>
          <w:position w:val="6"/>
          <w:sz w:val="10"/>
          <w:szCs w:val="10"/>
        </w:rPr>
        <w:t> </w:t>
      </w:r>
      <w:r>
        <w:rPr>
          <w:color w:val="231F20"/>
          <w:spacing w:val="-2"/>
        </w:rPr>
        <w:t>grosse</w:t>
      </w:r>
      <w:r>
        <w:rPr>
          <w:color w:val="231F20"/>
          <w:spacing w:val="-1"/>
        </w:rPr>
        <w:t> </w:t>
      </w:r>
      <w:r>
        <w:rPr>
          <w:color w:val="231F20"/>
        </w:rPr>
        <w:t>und 316</w:t>
      </w:r>
      <w:r>
        <w:rPr>
          <w:color w:val="231F20"/>
          <w:spacing w:val="-1"/>
        </w:rPr>
        <w:t> </w:t>
      </w:r>
      <w:r>
        <w:rPr>
          <w:color w:val="231F20"/>
        </w:rPr>
        <w:t>kW</w:t>
      </w:r>
      <w:r>
        <w:rPr>
          <w:color w:val="231F20"/>
          <w:spacing w:val="-1"/>
        </w:rPr>
        <w:t> starke</w:t>
      </w:r>
      <w:r>
        <w:rPr>
          <w:color w:val="231F20"/>
        </w:rPr>
        <w:t> mono-</w:t>
      </w:r>
      <w:r>
        <w:rPr>
          <w:color w:val="231F20"/>
          <w:spacing w:val="24"/>
        </w:rPr>
        <w:t> </w:t>
      </w:r>
      <w:r>
        <w:rPr>
          <w:color w:val="231F20"/>
        </w:rPr>
        <w:t>kristalline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-12"/>
        </w:rPr>
        <w:t> </w:t>
      </w:r>
      <w:r>
        <w:rPr>
          <w:color w:val="231F20"/>
        </w:rPr>
        <w:t>errichtet.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Zwei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solarbe-</w:t>
      </w:r>
      <w:r>
        <w:rPr>
          <w:color w:val="231F20"/>
          <w:spacing w:val="35"/>
        </w:rPr>
        <w:t> </w:t>
      </w:r>
      <w:r>
        <w:rPr>
          <w:color w:val="231F20"/>
        </w:rPr>
        <w:t>triebene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Wärmepumpen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(WP)</w:t>
      </w:r>
      <w:r>
        <w:rPr>
          <w:color w:val="231F20"/>
          <w:spacing w:val="44"/>
        </w:rPr>
        <w:t> </w:t>
      </w:r>
      <w:r>
        <w:rPr>
          <w:color w:val="231F20"/>
        </w:rPr>
        <w:t>sichern</w:t>
      </w:r>
      <w:r>
        <w:rPr>
          <w:color w:val="231F20"/>
          <w:spacing w:val="45"/>
        </w:rPr>
        <w:t> </w:t>
      </w:r>
      <w:r>
        <w:rPr>
          <w:color w:val="231F20"/>
        </w:rPr>
        <w:t>die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Wärmeversorgung </w:t>
      </w:r>
      <w:r>
        <w:rPr>
          <w:color w:val="231F20"/>
        </w:rPr>
        <w:t>für</w:t>
      </w:r>
      <w:r>
        <w:rPr>
          <w:color w:val="231F20"/>
          <w:spacing w:val="-2"/>
        </w:rPr>
        <w:t> </w:t>
      </w:r>
      <w:r>
        <w:rPr>
          <w:color w:val="231F20"/>
        </w:rPr>
        <w:t>das</w:t>
      </w:r>
      <w:r>
        <w:rPr>
          <w:color w:val="231F20"/>
          <w:spacing w:val="-2"/>
        </w:rPr>
        <w:t> Warmwasser </w:t>
      </w:r>
      <w:r>
        <w:rPr>
          <w:color w:val="231F20"/>
        </w:rPr>
        <w:t>und</w:t>
      </w:r>
      <w:r>
        <w:rPr>
          <w:color w:val="231F20"/>
          <w:spacing w:val="33"/>
        </w:rPr>
        <w:t> </w:t>
      </w:r>
      <w:r>
        <w:rPr>
          <w:color w:val="231F20"/>
        </w:rPr>
        <w:t>die Heizung der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Tennishalle</w:t>
      </w:r>
      <w:r>
        <w:rPr>
          <w:color w:val="231F20"/>
        </w:rPr>
        <w:t> inklusive MFH.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</w:rPr>
        <w:t>Der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Gesamtenergiebedarf</w:t>
      </w:r>
      <w:r>
        <w:rPr>
          <w:color w:val="231F20"/>
          <w:spacing w:val="15"/>
        </w:rPr>
        <w:t> </w:t>
      </w:r>
      <w:r>
        <w:rPr>
          <w:color w:val="231F20"/>
        </w:rPr>
        <w:t>der</w:t>
      </w:r>
      <w:r>
        <w:rPr>
          <w:color w:val="231F20"/>
          <w:spacing w:val="15"/>
        </w:rPr>
        <w:t> </w:t>
      </w:r>
      <w:r>
        <w:rPr>
          <w:color w:val="231F20"/>
        </w:rPr>
        <w:t>Halle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be-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trägt</w:t>
      </w:r>
      <w:r>
        <w:rPr>
          <w:color w:val="231F20"/>
          <w:spacing w:val="39"/>
        </w:rPr>
        <w:t> </w:t>
      </w:r>
      <w:r>
        <w:rPr>
          <w:color w:val="231F20"/>
        </w:rPr>
        <w:t>171’200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28"/>
        </w:rPr>
        <w:t> </w:t>
      </w:r>
      <w:r>
        <w:rPr>
          <w:color w:val="231F20"/>
        </w:rPr>
        <w:t>Mit</w:t>
      </w:r>
      <w:r>
        <w:rPr>
          <w:color w:val="231F20"/>
          <w:spacing w:val="40"/>
        </w:rPr>
        <w:t> </w:t>
      </w:r>
      <w:r>
        <w:rPr>
          <w:color w:val="231F20"/>
        </w:rPr>
        <w:t>einer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besseren</w:t>
      </w:r>
      <w:r>
        <w:rPr>
          <w:color w:val="231F20"/>
          <w:spacing w:val="27"/>
        </w:rPr>
        <w:t> </w:t>
      </w:r>
      <w:r>
        <w:rPr>
          <w:color w:val="231F20"/>
        </w:rPr>
        <w:t>Dämmung</w:t>
      </w:r>
      <w:r>
        <w:rPr>
          <w:color w:val="231F20"/>
          <w:spacing w:val="11"/>
        </w:rPr>
        <w:t> </w:t>
      </w:r>
      <w:r>
        <w:rPr>
          <w:color w:val="231F20"/>
        </w:rPr>
        <w:t>der</w:t>
      </w:r>
      <w:r>
        <w:rPr>
          <w:color w:val="231F20"/>
          <w:spacing w:val="11"/>
        </w:rPr>
        <w:t> </w:t>
      </w:r>
      <w:r>
        <w:rPr>
          <w:color w:val="231F20"/>
        </w:rPr>
        <w:t>Gebäudehülle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könnte</w:t>
      </w:r>
      <w:r>
        <w:rPr>
          <w:color w:val="231F20"/>
          <w:spacing w:val="11"/>
        </w:rPr>
        <w:t> </w:t>
      </w:r>
      <w:r>
        <w:rPr>
          <w:color w:val="231F20"/>
        </w:rPr>
        <w:t>der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Energiebedarf</w:t>
      </w:r>
      <w:r>
        <w:rPr>
          <w:color w:val="231F20"/>
          <w:spacing w:val="-5"/>
        </w:rPr>
        <w:t> </w:t>
      </w:r>
      <w:r>
        <w:rPr>
          <w:color w:val="231F20"/>
        </w:rPr>
        <w:t>noch</w:t>
      </w:r>
      <w:r>
        <w:rPr>
          <w:color w:val="231F20"/>
          <w:spacing w:val="-5"/>
        </w:rPr>
        <w:t> </w:t>
      </w:r>
      <w:r>
        <w:rPr>
          <w:color w:val="231F20"/>
        </w:rPr>
        <w:t>weiter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gesenkt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werden.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Die</w:t>
      </w:r>
      <w:r>
        <w:rPr>
          <w:color w:val="231F20"/>
        </w:rPr>
        <w:t> optimal ganzflächig integrierte Dachan-</w:t>
      </w:r>
      <w:r>
        <w:rPr/>
      </w:r>
    </w:p>
    <w:p>
      <w:pPr>
        <w:pStyle w:val="BodyText"/>
        <w:spacing w:line="230" w:lineRule="exact" w:before="52"/>
        <w:ind w:right="0" w:firstLine="0"/>
        <w:jc w:val="both"/>
      </w:pPr>
      <w:r>
        <w:rPr/>
        <w:br w:type="column"/>
      </w:r>
      <w:r>
        <w:rPr>
          <w:color w:val="231F20"/>
          <w:spacing w:val="-1"/>
        </w:rPr>
        <w:t>lage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produziert</w:t>
      </w:r>
      <w:r>
        <w:rPr>
          <w:color w:val="231F20"/>
          <w:spacing w:val="33"/>
        </w:rPr>
        <w:t> </w:t>
      </w:r>
      <w:r>
        <w:rPr>
          <w:color w:val="231F20"/>
        </w:rPr>
        <w:t>rund</w:t>
      </w:r>
      <w:r>
        <w:rPr>
          <w:color w:val="231F20"/>
          <w:spacing w:val="32"/>
        </w:rPr>
        <w:t> </w:t>
      </w:r>
      <w:r>
        <w:rPr>
          <w:color w:val="231F20"/>
        </w:rPr>
        <w:t>282’000</w:t>
      </w:r>
      <w:r>
        <w:rPr>
          <w:color w:val="231F20"/>
          <w:spacing w:val="33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21"/>
        </w:rPr>
        <w:t> </w:t>
      </w:r>
      <w:r>
        <w:rPr>
          <w:color w:val="231F20"/>
        </w:rPr>
        <w:t>Bei</w:t>
      </w:r>
      <w:r>
        <w:rPr>
          <w:color w:val="231F20"/>
          <w:spacing w:val="38"/>
        </w:rPr>
        <w:t> </w:t>
      </w:r>
      <w:r>
        <w:rPr>
          <w:color w:val="231F20"/>
        </w:rPr>
        <w:t>einem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Energiebedarf</w:t>
      </w:r>
      <w:r>
        <w:rPr>
          <w:color w:val="231F20"/>
          <w:spacing w:val="-16"/>
        </w:rPr>
        <w:t> </w:t>
      </w:r>
      <w:r>
        <w:rPr>
          <w:color w:val="231F20"/>
        </w:rPr>
        <w:t>der</w:t>
      </w:r>
      <w:r>
        <w:rPr>
          <w:color w:val="231F20"/>
          <w:spacing w:val="-16"/>
        </w:rPr>
        <w:t> </w:t>
      </w:r>
      <w:r>
        <w:rPr>
          <w:color w:val="231F20"/>
        </w:rPr>
        <w:t>Halle</w:t>
      </w:r>
      <w:r>
        <w:rPr>
          <w:color w:val="231F20"/>
          <w:spacing w:val="-16"/>
        </w:rPr>
        <w:t> </w:t>
      </w:r>
      <w:r>
        <w:rPr>
          <w:color w:val="231F20"/>
        </w:rPr>
        <w:t>von</w:t>
      </w:r>
      <w:r>
        <w:rPr>
          <w:color w:val="231F20"/>
          <w:spacing w:val="-16"/>
        </w:rPr>
        <w:t> </w:t>
      </w:r>
      <w:r>
        <w:rPr>
          <w:color w:val="231F20"/>
        </w:rPr>
        <w:t>171’200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29"/>
        </w:rPr>
        <w:t> </w:t>
      </w:r>
      <w:r>
        <w:rPr>
          <w:color w:val="231F20"/>
        </w:rPr>
        <w:t>verbleibt</w:t>
      </w:r>
      <w:r>
        <w:rPr>
          <w:color w:val="231F20"/>
          <w:spacing w:val="30"/>
        </w:rPr>
        <w:t> </w:t>
      </w:r>
      <w:r>
        <w:rPr>
          <w:color w:val="231F20"/>
        </w:rPr>
        <w:t>ein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Solarstromüberschuss</w:t>
      </w:r>
      <w:r>
        <w:rPr>
          <w:color w:val="231F20"/>
          <w:spacing w:val="25"/>
        </w:rPr>
        <w:t> </w:t>
      </w:r>
      <w:r>
        <w:rPr>
          <w:color w:val="231F20"/>
        </w:rPr>
        <w:t>von</w:t>
      </w:r>
      <w:r>
        <w:rPr>
          <w:color w:val="231F20"/>
          <w:spacing w:val="19"/>
        </w:rPr>
        <w:t> </w:t>
      </w:r>
      <w:r>
        <w:rPr>
          <w:color w:val="231F20"/>
        </w:rPr>
        <w:t>111’000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19"/>
        </w:rPr>
        <w:t> </w:t>
      </w:r>
      <w:r>
        <w:rPr>
          <w:color w:val="231F20"/>
        </w:rPr>
        <w:t>oder</w:t>
      </w:r>
      <w:r>
        <w:rPr>
          <w:color w:val="231F20"/>
          <w:spacing w:val="19"/>
        </w:rPr>
        <w:t> </w:t>
      </w:r>
      <w:r>
        <w:rPr>
          <w:color w:val="231F20"/>
        </w:rPr>
        <w:t>65%.</w:t>
      </w:r>
      <w:r>
        <w:rPr>
          <w:color w:val="231F20"/>
          <w:spacing w:val="8"/>
        </w:rPr>
        <w:t> </w:t>
      </w:r>
      <w:r>
        <w:rPr>
          <w:color w:val="231F20"/>
        </w:rPr>
        <w:t>Der</w:t>
      </w:r>
      <w:r>
        <w:rPr>
          <w:color w:val="231F20"/>
          <w:spacing w:val="19"/>
        </w:rPr>
        <w:t> </w:t>
      </w:r>
      <w:r>
        <w:rPr>
          <w:color w:val="231F20"/>
        </w:rPr>
        <w:t>Über-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schuss</w:t>
      </w:r>
      <w:r>
        <w:rPr>
          <w:color w:val="231F20"/>
          <w:spacing w:val="28"/>
        </w:rPr>
        <w:t> </w:t>
      </w:r>
      <w:r>
        <w:rPr>
          <w:color w:val="231F20"/>
        </w:rPr>
        <w:t>dient</w:t>
      </w:r>
      <w:r>
        <w:rPr>
          <w:color w:val="231F20"/>
          <w:spacing w:val="29"/>
        </w:rPr>
        <w:t> </w:t>
      </w:r>
      <w:r>
        <w:rPr>
          <w:color w:val="231F20"/>
        </w:rPr>
        <w:t>der</w:t>
      </w:r>
      <w:r>
        <w:rPr>
          <w:color w:val="231F20"/>
          <w:spacing w:val="28"/>
        </w:rPr>
        <w:t> </w:t>
      </w:r>
      <w:r>
        <w:rPr>
          <w:color w:val="231F20"/>
        </w:rPr>
        <w:t>lokalen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Stromversorgung</w:t>
      </w:r>
      <w:r>
        <w:rPr>
          <w:color w:val="231F20"/>
          <w:spacing w:val="33"/>
        </w:rPr>
        <w:t> </w:t>
      </w:r>
      <w:r>
        <w:rPr>
          <w:color w:val="231F20"/>
        </w:rPr>
        <w:t>für</w:t>
      </w:r>
      <w:r>
        <w:rPr>
          <w:color w:val="231F20"/>
          <w:spacing w:val="46"/>
        </w:rPr>
        <w:t> </w:t>
      </w:r>
      <w:r>
        <w:rPr>
          <w:color w:val="231F20"/>
        </w:rPr>
        <w:t>die</w:t>
      </w:r>
      <w:r>
        <w:rPr>
          <w:color w:val="231F20"/>
          <w:spacing w:val="46"/>
        </w:rPr>
        <w:t> </w:t>
      </w:r>
      <w:r>
        <w:rPr>
          <w:color w:val="231F20"/>
          <w:spacing w:val="-2"/>
        </w:rPr>
        <w:t>drei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Mehrfamilienhäuser.</w:t>
      </w:r>
      <w:r>
        <w:rPr>
          <w:color w:val="231F20"/>
          <w:spacing w:val="36"/>
        </w:rPr>
        <w:t> </w:t>
      </w:r>
      <w:r>
        <w:rPr>
          <w:color w:val="231F20"/>
        </w:rPr>
        <w:t>Mit</w:t>
      </w:r>
      <w:r>
        <w:rPr>
          <w:color w:val="231F20"/>
          <w:spacing w:val="47"/>
        </w:rPr>
        <w:t> </w:t>
      </w:r>
      <w:r>
        <w:rPr>
          <w:color w:val="231F20"/>
        </w:rPr>
        <w:t>dem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Solarstromüberschuss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könnten</w:t>
      </w:r>
      <w:r>
        <w:rPr>
          <w:color w:val="231F20"/>
          <w:spacing w:val="21"/>
        </w:rPr>
        <w:t> </w:t>
      </w:r>
      <w:r>
        <w:rPr>
          <w:color w:val="231F20"/>
        </w:rPr>
        <w:t>79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E-Autos</w:t>
      </w:r>
      <w:r>
        <w:rPr>
          <w:color w:val="231F20"/>
          <w:spacing w:val="27"/>
        </w:rPr>
        <w:t> </w:t>
      </w:r>
      <w:r>
        <w:rPr>
          <w:color w:val="231F20"/>
        </w:rPr>
        <w:t>jährlich</w:t>
      </w:r>
      <w:r>
        <w:rPr>
          <w:color w:val="231F20"/>
          <w:spacing w:val="27"/>
        </w:rPr>
        <w:t> </w:t>
      </w:r>
      <w:r>
        <w:rPr>
          <w:color w:val="231F20"/>
        </w:rPr>
        <w:t>je</w:t>
      </w:r>
      <w:r>
        <w:rPr>
          <w:color w:val="231F20"/>
          <w:spacing w:val="27"/>
        </w:rPr>
        <w:t> </w:t>
      </w:r>
      <w:r>
        <w:rPr>
          <w:color w:val="231F20"/>
        </w:rPr>
        <w:t>12’000</w:t>
      </w:r>
      <w:r>
        <w:rPr>
          <w:color w:val="231F20"/>
          <w:spacing w:val="26"/>
        </w:rPr>
        <w:t> </w:t>
      </w:r>
      <w:r>
        <w:rPr>
          <w:color w:val="231F20"/>
        </w:rPr>
        <w:t>km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CO</w:t>
      </w:r>
      <w:r>
        <w:rPr>
          <w:color w:val="231F20"/>
          <w:spacing w:val="-1"/>
          <w:position w:val="-5"/>
          <w:sz w:val="10"/>
          <w:szCs w:val="10"/>
        </w:rPr>
        <w:t>2</w:t>
      </w:r>
      <w:r>
        <w:rPr>
          <w:color w:val="231F20"/>
          <w:spacing w:val="-1"/>
        </w:rPr>
        <w:t>-frei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fahren.</w:t>
      </w:r>
      <w:r>
        <w:rPr>
          <w:color w:val="231F20"/>
          <w:spacing w:val="17"/>
        </w:rPr>
        <w:t> </w:t>
      </w:r>
      <w:r>
        <w:rPr>
          <w:color w:val="231F20"/>
        </w:rPr>
        <w:t>Ein</w:t>
      </w:r>
      <w:r>
        <w:rPr>
          <w:color w:val="231F20"/>
          <w:spacing w:val="21"/>
        </w:rPr>
        <w:t> </w:t>
      </w:r>
      <w:r>
        <w:rPr>
          <w:color w:val="231F20"/>
        </w:rPr>
        <w:t>allfälliger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Überschuss</w:t>
      </w:r>
      <w:r>
        <w:rPr>
          <w:color w:val="231F20"/>
          <w:spacing w:val="34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33"/>
        </w:rPr>
        <w:t> </w:t>
      </w:r>
      <w:r>
        <w:rPr>
          <w:color w:val="231F20"/>
        </w:rPr>
        <w:t>in</w:t>
      </w:r>
      <w:r>
        <w:rPr>
          <w:color w:val="231F20"/>
          <w:spacing w:val="34"/>
        </w:rPr>
        <w:t> </w:t>
      </w:r>
      <w:r>
        <w:rPr>
          <w:color w:val="231F20"/>
        </w:rPr>
        <w:t>das</w:t>
      </w:r>
      <w:r>
        <w:rPr>
          <w:color w:val="231F20"/>
          <w:spacing w:val="34"/>
        </w:rPr>
        <w:t> </w:t>
      </w:r>
      <w:r>
        <w:rPr>
          <w:color w:val="231F20"/>
        </w:rPr>
        <w:t>örtliche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Stromnetz</w:t>
      </w:r>
      <w:r>
        <w:rPr>
          <w:color w:val="231F20"/>
        </w:rPr>
        <w:t> eingespeist.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Tennishalle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Feld</w:t>
      </w:r>
      <w:r>
        <w:rPr>
          <w:color w:val="231F20"/>
          <w:spacing w:val="20"/>
        </w:rPr>
        <w:t> </w:t>
      </w:r>
      <w:r>
        <w:rPr>
          <w:color w:val="231F20"/>
        </w:rPr>
        <w:t>ist</w:t>
      </w:r>
      <w:r>
        <w:rPr>
          <w:color w:val="231F20"/>
          <w:spacing w:val="20"/>
        </w:rPr>
        <w:t> </w:t>
      </w:r>
      <w:r>
        <w:rPr>
          <w:color w:val="231F20"/>
        </w:rPr>
        <w:t>heute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unabhän-</w:t>
      </w:r>
      <w:r>
        <w:rPr>
          <w:color w:val="231F20"/>
          <w:spacing w:val="31"/>
        </w:rPr>
        <w:t> </w:t>
      </w:r>
      <w:r>
        <w:rPr>
          <w:color w:val="231F20"/>
        </w:rPr>
        <w:t>gig</w:t>
      </w:r>
      <w:r>
        <w:rPr>
          <w:color w:val="231F20"/>
          <w:spacing w:val="25"/>
        </w:rPr>
        <w:t> </w:t>
      </w:r>
      <w:r>
        <w:rPr>
          <w:color w:val="231F20"/>
        </w:rPr>
        <w:t>von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umweltschädlichen,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fossilen</w:t>
      </w:r>
      <w:r>
        <w:rPr>
          <w:color w:val="231F20"/>
          <w:spacing w:val="25"/>
        </w:rPr>
        <w:t> </w:t>
      </w:r>
      <w:r>
        <w:rPr>
          <w:color w:val="231F20"/>
        </w:rPr>
        <w:t>Ener-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gieträgern.</w:t>
      </w:r>
      <w:r>
        <w:rPr>
          <w:color w:val="231F20"/>
          <w:spacing w:val="-3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gesamte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Areal</w:t>
      </w:r>
      <w:r>
        <w:rPr>
          <w:color w:val="231F20"/>
          <w:spacing w:val="8"/>
        </w:rPr>
        <w:t> </w:t>
      </w:r>
      <w:r>
        <w:rPr>
          <w:color w:val="231F20"/>
        </w:rPr>
        <w:t>mit</w:t>
      </w:r>
      <w:r>
        <w:rPr>
          <w:color w:val="231F20"/>
          <w:spacing w:val="8"/>
        </w:rPr>
        <w:t> </w:t>
      </w:r>
      <w:r>
        <w:rPr>
          <w:color w:val="231F20"/>
        </w:rPr>
        <w:t>den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drei</w:t>
      </w:r>
      <w:r>
        <w:rPr>
          <w:color w:val="231F20"/>
          <w:spacing w:val="34"/>
        </w:rPr>
        <w:t> </w:t>
      </w:r>
      <w:r>
        <w:rPr>
          <w:color w:val="231F20"/>
        </w:rPr>
        <w:t>MFH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durch</w:t>
      </w:r>
      <w:r>
        <w:rPr>
          <w:color w:val="231F20"/>
          <w:spacing w:val="-7"/>
        </w:rPr>
        <w:t> </w:t>
      </w:r>
      <w:r>
        <w:rPr>
          <w:color w:val="231F20"/>
        </w:rPr>
        <w:t>die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-7"/>
        </w:rPr>
        <w:t> </w:t>
      </w:r>
      <w:r>
        <w:rPr>
          <w:color w:val="231F20"/>
        </w:rPr>
        <w:t>auf</w:t>
      </w:r>
      <w:r>
        <w:rPr>
          <w:color w:val="231F20"/>
          <w:spacing w:val="-7"/>
        </w:rPr>
        <w:t> </w:t>
      </w:r>
      <w:r>
        <w:rPr>
          <w:color w:val="231F20"/>
        </w:rPr>
        <w:t>der</w:t>
      </w:r>
      <w:r>
        <w:rPr>
          <w:color w:val="231F20"/>
          <w:spacing w:val="-7"/>
        </w:rPr>
        <w:t> </w:t>
      </w:r>
      <w:r>
        <w:rPr>
          <w:color w:val="231F20"/>
        </w:rPr>
        <w:t>Halle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emissionsfrei</w:t>
      </w:r>
      <w:r>
        <w:rPr>
          <w:color w:val="231F20"/>
          <w:spacing w:val="23"/>
        </w:rPr>
        <w:t> </w:t>
      </w:r>
      <w:r>
        <w:rPr>
          <w:color w:val="231F20"/>
        </w:rPr>
        <w:t>betrieben.</w:t>
      </w:r>
      <w:r>
        <w:rPr>
          <w:color w:val="231F20"/>
          <w:spacing w:val="12"/>
        </w:rPr>
        <w:t> </w:t>
      </w:r>
      <w:r>
        <w:rPr>
          <w:color w:val="231F20"/>
        </w:rPr>
        <w:t>Dafür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gewinnt</w:t>
      </w:r>
      <w:r>
        <w:rPr>
          <w:color w:val="231F20"/>
          <w:spacing w:val="23"/>
        </w:rPr>
        <w:t> </w:t>
      </w:r>
      <w:r>
        <w:rPr>
          <w:color w:val="231F20"/>
        </w:rPr>
        <w:t>die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Tennishalle</w:t>
      </w:r>
      <w:r>
        <w:rPr>
          <w:color w:val="231F20"/>
          <w:spacing w:val="41"/>
        </w:rPr>
        <w:t> </w:t>
      </w:r>
      <w:r>
        <w:rPr>
          <w:color w:val="231F20"/>
          <w:spacing w:val="-2"/>
        </w:rPr>
        <w:t>Feld</w:t>
      </w:r>
      <w:r>
        <w:rPr>
          <w:color w:val="231F20"/>
          <w:spacing w:val="42"/>
        </w:rPr>
        <w:t> </w:t>
      </w:r>
      <w:r>
        <w:rPr>
          <w:color w:val="231F20"/>
        </w:rPr>
        <w:t>das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PlusEnergieBau-Dip-</w:t>
      </w:r>
      <w:r>
        <w:rPr>
          <w:color w:val="231F20"/>
          <w:spacing w:val="43"/>
        </w:rPr>
        <w:t> </w:t>
      </w:r>
      <w:r>
        <w:rPr>
          <w:color w:val="231F20"/>
        </w:rPr>
        <w:t>lom 2018.</w:t>
      </w:r>
      <w:r>
        <w:rPr/>
      </w:r>
    </w:p>
    <w:p>
      <w:pPr>
        <w:spacing w:before="87"/>
        <w:ind w:left="117" w:right="0" w:firstLine="0"/>
        <w:jc w:val="both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256" w:val="left" w:leader="none"/>
        </w:tabs>
        <w:spacing w:line="166" w:lineRule="exact" w:before="0"/>
        <w:ind w:left="11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</w:r>
      <w:r>
        <w:rPr>
          <w:rFonts w:ascii="Theinhardt Regular"/>
          <w:color w:val="231F20"/>
          <w:spacing w:val="-3"/>
          <w:sz w:val="14"/>
        </w:rPr>
        <w:t>10</w:t>
      </w:r>
      <w:r>
        <w:rPr>
          <w:rFonts w:ascii="Theinhardt Regular"/>
          <w:color w:val="231F20"/>
          <w:sz w:val="14"/>
        </w:rPr>
        <w:t> cm  </w:t>
      </w:r>
      <w:r>
        <w:rPr>
          <w:rFonts w:ascii="Theinhardt Regular"/>
          <w:color w:val="231F20"/>
          <w:spacing w:val="29"/>
          <w:sz w:val="14"/>
        </w:rPr>
        <w:t> </w:t>
      </w:r>
      <w:r>
        <w:rPr>
          <w:rFonts w:ascii="Theinhardt Regular"/>
          <w:color w:val="231F20"/>
          <w:sz w:val="14"/>
        </w:rPr>
        <w:t>U-Wert:      </w:t>
      </w:r>
      <w:r>
        <w:rPr>
          <w:rFonts w:ascii="Theinhardt Regular"/>
          <w:color w:val="231F20"/>
          <w:spacing w:val="15"/>
          <w:sz w:val="14"/>
        </w:rPr>
        <w:t> </w:t>
      </w:r>
      <w:r>
        <w:rPr>
          <w:rFonts w:ascii="Theinhardt Regular"/>
          <w:color w:val="231F20"/>
          <w:sz w:val="14"/>
        </w:rPr>
        <w:t>0.35 </w:t>
      </w:r>
      <w:r>
        <w:rPr>
          <w:rFonts w:ascii="Theinhardt Regular"/>
          <w:color w:val="231F20"/>
          <w:spacing w:val="-1"/>
          <w:sz w:val="14"/>
        </w:rPr>
        <w:t>W/m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99" w:lineRule="exact" w:before="0"/>
        <w:ind w:left="0" w:right="392" w:firstLine="0"/>
        <w:jc w:val="righ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91.265686pt;margin-top:2.470345pt;width:161.550pt;height:65.9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6"/>
                    <w:gridCol w:w="540"/>
                    <w:gridCol w:w="555"/>
                    <w:gridCol w:w="348"/>
                    <w:gridCol w:w="680"/>
                  </w:tblGrid>
                  <w:tr>
                    <w:trPr>
                      <w:trHeight w:val="263" w:hRule="exact"/>
                    </w:trPr>
                    <w:tc>
                      <w:tcPr>
                        <w:tcW w:w="110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05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Dach: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158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Fenster: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7" w:lineRule="exact"/>
                          <w:ind w:left="8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26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cm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05" w:lineRule="exact"/>
                          <w:ind w:left="7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U-Wert: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158" w:lineRule="exact"/>
                          <w:ind w:left="7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U-Wert: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34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05" w:lineRule="exact"/>
                          <w:ind w:right="9"/>
                          <w:jc w:val="righ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w w:val="95"/>
                            <w:sz w:val="14"/>
                          </w:rPr>
                          <w:t>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158" w:lineRule="exact"/>
                          <w:ind w:right="-25"/>
                          <w:jc w:val="righ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0.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05" w:lineRule="exact"/>
                          <w:ind w:left="-1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.35 W/m</w:t>
                        </w:r>
                        <w:r>
                          <w:rPr>
                            <w:rFonts w:ascii="Theinhardt Regular"/>
                            <w:color w:val="231F20"/>
                            <w:spacing w:val="1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K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158" w:lineRule="exact"/>
                          <w:ind w:left="2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85 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W/m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K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218" w:hRule="exact"/>
                    </w:trPr>
                    <w:tc>
                      <w:tcPr>
                        <w:tcW w:w="3230" w:type="dxa"/>
                        <w:gridSpan w:val="5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 w:before="46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Energiebedarf vor der Sanierung [100% | 333%]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68" w:hRule="exact"/>
                    </w:trPr>
                    <w:tc>
                      <w:tcPr>
                        <w:tcW w:w="110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EBF: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4"/>
                            <w:szCs w:val="14"/>
                          </w:rPr>
                          <w:t>4’402.5m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position w:val="5"/>
                            <w:sz w:val="8"/>
                            <w:szCs w:val="8"/>
                          </w:rPr>
                          <w:t>2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r>
                      </w:p>
                    </w:tc>
                    <w:tc>
                      <w:tcPr>
                        <w:tcW w:w="109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37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kWh/m</w:t>
                        </w:r>
                        <w:r>
                          <w:rPr>
                            <w:rFonts w:ascii="Theinhardt Regular"/>
                            <w:color w:val="231F20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34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14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%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22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10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Warmwasser: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09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right="164"/>
                          <w:jc w:val="righ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4"/>
                          </w:rPr>
                          <w:t>3.1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34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9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8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3"/>
                            <w:sz w:val="14"/>
                            <w:szCs w:val="14"/>
                          </w:rPr>
                          <w:t>13’578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10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Heizung: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09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65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77.2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34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0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2"/>
                            <w:sz w:val="14"/>
                          </w:rPr>
                          <w:t>6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7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1"/>
                            <w:sz w:val="14"/>
                            <w:szCs w:val="14"/>
                          </w:rPr>
                          <w:t>3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3"/>
                            <w:sz w:val="14"/>
                            <w:szCs w:val="14"/>
                          </w:rPr>
                          <w:t>4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1"/>
                            <w:sz w:val="14"/>
                            <w:szCs w:val="14"/>
                          </w:rPr>
                          <w:t>0’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4"/>
                            <w:sz w:val="14"/>
                            <w:szCs w:val="14"/>
                          </w:rPr>
                          <w:t>00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10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pacing w:val="2"/>
                            <w:sz w:val="14"/>
                          </w:rPr>
                          <w:t>Elektrizität</w:t>
                        </w:r>
                        <w:r>
                          <w:rPr>
                            <w:rFonts w:ascii="Theinhardt Regular" w:hAns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09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64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49.3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34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0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38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9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4"/>
                            <w:szCs w:val="14"/>
                          </w:rPr>
                          <w:t>217’000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88" w:hRule="exact"/>
                    </w:trPr>
                    <w:tc>
                      <w:tcPr>
                        <w:tcW w:w="110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2"/>
                            <w:sz w:val="14"/>
                          </w:rPr>
                          <w:t>Gesamt-EB: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109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6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-1"/>
                            <w:sz w:val="14"/>
                          </w:rPr>
                          <w:t>129.6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34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2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100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82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z w:val="14"/>
                            <w:szCs w:val="14"/>
                          </w:rPr>
                          <w:t>570’578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z w:val="8"/>
        </w:rPr>
        <w:t>2</w:t>
      </w:r>
      <w:r>
        <w:rPr>
          <w:rFonts w:ascii="Theinhardt Regular"/>
          <w:sz w:val="8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8"/>
          <w:szCs w:val="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8"/>
          <w:szCs w:val="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8"/>
          <w:szCs w:val="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8"/>
          <w:szCs w:val="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8"/>
          <w:szCs w:val="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8"/>
          <w:szCs w:val="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8"/>
          <w:szCs w:val="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8"/>
          <w:szCs w:val="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8"/>
          <w:szCs w:val="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8"/>
          <w:szCs w:val="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8"/>
          <w:szCs w:val="8"/>
        </w:rPr>
      </w:pP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9"/>
          <w:szCs w:val="9"/>
        </w:rPr>
      </w:pPr>
    </w:p>
    <w:p>
      <w:pPr>
        <w:tabs>
          <w:tab w:pos="1538" w:val="left" w:leader="none"/>
          <w:tab w:pos="1892" w:val="left" w:leader="none"/>
        </w:tabs>
        <w:spacing w:line="160" w:lineRule="exact" w:before="0"/>
        <w:ind w:left="117" w:right="334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Energiebedarf nach der Sanierung [33% |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100%]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EBF: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2’190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</w:r>
      <w:r>
        <w:rPr>
          <w:rFonts w:ascii="Theinhardt Regular" w:hAnsi="Theinhardt Regular" w:cs="Theinhardt Regular" w:eastAsia="Theinhardt Regular"/>
          <w:color w:val="231F20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%</w:t>
      </w:r>
      <w:r>
        <w:rPr>
          <w:rFonts w:ascii="Theinhardt Regular" w:hAnsi="Theinhardt Regular" w:cs="Theinhardt Regular" w:eastAsia="Theinhardt Regular"/>
          <w:color w:val="231F20"/>
          <w:spacing w:val="1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kWh/a</w:t>
      </w:r>
      <w:r>
        <w:rPr>
          <w:rFonts w:ascii="Theinhardt Regular" w:hAnsi="Theinhardt Regular" w:cs="Theinhardt Regular" w:eastAsia="Theinhardt Regular"/>
          <w:color w:val="231F20"/>
          <w:spacing w:val="2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Warmwasser:</w:t>
        <w:tab/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6.2        </w:t>
      </w:r>
      <w:r>
        <w:rPr>
          <w:rFonts w:ascii="Theinhardt Regular" w:hAnsi="Theinhardt Regular" w:cs="Theinhardt Regular" w:eastAsia="Theinhardt Regular"/>
          <w:color w:val="231F20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8     </w:t>
      </w:r>
      <w:r>
        <w:rPr>
          <w:rFonts w:ascii="Theinhardt Regular" w:hAnsi="Theinhardt Regular" w:cs="Theinhardt Regular" w:eastAsia="Theinhardt Regular"/>
          <w:color w:val="231F20"/>
          <w:spacing w:val="3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13’578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812" w:val="left" w:leader="none"/>
        </w:tabs>
        <w:spacing w:line="165" w:lineRule="exact" w:before="0"/>
        <w:ind w:left="11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Heizung: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29.0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  </w:t>
      </w:r>
      <w:r>
        <w:rPr>
          <w:rFonts w:ascii="Theinhardt Regular" w:hAnsi="Theinhardt Regular" w:cs="Theinhardt Regular" w:eastAsia="Theinhardt Regular"/>
          <w:color w:val="231F20"/>
          <w:spacing w:val="1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37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  </w:t>
      </w:r>
      <w:r>
        <w:rPr>
          <w:rFonts w:ascii="Theinhardt Regular" w:hAnsi="Theinhardt Regular" w:cs="Theinhardt Regular" w:eastAsia="Theinhardt Regular"/>
          <w:color w:val="231F20"/>
          <w:spacing w:val="1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63’417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808" w:val="left" w:leader="none"/>
        </w:tabs>
        <w:spacing w:line="160" w:lineRule="exact" w:before="0"/>
        <w:ind w:left="11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43.0      </w:t>
      </w:r>
      <w:r>
        <w:rPr>
          <w:rFonts w:ascii="Theinhardt Regular" w:hAnsi="Theinhardt Regular" w:cs="Theinhardt Regular" w:eastAsia="Theinhardt Regular"/>
          <w:color w:val="231F20"/>
          <w:spacing w:val="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55     </w:t>
      </w:r>
      <w:r>
        <w:rPr>
          <w:rFonts w:ascii="Theinhardt Regular" w:hAnsi="Theinhardt Regular" w:cs="Theinhardt Regular" w:eastAsia="Theinhardt Regular"/>
          <w:color w:val="231F20"/>
          <w:spacing w:val="1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94’208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797" w:val="left" w:leader="none"/>
        </w:tabs>
        <w:spacing w:line="172" w:lineRule="exact" w:before="0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(Halle):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78.2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100   </w:t>
      </w:r>
      <w:r>
        <w:rPr>
          <w:rFonts w:ascii="Theinhardt Regular" w:hAnsi="Theinhardt Regular" w:cs="Theinhardt Regular" w:eastAsia="Theinhardt Regular"/>
          <w:color w:val="231F20"/>
          <w:spacing w:val="1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171’203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955" w:val="left" w:leader="none"/>
          <w:tab w:pos="1973" w:val="left" w:leader="none"/>
          <w:tab w:pos="2428" w:val="left" w:leader="none"/>
          <w:tab w:pos="2840" w:val="left" w:leader="none"/>
        </w:tabs>
        <w:spacing w:line="207" w:lineRule="auto" w:before="5"/>
        <w:ind w:left="117" w:right="34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Eigen-EV:</w:t>
        <w:tab/>
        <w:t>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       </w:t>
      </w:r>
      <w:r>
        <w:rPr>
          <w:rFonts w:ascii="Theinhardt Regular" w:hAnsi="Theinhardt Regular" w:cs="Theinhardt Regular" w:eastAsia="Theinhardt Regular"/>
          <w:color w:val="231F20"/>
          <w:spacing w:val="2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color w:val="231F20"/>
          <w:spacing w:val="2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PV-Dach:</w:t>
      </w:r>
      <w:r>
        <w:rPr>
          <w:rFonts w:ascii="Theinhardt Regular" w:hAnsi="Theinhardt Regular" w:cs="Theinhardt Regular" w:eastAsia="Theinhardt Regular"/>
          <w:color w:val="231F20"/>
          <w:spacing w:val="2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1’880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316.3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150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165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3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282’071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428" w:val="left" w:leader="none"/>
        </w:tabs>
        <w:spacing w:line="172" w:lineRule="exact" w:before="38"/>
        <w:ind w:left="11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Energiebilanz </w:t>
      </w:r>
      <w:r>
        <w:rPr>
          <w:rFonts w:ascii="Theinhardt Regular"/>
          <w:color w:val="231F20"/>
          <w:sz w:val="14"/>
        </w:rPr>
        <w:t>(Endenergie)</w:t>
        <w:tab/>
        <w:t>%      </w:t>
      </w:r>
      <w:r>
        <w:rPr>
          <w:rFonts w:ascii="Theinhardt Regular"/>
          <w:color w:val="231F20"/>
          <w:spacing w:val="18"/>
          <w:sz w:val="14"/>
        </w:rPr>
        <w:t> </w:t>
      </w:r>
      <w:r>
        <w:rPr>
          <w:rFonts w:ascii="Theinhardt Regular"/>
          <w:color w:val="231F20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309" w:val="left" w:leader="none"/>
        </w:tabs>
        <w:spacing w:line="160" w:lineRule="exact" w:before="0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165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282’071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09" w:val="left" w:leader="none"/>
        </w:tabs>
        <w:spacing w:line="160" w:lineRule="exact" w:before="0"/>
        <w:ind w:left="11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Gesamtenergiebedarf:</w:t>
        <w:tab/>
        <w:t>100   </w:t>
      </w:r>
      <w:r>
        <w:rPr>
          <w:rFonts w:ascii="Theinhardt Regular" w:hAnsi="Theinhardt Regular" w:cs="Theinhardt Regular" w:eastAsia="Theinhardt Regular"/>
          <w:color w:val="231F20"/>
          <w:spacing w:val="1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171’203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89" w:val="left" w:leader="none"/>
        </w:tabs>
        <w:spacing w:line="172" w:lineRule="exact" w:before="0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65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 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110’868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17" w:right="126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3"/>
          <w:sz w:val="14"/>
        </w:rPr>
        <w:t>EKZ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am18.06.2018</w:t>
      </w:r>
      <w:r>
        <w:rPr>
          <w:rFonts w:ascii="Theinhardt Regular" w:hAnsi="Theinhardt Regular"/>
          <w:color w:val="231F20"/>
          <w:spacing w:val="29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D.</w:t>
      </w:r>
      <w:r>
        <w:rPr>
          <w:rFonts w:ascii="Theinhardt Regular" w:hAnsi="Theinhardt Regular"/>
          <w:color w:val="231F20"/>
          <w:sz w:val="14"/>
        </w:rPr>
        <w:t> Meier,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058</w:t>
      </w:r>
      <w:r>
        <w:rPr>
          <w:rFonts w:ascii="Theinhardt Regular" w:hAnsi="Theinhardt Regular"/>
          <w:color w:val="231F20"/>
          <w:sz w:val="14"/>
        </w:rPr>
        <w:t> 359 55 </w:t>
      </w:r>
      <w:r>
        <w:rPr>
          <w:rFonts w:ascii="Theinhardt Regular" w:hAnsi="Theinhardt Regular"/>
          <w:color w:val="231F20"/>
          <w:spacing w:val="-1"/>
          <w:sz w:val="14"/>
        </w:rPr>
        <w:t>22</w:t>
      </w:r>
      <w:r>
        <w:rPr>
          <w:rFonts w:ascii="Theinhardt Regular" w:hAnsi="Theinhardt Regular"/>
          <w:sz w:val="14"/>
        </w:rPr>
      </w:r>
    </w:p>
    <w:p>
      <w:pPr>
        <w:spacing w:line="207" w:lineRule="auto" w:before="67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79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Elektrofahrzeuge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können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mit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dem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Solarstrom-</w:t>
      </w:r>
      <w:r>
        <w:rPr>
          <w:rFonts w:ascii="Theinhardt Regular" w:hAnsi="Theinhardt Regular" w:cs="Theinhardt Regular" w:eastAsia="Theinhardt Regular"/>
          <w:color w:val="231F20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überschuss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je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12’000 km/a CO</w:t>
      </w:r>
      <w:r>
        <w:rPr>
          <w:rFonts w:ascii="Theinhardt Regular" w:hAnsi="Theinhardt Regular" w:cs="Theinhardt Regular" w:eastAsia="Theinhardt Regular"/>
          <w:color w:val="231F20"/>
          <w:position w:val="-4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-frei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fahren.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before="116"/>
        <w:ind w:left="117" w:right="0" w:firstLine="0"/>
        <w:jc w:val="both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2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</w:t>
      </w:r>
      <w:r>
        <w:rPr>
          <w:rFonts w:ascii="Theinhardt Black"/>
          <w:b/>
          <w:color w:val="231F20"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Bauherrschaft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Standort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11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Tennishalle </w:t>
      </w:r>
      <w:r>
        <w:rPr>
          <w:rFonts w:ascii="Theinhardt Regular"/>
          <w:color w:val="231F20"/>
          <w:spacing w:val="1"/>
          <w:sz w:val="14"/>
        </w:rPr>
        <w:t>Feld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207" w:lineRule="auto" w:before="5"/>
        <w:ind w:left="117" w:right="126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Peter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Wenk,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Verwaltungspräsident</w:t>
      </w:r>
      <w:r>
        <w:rPr>
          <w:rFonts w:ascii="Theinhardt Regular" w:hAnsi="Theinhardt Regular"/>
          <w:color w:val="231F20"/>
          <w:spacing w:val="24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Eichacherstr.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14,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8904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Aesch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(ZH)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1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044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251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71</w:t>
      </w:r>
      <w:r>
        <w:rPr>
          <w:rFonts w:ascii="Theinhardt Regular"/>
          <w:color w:val="231F20"/>
          <w:sz w:val="14"/>
        </w:rPr>
        <w:t> 30</w:t>
      </w:r>
      <w:hyperlink r:id="rId6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pwenk@gmx.ch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Projektleiter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EKS</w:t>
      </w:r>
      <w:r>
        <w:rPr>
          <w:rFonts w:ascii="Theinhardt Regular"/>
          <w:sz w:val="14"/>
        </w:rPr>
      </w:r>
    </w:p>
    <w:p>
      <w:pPr>
        <w:spacing w:line="207" w:lineRule="auto" w:before="5"/>
        <w:ind w:left="117" w:right="68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Daniel</w:t>
      </w:r>
      <w:r>
        <w:rPr>
          <w:rFonts w:ascii="Theinhardt Regular"/>
          <w:color w:val="231F20"/>
          <w:sz w:val="14"/>
        </w:rPr>
        <w:t> Meyer, </w:t>
      </w:r>
      <w:r>
        <w:rPr>
          <w:rFonts w:ascii="Theinhardt Regular"/>
          <w:color w:val="231F20"/>
          <w:spacing w:val="1"/>
          <w:sz w:val="14"/>
        </w:rPr>
        <w:t>Raphael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Probst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und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Jonas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Bolli</w:t>
      </w:r>
      <w:r>
        <w:rPr>
          <w:rFonts w:ascii="Theinhardt Regular"/>
          <w:color w:val="231F20"/>
          <w:spacing w:val="22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Rheinstrasse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37,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8200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Schaffhausen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1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052</w:t>
      </w:r>
      <w:r>
        <w:rPr>
          <w:rFonts w:ascii="Theinhardt Regular"/>
          <w:color w:val="231F20"/>
          <w:sz w:val="14"/>
        </w:rPr>
        <w:t> 633 55 </w:t>
      </w:r>
      <w:r>
        <w:rPr>
          <w:rFonts w:ascii="Theinhardt Regular"/>
          <w:color w:val="231F20"/>
          <w:spacing w:val="-1"/>
          <w:sz w:val="14"/>
        </w:rPr>
        <w:t>49</w:t>
      </w:r>
      <w:hyperlink r:id="rId7">
        <w:r>
          <w:rPr>
            <w:rFonts w:ascii="Theinhardt Regular"/>
            <w:color w:val="231F20"/>
            <w:spacing w:val="-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jonas.bolli@eks.ch</w:t>
        </w:r>
        <w:r>
          <w:rPr>
            <w:rFonts w:ascii="Theinhardt Regular"/>
            <w:sz w:val="14"/>
          </w:rPr>
        </w:r>
      </w:hyperlink>
    </w:p>
    <w:p>
      <w:pPr>
        <w:spacing w:after="0" w:line="167" w:lineRule="exact"/>
        <w:jc w:val="both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3" w:equalWidth="0">
            <w:col w:w="3473" w:space="99"/>
            <w:col w:w="3463" w:space="109"/>
            <w:col w:w="3586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6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00" w:lineRule="atLeast"/>
        <w:ind w:left="726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2389" cy="1298448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2389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60" w:val="left" w:leader="none"/>
        </w:tabs>
        <w:spacing w:before="11"/>
        <w:ind w:left="12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37.141998pt;margin-top:-230.242706pt;width:345.73pt;height:230.044pt;mso-position-horizontal-relative:page;mso-position-vertical-relative:paragraph;z-index:1216" type="#_x0000_t75" stroked="false">
            <v:imagedata r:id="rId9" o:title=""/>
          </v:shape>
        </w:pict>
      </w:r>
      <w:r>
        <w:rPr>
          <w:rFonts w:ascii="Theinhardt Bold"/>
          <w:b/>
          <w:color w:val="231F20"/>
          <w:position w:val="1"/>
          <w:sz w:val="14"/>
        </w:rPr>
        <w:t>1</w:t>
        <w:tab/>
      </w:r>
      <w:r>
        <w:rPr>
          <w:rFonts w:ascii="Theinhardt Bold"/>
          <w:b/>
          <w:color w:val="231F20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0"/>
          <w:szCs w:val="20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6"/>
          <w:szCs w:val="16"/>
        </w:rPr>
      </w:pP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0"/>
        <w:ind w:left="343" w:right="0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ganzflächig optimal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integrierte,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316 kW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PV-Anlage deckt mit 282’000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Strombedarf des gesamten Areals.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6"/>
          <w:szCs w:val="16"/>
        </w:rPr>
      </w:pPr>
      <w:r>
        <w:rPr/>
        <w:br w:type="column"/>
      </w:r>
      <w:r>
        <w:rPr>
          <w:rFonts w:ascii="Theinhardt Bold"/>
          <w:b/>
          <w:sz w:val="16"/>
        </w:rPr>
      </w: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0"/>
        <w:ind w:left="343" w:right="3817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Eine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beiden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pacing w:val="-2"/>
          <w:sz w:val="14"/>
        </w:rPr>
        <w:t>Tennishallen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wurde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durch</w:t>
      </w:r>
      <w:r>
        <w:rPr>
          <w:rFonts w:ascii="Theinhardt Bold" w:hAnsi="Theinhardt Bold"/>
          <w:b/>
          <w:color w:val="231F20"/>
          <w:sz w:val="14"/>
        </w:rPr>
        <w:t> zwei</w:t>
      </w:r>
      <w:r>
        <w:rPr>
          <w:rFonts w:ascii="Theinhardt Bold" w:hAnsi="Theinhardt Bold"/>
          <w:b/>
          <w:color w:val="231F20"/>
          <w:spacing w:val="55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Mehrfamilienhäuser ersetzt.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2" w:equalWidth="0">
            <w:col w:w="3402" w:space="169"/>
            <w:col w:w="7159"/>
          </w:cols>
        </w:sect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58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sectPr>
      <w:type w:val="continuous"/>
      <w:pgSz w:w="12250" w:h="17180"/>
      <w:pgMar w:top="1000" w:bottom="280" w:left="6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49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5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61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66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72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78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84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9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 w:firstLine="22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pwenk@gmx.ch" TargetMode="External"/><Relationship Id="rId7" Type="http://schemas.openxmlformats.org/officeDocument/2006/relationships/hyperlink" Target="mailto:jonas.bolli@eks.ch" TargetMode="External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2018-10-02T10:02:23Z</dcterms:created>
  <dcterms:modified xsi:type="dcterms:W3CDTF">2018-10-02T10:02:23Z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