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96" w:val="left" w:leader="none"/>
        </w:tabs>
        <w:spacing w:line="230" w:lineRule="exact" w:before="38"/>
        <w:ind w:left="157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37.063pt;margin-top:14.14727pt;width:.1pt;height:.1pt;mso-position-horizontal-relative:page;mso-position-vertical-relative:paragraph;z-index:-9640" coordorigin="741,283" coordsize="2,2">
            <v:shape style="position:absolute;left:741;top:283;width:2;height:2" coordorigin="741,283" coordsize="0,0" path="m741,283l741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14.14727pt;width:.1pt;height:.1pt;mso-position-horizontal-relative:page;mso-position-vertical-relative:paragraph;z-index:1144" coordorigin="3185,283" coordsize="2,2">
            <v:shape style="position:absolute;left:3185;top:283;width:2;height:2" coordorigin="3185,283" coordsize="0,0" path="m3185,283l3185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37.063pt;margin-top:25.64727pt;width:.1pt;height:.1pt;mso-position-horizontal-relative:page;mso-position-vertical-relative:paragraph;z-index:-9592" coordorigin="741,513" coordsize="2,2">
            <v:shape style="position:absolute;left:741;top:513;width:2;height:2" coordorigin="741,513" coordsize="0,0" path="m741,513l741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25.64727pt;width:.1pt;height:.1pt;mso-position-horizontal-relative:page;mso-position-vertical-relative:paragraph;z-index:1192" coordorigin="3185,513" coordsize="2,2">
            <v:shape style="position:absolute;left:3185;top:513;width:2;height:2" coordorigin="3185,513" coordsize="0,0" path="m3185,513l3185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shape style="position:absolute;margin-left:36.851002pt;margin-top:52.85577pt;width:82.2043pt;height:60.2039pt;mso-position-horizontal-relative:page;mso-position-vertical-relative:paragraph;z-index:1216" type="#_x0000_t75" stroked="false">
            <v:imagedata r:id="rId5" o:title=""/>
          </v:shape>
        </w:pict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Kategorie</w:t>
      </w:r>
      <w:r>
        <w:rPr>
          <w:rFonts w:ascii="Theinhardt Black" w:hAnsi="Theinhardt Black"/>
          <w:b/>
          <w:color w:val="231F20"/>
          <w:spacing w:val="-1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B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5"/>
          <w:sz w:val="18"/>
        </w:rPr>
        <w:t> </w:t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PlusEnergieBauten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2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PlusEnergieBau</w:t>
      </w:r>
      <w:r>
        <w:rPr>
          <w:rFonts w:ascii="Theinhardt Regular" w:hAnsi="Theinhardt Regular"/>
          <w:color w:val="231F20"/>
          <w:spacing w:val="-1"/>
          <w:position w:val="6"/>
          <w:sz w:val="10"/>
        </w:rPr>
        <w:t>®</w:t>
      </w:r>
      <w:r>
        <w:rPr>
          <w:rFonts w:ascii="Theinhardt Regular" w:hAnsi="Theinhardt Regular"/>
          <w:color w:val="231F20"/>
          <w:spacing w:val="-1"/>
          <w:sz w:val="18"/>
        </w:rPr>
        <w:t>-Diplom</w:t>
      </w:r>
      <w:r>
        <w:rPr>
          <w:rFonts w:ascii="Theinhardt Regular" w:hAnsi="Theinhardt Regular"/>
          <w:color w:val="231F20"/>
          <w:spacing w:val="3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2018</w:t>
      </w:r>
      <w:r>
        <w:rPr>
          <w:rFonts w:ascii="Theinhardt Regular" w:hAnsi="Theinhardt Regular"/>
          <w:sz w:val="18"/>
        </w:rPr>
      </w:r>
    </w:p>
    <w:p>
      <w:pPr>
        <w:pStyle w:val="BodyText"/>
        <w:spacing w:line="230" w:lineRule="exact"/>
        <w:ind w:right="117"/>
        <w:jc w:val="both"/>
        <w:rPr>
          <w:b w:val="0"/>
          <w:bCs w:val="0"/>
        </w:rPr>
      </w:pPr>
      <w:r>
        <w:rPr>
          <w:b w:val="0"/>
          <w:bCs w:val="0"/>
        </w:rPr>
        <w:br w:type="column"/>
      </w:r>
      <w:r>
        <w:rPr>
          <w:color w:val="231F20"/>
        </w:rPr>
        <w:t>Das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Einfamilienhaus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(EFH)</w:t>
      </w:r>
      <w:r>
        <w:rPr>
          <w:color w:val="231F20"/>
          <w:spacing w:val="-8"/>
        </w:rPr>
        <w:t> </w:t>
      </w:r>
      <w:r>
        <w:rPr>
          <w:color w:val="231F20"/>
        </w:rPr>
        <w:t>Schilling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8"/>
        </w:rPr>
        <w:t> </w:t>
      </w:r>
      <w:r>
        <w:rPr>
          <w:color w:val="231F20"/>
          <w:spacing w:val="1"/>
        </w:rPr>
        <w:t>Bottighofen/TG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wurde</w:t>
      </w:r>
      <w:r>
        <w:rPr>
          <w:color w:val="231F20"/>
          <w:spacing w:val="-8"/>
        </w:rPr>
        <w:t> </w:t>
      </w:r>
      <w:r>
        <w:rPr>
          <w:color w:val="231F20"/>
        </w:rPr>
        <w:t>1975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erstellt</w:t>
      </w:r>
      <w:r>
        <w:rPr>
          <w:color w:val="231F20"/>
          <w:spacing w:val="-8"/>
        </w:rPr>
        <w:t> </w:t>
      </w:r>
      <w:r>
        <w:rPr>
          <w:color w:val="231F20"/>
        </w:rPr>
        <w:t>und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konsumierte</w:t>
      </w:r>
      <w:r>
        <w:rPr>
          <w:color w:val="231F20"/>
          <w:spacing w:val="-8"/>
        </w:rPr>
        <w:t> </w:t>
      </w:r>
      <w:r>
        <w:rPr>
          <w:color w:val="231F20"/>
        </w:rPr>
        <w:t>vor</w:t>
      </w:r>
      <w:r>
        <w:rPr>
          <w:color w:val="231F20"/>
          <w:spacing w:val="85"/>
        </w:rPr>
        <w:t> </w:t>
      </w:r>
      <w:r>
        <w:rPr>
          <w:color w:val="231F20"/>
          <w:spacing w:val="-1"/>
        </w:rPr>
        <w:t>der</w:t>
      </w:r>
      <w:r>
        <w:rPr>
          <w:color w:val="231F20"/>
          <w:spacing w:val="26"/>
        </w:rPr>
        <w:t> </w:t>
      </w:r>
      <w:r>
        <w:rPr>
          <w:color w:val="231F20"/>
        </w:rPr>
        <w:t>Sanierung</w:t>
      </w:r>
      <w:r>
        <w:rPr>
          <w:color w:val="231F20"/>
          <w:spacing w:val="26"/>
        </w:rPr>
        <w:t> </w:t>
      </w:r>
      <w:r>
        <w:rPr>
          <w:color w:val="231F20"/>
        </w:rPr>
        <w:t>35’900</w:t>
      </w:r>
      <w:r>
        <w:rPr>
          <w:color w:val="231F20"/>
          <w:spacing w:val="26"/>
        </w:rPr>
        <w:t> </w:t>
      </w:r>
      <w:r>
        <w:rPr>
          <w:color w:val="231F20"/>
          <w:spacing w:val="-2"/>
        </w:rPr>
        <w:t>kWh/a.</w:t>
      </w:r>
      <w:r>
        <w:rPr>
          <w:color w:val="231F20"/>
          <w:spacing w:val="19"/>
        </w:rPr>
        <w:t> </w:t>
      </w:r>
      <w:r>
        <w:rPr>
          <w:color w:val="231F20"/>
        </w:rPr>
        <w:t>Nach</w:t>
      </w:r>
      <w:r>
        <w:rPr>
          <w:color w:val="231F20"/>
          <w:spacing w:val="26"/>
        </w:rPr>
        <w:t> </w:t>
      </w:r>
      <w:r>
        <w:rPr>
          <w:color w:val="231F20"/>
        </w:rPr>
        <w:t>einem</w:t>
      </w:r>
      <w:r>
        <w:rPr>
          <w:color w:val="231F20"/>
          <w:spacing w:val="26"/>
        </w:rPr>
        <w:t> </w:t>
      </w:r>
      <w:r>
        <w:rPr>
          <w:color w:val="231F20"/>
        </w:rPr>
        <w:t>Brand</w:t>
      </w:r>
      <w:r>
        <w:rPr>
          <w:color w:val="231F20"/>
          <w:spacing w:val="26"/>
        </w:rPr>
        <w:t> </w:t>
      </w:r>
      <w:r>
        <w:rPr>
          <w:color w:val="231F20"/>
        </w:rPr>
        <w:t>ersetzte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Familie</w:t>
      </w:r>
      <w:r>
        <w:rPr>
          <w:color w:val="231F20"/>
          <w:spacing w:val="26"/>
        </w:rPr>
        <w:t> </w:t>
      </w:r>
      <w:r>
        <w:rPr>
          <w:color w:val="231F20"/>
        </w:rPr>
        <w:t>Schilling</w:t>
      </w:r>
      <w:r>
        <w:rPr>
          <w:color w:val="231F20"/>
          <w:spacing w:val="26"/>
        </w:rPr>
        <w:t> </w:t>
      </w:r>
      <w:r>
        <w:rPr>
          <w:color w:val="231F20"/>
        </w:rPr>
        <w:t>das</w:t>
      </w:r>
      <w:r>
        <w:rPr>
          <w:color w:val="231F20"/>
          <w:spacing w:val="26"/>
        </w:rPr>
        <w:t> </w:t>
      </w:r>
      <w:r>
        <w:rPr>
          <w:color w:val="231F20"/>
        </w:rPr>
        <w:t>Dachge-</w:t>
      </w:r>
      <w:r>
        <w:rPr>
          <w:color w:val="231F20"/>
          <w:spacing w:val="52"/>
        </w:rPr>
        <w:t> </w:t>
      </w:r>
      <w:r>
        <w:rPr>
          <w:color w:val="231F20"/>
        </w:rPr>
        <w:t>schoss</w:t>
      </w:r>
      <w:r>
        <w:rPr>
          <w:color w:val="231F20"/>
          <w:spacing w:val="-6"/>
        </w:rPr>
        <w:t> </w:t>
      </w:r>
      <w:r>
        <w:rPr>
          <w:color w:val="231F20"/>
        </w:rPr>
        <w:t>ihres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EFH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durch</w:t>
      </w:r>
      <w:r>
        <w:rPr>
          <w:color w:val="231F20"/>
          <w:spacing w:val="-6"/>
        </w:rPr>
        <w:t> </w:t>
      </w:r>
      <w:r>
        <w:rPr>
          <w:color w:val="231F20"/>
        </w:rPr>
        <w:t>einen</w:t>
      </w:r>
      <w:r>
        <w:rPr>
          <w:color w:val="231F20"/>
          <w:spacing w:val="-6"/>
        </w:rPr>
        <w:t> </w:t>
      </w:r>
      <w:r>
        <w:rPr>
          <w:color w:val="231F20"/>
        </w:rPr>
        <w:t>Ersatzneubau.</w:t>
      </w:r>
      <w:r>
        <w:rPr>
          <w:color w:val="231F20"/>
          <w:spacing w:val="-13"/>
        </w:rPr>
        <w:t> </w:t>
      </w:r>
      <w:r>
        <w:rPr>
          <w:color w:val="231F20"/>
        </w:rPr>
        <w:t>Das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Erdgeschoss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wurde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konsequent</w:t>
      </w:r>
      <w:r>
        <w:rPr>
          <w:color w:val="231F20"/>
          <w:spacing w:val="-6"/>
        </w:rPr>
        <w:t> </w:t>
      </w:r>
      <w:r>
        <w:rPr>
          <w:color w:val="231F20"/>
        </w:rPr>
        <w:t>gedämmt</w:t>
      </w:r>
      <w:r>
        <w:rPr>
          <w:color w:val="231F20"/>
          <w:spacing w:val="-6"/>
        </w:rPr>
        <w:t> </w:t>
      </w:r>
      <w:r>
        <w:rPr>
          <w:color w:val="231F20"/>
        </w:rPr>
        <w:t>und</w:t>
      </w:r>
      <w:r>
        <w:rPr>
          <w:color w:val="231F20"/>
          <w:spacing w:val="68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südliche</w:t>
      </w:r>
      <w:r>
        <w:rPr>
          <w:color w:val="231F20"/>
          <w:spacing w:val="5"/>
        </w:rPr>
        <w:t> </w:t>
      </w:r>
      <w:r>
        <w:rPr>
          <w:color w:val="231F20"/>
        </w:rPr>
        <w:t>Dachfläche</w:t>
      </w:r>
      <w:r>
        <w:rPr>
          <w:color w:val="231F20"/>
          <w:spacing w:val="5"/>
        </w:rPr>
        <w:t> </w:t>
      </w:r>
      <w:r>
        <w:rPr>
          <w:color w:val="231F20"/>
        </w:rPr>
        <w:t>mit</w:t>
      </w:r>
      <w:r>
        <w:rPr>
          <w:color w:val="231F20"/>
          <w:spacing w:val="5"/>
        </w:rPr>
        <w:t> </w:t>
      </w:r>
      <w:r>
        <w:rPr>
          <w:color w:val="231F20"/>
        </w:rPr>
        <w:t>einer</w:t>
      </w:r>
      <w:r>
        <w:rPr>
          <w:color w:val="231F20"/>
          <w:spacing w:val="5"/>
        </w:rPr>
        <w:t> </w:t>
      </w:r>
      <w:r>
        <w:rPr>
          <w:color w:val="231F20"/>
        </w:rPr>
        <w:t>PV-Anlage</w:t>
      </w:r>
      <w:r>
        <w:rPr>
          <w:color w:val="231F20"/>
          <w:spacing w:val="4"/>
        </w:rPr>
        <w:t> </w:t>
      </w:r>
      <w:r>
        <w:rPr>
          <w:color w:val="231F20"/>
        </w:rPr>
        <w:t>und</w:t>
      </w:r>
      <w:r>
        <w:rPr>
          <w:color w:val="231F20"/>
          <w:spacing w:val="5"/>
        </w:rPr>
        <w:t> </w:t>
      </w:r>
      <w:r>
        <w:rPr>
          <w:color w:val="231F20"/>
        </w:rPr>
        <w:t>thermischen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Kollektoren</w:t>
      </w:r>
      <w:r>
        <w:rPr>
          <w:color w:val="231F20"/>
          <w:spacing w:val="5"/>
        </w:rPr>
        <w:t> </w:t>
      </w:r>
      <w:r>
        <w:rPr>
          <w:color w:val="231F20"/>
        </w:rPr>
        <w:t>ausgestattet.</w:t>
      </w:r>
      <w:r>
        <w:rPr>
          <w:color w:val="231F20"/>
          <w:spacing w:val="-2"/>
        </w:rPr>
        <w:t> </w:t>
      </w:r>
      <w:r>
        <w:rPr>
          <w:color w:val="231F20"/>
        </w:rPr>
        <w:t>Durch</w:t>
      </w:r>
      <w:r>
        <w:rPr>
          <w:color w:val="231F20"/>
          <w:spacing w:val="56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10"/>
        </w:rPr>
        <w:t> </w:t>
      </w:r>
      <w:r>
        <w:rPr>
          <w:color w:val="231F20"/>
        </w:rPr>
        <w:t>Renovation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konnte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der</w:t>
      </w:r>
      <w:r>
        <w:rPr>
          <w:color w:val="231F20"/>
          <w:spacing w:val="10"/>
        </w:rPr>
        <w:t> </w:t>
      </w:r>
      <w:r>
        <w:rPr>
          <w:color w:val="231F20"/>
        </w:rPr>
        <w:t>Energiebedarf</w:t>
      </w:r>
      <w:r>
        <w:rPr>
          <w:color w:val="231F20"/>
          <w:spacing w:val="10"/>
        </w:rPr>
        <w:t> </w:t>
      </w:r>
      <w:r>
        <w:rPr>
          <w:color w:val="231F20"/>
        </w:rPr>
        <w:t>um</w:t>
      </w:r>
      <w:r>
        <w:rPr>
          <w:color w:val="231F20"/>
          <w:spacing w:val="10"/>
        </w:rPr>
        <w:t> </w:t>
      </w:r>
      <w:r>
        <w:rPr>
          <w:color w:val="231F20"/>
        </w:rPr>
        <w:t>mehr</w:t>
      </w:r>
      <w:r>
        <w:rPr>
          <w:color w:val="231F20"/>
          <w:spacing w:val="10"/>
        </w:rPr>
        <w:t> </w:t>
      </w:r>
      <w:r>
        <w:rPr>
          <w:color w:val="231F20"/>
        </w:rPr>
        <w:t>als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10"/>
        </w:rPr>
        <w:t> </w:t>
      </w:r>
      <w:r>
        <w:rPr>
          <w:color w:val="231F20"/>
        </w:rPr>
        <w:t>Hälfte</w:t>
      </w:r>
      <w:r>
        <w:rPr>
          <w:color w:val="231F20"/>
          <w:spacing w:val="10"/>
        </w:rPr>
        <w:t> </w:t>
      </w:r>
      <w:r>
        <w:rPr>
          <w:color w:val="231F20"/>
        </w:rPr>
        <w:t>auf</w:t>
      </w:r>
      <w:r>
        <w:rPr>
          <w:color w:val="231F20"/>
          <w:spacing w:val="10"/>
        </w:rPr>
        <w:t> </w:t>
      </w:r>
      <w:r>
        <w:rPr>
          <w:color w:val="231F20"/>
        </w:rPr>
        <w:t>13’700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10"/>
        </w:rPr>
        <w:t> </w:t>
      </w:r>
      <w:r>
        <w:rPr>
          <w:color w:val="231F20"/>
        </w:rPr>
        <w:t>reduziert</w:t>
      </w:r>
      <w:r>
        <w:rPr>
          <w:color w:val="231F20"/>
          <w:spacing w:val="48"/>
        </w:rPr>
        <w:t> </w:t>
      </w:r>
      <w:r>
        <w:rPr>
          <w:color w:val="231F20"/>
          <w:spacing w:val="-1"/>
        </w:rPr>
        <w:t>werden.</w:t>
      </w:r>
      <w:r>
        <w:rPr>
          <w:color w:val="231F20"/>
          <w:spacing w:val="-12"/>
        </w:rPr>
        <w:t> </w:t>
      </w:r>
      <w:r>
        <w:rPr>
          <w:color w:val="231F20"/>
        </w:rPr>
        <w:t>Die</w:t>
      </w:r>
      <w:r>
        <w:rPr>
          <w:color w:val="231F20"/>
          <w:spacing w:val="-5"/>
        </w:rPr>
        <w:t> </w:t>
      </w:r>
      <w:r>
        <w:rPr>
          <w:color w:val="231F20"/>
        </w:rPr>
        <w:t>optimal</w:t>
      </w:r>
      <w:r>
        <w:rPr>
          <w:color w:val="231F20"/>
          <w:spacing w:val="-5"/>
        </w:rPr>
        <w:t> </w:t>
      </w:r>
      <w:r>
        <w:rPr>
          <w:color w:val="231F20"/>
        </w:rPr>
        <w:t>dachintegrierte</w:t>
      </w:r>
      <w:r>
        <w:rPr>
          <w:color w:val="231F20"/>
          <w:spacing w:val="-5"/>
        </w:rPr>
        <w:t> </w:t>
      </w:r>
      <w:r>
        <w:rPr>
          <w:color w:val="231F20"/>
        </w:rPr>
        <w:t>19.8</w:t>
      </w:r>
      <w:r>
        <w:rPr>
          <w:color w:val="231F20"/>
          <w:spacing w:val="-5"/>
        </w:rPr>
        <w:t> </w:t>
      </w:r>
      <w:r>
        <w:rPr>
          <w:color w:val="231F20"/>
        </w:rPr>
        <w:t>kW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starke</w:t>
      </w:r>
      <w:r>
        <w:rPr>
          <w:color w:val="231F20"/>
          <w:spacing w:val="-5"/>
        </w:rPr>
        <w:t> </w:t>
      </w:r>
      <w:r>
        <w:rPr>
          <w:color w:val="231F20"/>
        </w:rPr>
        <w:t>PV-Anlage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erzeugt</w:t>
      </w:r>
      <w:r>
        <w:rPr>
          <w:color w:val="231F20"/>
          <w:spacing w:val="-5"/>
        </w:rPr>
        <w:t> </w:t>
      </w:r>
      <w:r>
        <w:rPr>
          <w:color w:val="231F20"/>
        </w:rPr>
        <w:t>24’500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kWh/a.</w:t>
      </w:r>
      <w:r>
        <w:rPr>
          <w:color w:val="231F20"/>
          <w:spacing w:val="-12"/>
        </w:rPr>
        <w:t> </w:t>
      </w:r>
      <w:r>
        <w:rPr>
          <w:color w:val="231F20"/>
        </w:rPr>
        <w:t>Die</w:t>
      </w:r>
      <w:r>
        <w:rPr>
          <w:color w:val="231F20"/>
          <w:spacing w:val="-5"/>
        </w:rPr>
        <w:t> </w:t>
      </w:r>
      <w:r>
        <w:rPr>
          <w:color w:val="231F20"/>
        </w:rPr>
        <w:t>ther-</w:t>
      </w:r>
      <w:r>
        <w:rPr>
          <w:color w:val="231F20"/>
          <w:spacing w:val="52"/>
        </w:rPr>
        <w:t> </w:t>
      </w:r>
      <w:r>
        <w:rPr>
          <w:color w:val="231F20"/>
        </w:rPr>
        <w:t>mischen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Sonnenkollektoren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stellen</w:t>
      </w:r>
      <w:r>
        <w:rPr>
          <w:color w:val="231F20"/>
          <w:spacing w:val="3"/>
        </w:rPr>
        <w:t> </w:t>
      </w:r>
      <w:r>
        <w:rPr>
          <w:color w:val="231F20"/>
        </w:rPr>
        <w:t>zusammen</w:t>
      </w:r>
      <w:r>
        <w:rPr>
          <w:color w:val="231F20"/>
          <w:spacing w:val="3"/>
        </w:rPr>
        <w:t> </w:t>
      </w:r>
      <w:r>
        <w:rPr>
          <w:color w:val="231F20"/>
        </w:rPr>
        <w:t>mit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der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Wärmepumpe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3"/>
        </w:rPr>
        <w:t> </w:t>
      </w:r>
      <w:r>
        <w:rPr>
          <w:color w:val="231F20"/>
        </w:rPr>
        <w:t>benötigte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Energie</w:t>
      </w:r>
      <w:r>
        <w:rPr>
          <w:color w:val="231F20"/>
          <w:spacing w:val="3"/>
        </w:rPr>
        <w:t> </w:t>
      </w:r>
      <w:r>
        <w:rPr>
          <w:color w:val="231F20"/>
        </w:rPr>
        <w:t>für</w:t>
      </w:r>
      <w:r>
        <w:rPr>
          <w:color w:val="231F20"/>
          <w:spacing w:val="81"/>
        </w:rPr>
        <w:t> </w:t>
      </w:r>
      <w:r>
        <w:rPr>
          <w:color w:val="231F20"/>
        </w:rPr>
        <w:t>Heizung</w:t>
      </w:r>
      <w:r>
        <w:rPr>
          <w:color w:val="231F20"/>
          <w:spacing w:val="-10"/>
        </w:rPr>
        <w:t> </w:t>
      </w:r>
      <w:r>
        <w:rPr>
          <w:color w:val="231F20"/>
        </w:rPr>
        <w:t>und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Brauchwasser</w:t>
      </w:r>
      <w:r>
        <w:rPr>
          <w:color w:val="231F20"/>
          <w:spacing w:val="-10"/>
        </w:rPr>
        <w:t> </w:t>
      </w:r>
      <w:r>
        <w:rPr>
          <w:color w:val="231F20"/>
        </w:rPr>
        <w:t>bereit.</w:t>
      </w:r>
      <w:r>
        <w:rPr>
          <w:color w:val="231F20"/>
          <w:spacing w:val="-17"/>
        </w:rPr>
        <w:t> </w:t>
      </w:r>
      <w:r>
        <w:rPr>
          <w:color w:val="231F20"/>
        </w:rPr>
        <w:t>Insgesamt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weist</w:t>
      </w:r>
      <w:r>
        <w:rPr>
          <w:color w:val="231F20"/>
          <w:spacing w:val="-9"/>
        </w:rPr>
        <w:t> </w:t>
      </w:r>
      <w:r>
        <w:rPr>
          <w:color w:val="231F20"/>
        </w:rPr>
        <w:t>das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EFH</w:t>
      </w:r>
      <w:r>
        <w:rPr>
          <w:color w:val="231F20"/>
          <w:spacing w:val="-10"/>
        </w:rPr>
        <w:t> </w:t>
      </w:r>
      <w:r>
        <w:rPr>
          <w:color w:val="231F20"/>
        </w:rPr>
        <w:t>damit</w:t>
      </w:r>
      <w:r>
        <w:rPr>
          <w:color w:val="231F20"/>
          <w:spacing w:val="-10"/>
        </w:rPr>
        <w:t> </w:t>
      </w:r>
      <w:r>
        <w:rPr>
          <w:color w:val="231F20"/>
        </w:rPr>
        <w:t>eine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Eigenenergieversorgung</w:t>
      </w:r>
      <w:r>
        <w:rPr>
          <w:color w:val="231F20"/>
          <w:spacing w:val="79"/>
        </w:rPr>
        <w:t> </w:t>
      </w:r>
      <w:r>
        <w:rPr>
          <w:color w:val="231F20"/>
        </w:rPr>
        <w:t>von 204% </w:t>
      </w:r>
      <w:r>
        <w:rPr>
          <w:color w:val="231F20"/>
          <w:spacing w:val="-3"/>
        </w:rPr>
        <w:t>auf.</w:t>
      </w:r>
      <w:r>
        <w:rPr>
          <w:b w:val="0"/>
          <w:bCs w:val="0"/>
        </w:rPr>
      </w:r>
    </w:p>
    <w:p>
      <w:pPr>
        <w:spacing w:after="0" w:line="230" w:lineRule="exact"/>
        <w:jc w:val="both"/>
        <w:sectPr>
          <w:type w:val="continuous"/>
          <w:pgSz w:w="12250" w:h="17180"/>
          <w:pgMar w:top="1000" w:bottom="280" w:left="580" w:right="900"/>
          <w:cols w:num="2" w:equalWidth="0">
            <w:col w:w="2597" w:space="82"/>
            <w:col w:w="809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26"/>
          <w:szCs w:val="26"/>
        </w:rPr>
      </w:pPr>
    </w:p>
    <w:p>
      <w:pPr>
        <w:spacing w:before="5"/>
        <w:ind w:left="157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z w:val="40"/>
        </w:rPr>
        <w:t>204%-PEB-EFH Sanierung, 8598 </w:t>
      </w:r>
      <w:r>
        <w:rPr>
          <w:rFonts w:ascii="Theinhardt Black"/>
          <w:b/>
          <w:color w:val="0067B1"/>
          <w:spacing w:val="6"/>
          <w:sz w:val="40"/>
        </w:rPr>
        <w:t>Bottighofen/TG</w:t>
      </w:r>
      <w:r>
        <w:rPr>
          <w:rFonts w:asci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00" w:bottom="280" w:left="580" w:right="900"/>
        </w:sectPr>
      </w:pPr>
    </w:p>
    <w:p>
      <w:pPr>
        <w:spacing w:line="230" w:lineRule="exact" w:before="52"/>
        <w:ind w:left="157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/>
          <w:color w:val="231F20"/>
          <w:sz w:val="18"/>
        </w:rPr>
        <w:t>Ein</w:t>
      </w:r>
      <w:r>
        <w:rPr>
          <w:rFonts w:ascii="Theinhardt Regular" w:hAnsi="Theinhardt Regular"/>
          <w:color w:val="231F20"/>
          <w:spacing w:val="31"/>
          <w:sz w:val="18"/>
        </w:rPr>
        <w:t> </w:t>
      </w:r>
      <w:r>
        <w:rPr>
          <w:rFonts w:ascii="Theinhardt Regular" w:hAnsi="Theinhardt Regular"/>
          <w:color w:val="231F20"/>
          <w:spacing w:val="-2"/>
          <w:sz w:val="18"/>
        </w:rPr>
        <w:t>durch</w:t>
      </w:r>
      <w:r>
        <w:rPr>
          <w:rFonts w:ascii="Theinhardt Regular" w:hAnsi="Theinhardt Regular"/>
          <w:color w:val="231F20"/>
          <w:spacing w:val="32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einen</w:t>
      </w:r>
      <w:r>
        <w:rPr>
          <w:rFonts w:ascii="Theinhardt Regular" w:hAnsi="Theinhardt Regular"/>
          <w:color w:val="231F20"/>
          <w:spacing w:val="21"/>
          <w:sz w:val="18"/>
        </w:rPr>
        <w:t> </w:t>
      </w:r>
      <w:r>
        <w:rPr>
          <w:rFonts w:ascii="Theinhardt Regular" w:hAnsi="Theinhardt Regular"/>
          <w:color w:val="231F20"/>
          <w:spacing w:val="-2"/>
          <w:sz w:val="18"/>
        </w:rPr>
        <w:t>Vollbrand</w:t>
      </w:r>
      <w:r>
        <w:rPr>
          <w:rFonts w:ascii="Theinhardt Regular" w:hAnsi="Theinhardt Regular"/>
          <w:color w:val="231F20"/>
          <w:spacing w:val="31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vollständig</w:t>
      </w:r>
      <w:r>
        <w:rPr>
          <w:rFonts w:ascii="Theinhardt Regular" w:hAnsi="Theinhardt Regular"/>
          <w:color w:val="231F20"/>
          <w:spacing w:val="32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zer-</w:t>
      </w:r>
      <w:r>
        <w:rPr>
          <w:rFonts w:ascii="Theinhardt Regular" w:hAnsi="Theinhardt Regular"/>
          <w:color w:val="231F20"/>
          <w:spacing w:val="24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störtes</w:t>
      </w:r>
      <w:r>
        <w:rPr>
          <w:rFonts w:ascii="Theinhardt Regular" w:hAnsi="Theinhardt Regular"/>
          <w:color w:val="231F20"/>
          <w:spacing w:val="-6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Dachgeschoss</w:t>
      </w:r>
      <w:r>
        <w:rPr>
          <w:rFonts w:ascii="Theinhardt Regular" w:hAnsi="Theinhardt Regular"/>
          <w:color w:val="231F20"/>
          <w:spacing w:val="-6"/>
          <w:sz w:val="18"/>
        </w:rPr>
        <w:t> </w:t>
      </w:r>
      <w:r>
        <w:rPr>
          <w:rFonts w:ascii="Theinhardt Regular" w:hAnsi="Theinhardt Regular"/>
          <w:color w:val="231F20"/>
          <w:spacing w:val="1"/>
          <w:sz w:val="18"/>
        </w:rPr>
        <w:t>warf</w:t>
      </w:r>
      <w:r>
        <w:rPr>
          <w:rFonts w:ascii="Theinhardt Regular" w:hAnsi="Theinhardt Regular"/>
          <w:color w:val="231F20"/>
          <w:spacing w:val="36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für</w:t>
      </w:r>
      <w:r>
        <w:rPr>
          <w:rFonts w:ascii="Theinhardt Regular" w:hAnsi="Theinhardt Regular"/>
          <w:color w:val="231F20"/>
          <w:spacing w:val="-6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die</w:t>
      </w:r>
      <w:r>
        <w:rPr>
          <w:rFonts w:ascii="Theinhardt Regular" w:hAnsi="Theinhardt Regular"/>
          <w:color w:val="231F20"/>
          <w:spacing w:val="-6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Eigentü-</w:t>
      </w:r>
      <w:r>
        <w:rPr>
          <w:rFonts w:ascii="Theinhardt Regular" w:hAnsi="Theinhardt Regular"/>
          <w:color w:val="231F20"/>
          <w:spacing w:val="26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mer</w:t>
      </w:r>
      <w:r>
        <w:rPr>
          <w:rFonts w:ascii="Theinhardt Regular" w:hAnsi="Theinhardt Regular"/>
          <w:color w:val="231F20"/>
          <w:spacing w:val="9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des</w:t>
      </w:r>
      <w:r>
        <w:rPr>
          <w:rFonts w:ascii="Theinhardt Regular" w:hAnsi="Theinhardt Regular"/>
          <w:color w:val="231F20"/>
          <w:spacing w:val="9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Einfamilienhaus</w:t>
      </w:r>
      <w:r>
        <w:rPr>
          <w:rFonts w:ascii="Theinhardt Regular" w:hAnsi="Theinhardt Regular"/>
          <w:color w:val="231F20"/>
          <w:spacing w:val="9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von</w:t>
      </w:r>
      <w:r>
        <w:rPr>
          <w:rFonts w:ascii="Theinhardt Regular" w:hAnsi="Theinhardt Regular"/>
          <w:color w:val="231F20"/>
          <w:spacing w:val="9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1975</w:t>
      </w:r>
      <w:r>
        <w:rPr>
          <w:rFonts w:ascii="Theinhardt Regular" w:hAnsi="Theinhardt Regular"/>
          <w:color w:val="231F20"/>
          <w:spacing w:val="9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zahlrei-</w:t>
      </w:r>
      <w:r>
        <w:rPr>
          <w:rFonts w:ascii="Theinhardt Regular" w:hAnsi="Theinhardt Regular"/>
          <w:color w:val="231F20"/>
          <w:spacing w:val="22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che</w:t>
      </w:r>
      <w:r>
        <w:rPr>
          <w:rFonts w:ascii="Theinhardt Regular" w:hAnsi="Theinhardt Regular"/>
          <w:color w:val="231F20"/>
          <w:spacing w:val="4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Fragen</w:t>
      </w:r>
      <w:r>
        <w:rPr>
          <w:rFonts w:ascii="Theinhardt Regular" w:hAnsi="Theinhardt Regular"/>
          <w:color w:val="231F20"/>
          <w:spacing w:val="4"/>
          <w:sz w:val="18"/>
        </w:rPr>
        <w:t> </w:t>
      </w:r>
      <w:r>
        <w:rPr>
          <w:rFonts w:ascii="Theinhardt Regular" w:hAnsi="Theinhardt Regular"/>
          <w:color w:val="231F20"/>
          <w:spacing w:val="-2"/>
          <w:sz w:val="18"/>
        </w:rPr>
        <w:t>auf.</w:t>
      </w:r>
      <w:r>
        <w:rPr>
          <w:rFonts w:ascii="Theinhardt Regular" w:hAnsi="Theinhardt Regular"/>
          <w:color w:val="231F20"/>
          <w:spacing w:val="42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Die</w:t>
      </w:r>
      <w:r>
        <w:rPr>
          <w:rFonts w:ascii="Theinhardt Regular" w:hAnsi="Theinhardt Regular"/>
          <w:color w:val="231F20"/>
          <w:spacing w:val="4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mutige</w:t>
      </w:r>
      <w:r>
        <w:rPr>
          <w:rFonts w:ascii="Theinhardt Regular" w:hAnsi="Theinhardt Regular"/>
          <w:color w:val="231F20"/>
          <w:spacing w:val="4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Antwort</w:t>
      </w:r>
      <w:r>
        <w:rPr>
          <w:rFonts w:ascii="Theinhardt Regular" w:hAnsi="Theinhardt Regular"/>
          <w:color w:val="231F20"/>
          <w:spacing w:val="4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der</w:t>
      </w:r>
      <w:r>
        <w:rPr>
          <w:rFonts w:ascii="Theinhardt Regular" w:hAnsi="Theinhardt Regular"/>
          <w:color w:val="231F20"/>
          <w:spacing w:val="31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Bauherrschaft</w:t>
      </w:r>
      <w:r>
        <w:rPr>
          <w:rFonts w:ascii="Theinhardt Regular" w:hAnsi="Theinhardt Regular"/>
          <w:color w:val="231F20"/>
          <w:spacing w:val="19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geht</w:t>
      </w:r>
      <w:r>
        <w:rPr>
          <w:rFonts w:ascii="Theinhardt Regular" w:hAnsi="Theinhardt Regular"/>
          <w:color w:val="231F20"/>
          <w:spacing w:val="19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weit</w:t>
      </w:r>
      <w:r>
        <w:rPr>
          <w:rFonts w:ascii="Theinhardt Regular" w:hAnsi="Theinhardt Regular"/>
          <w:color w:val="231F20"/>
          <w:spacing w:val="19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über</w:t>
      </w:r>
      <w:r>
        <w:rPr>
          <w:rFonts w:ascii="Theinhardt Regular" w:hAnsi="Theinhardt Regular"/>
          <w:color w:val="231F20"/>
          <w:spacing w:val="19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den</w:t>
      </w:r>
      <w:r>
        <w:rPr>
          <w:rFonts w:ascii="Theinhardt Regular" w:hAnsi="Theinhardt Regular"/>
          <w:color w:val="231F20"/>
          <w:spacing w:val="19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Wieder-</w:t>
      </w:r>
      <w:r>
        <w:rPr>
          <w:rFonts w:ascii="Theinhardt Regular" w:hAnsi="Theinhardt Regular"/>
          <w:color w:val="231F20"/>
          <w:spacing w:val="32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aufbau </w:t>
      </w:r>
      <w:r>
        <w:rPr>
          <w:rFonts w:ascii="Theinhardt Regular" w:hAnsi="Theinhardt Regular"/>
          <w:color w:val="231F20"/>
          <w:spacing w:val="12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hinaus: </w:t>
      </w:r>
      <w:r>
        <w:rPr>
          <w:rFonts w:ascii="Theinhardt Regular" w:hAnsi="Theinhardt Regular"/>
          <w:color w:val="231F20"/>
          <w:spacing w:val="12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Ein </w:t>
      </w:r>
      <w:r>
        <w:rPr>
          <w:rFonts w:ascii="Theinhardt Regular" w:hAnsi="Theinhardt Regular"/>
          <w:color w:val="231F20"/>
          <w:spacing w:val="12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Ersatzneubau </w:t>
      </w:r>
      <w:r>
        <w:rPr>
          <w:rFonts w:ascii="Theinhardt Regular" w:hAnsi="Theinhardt Regular"/>
          <w:color w:val="231F20"/>
          <w:spacing w:val="12"/>
          <w:sz w:val="18"/>
        </w:rPr>
        <w:t> </w:t>
      </w:r>
      <w:r>
        <w:rPr>
          <w:rFonts w:ascii="Theinhardt Regular" w:hAnsi="Theinhardt Regular"/>
          <w:color w:val="231F20"/>
          <w:spacing w:val="1"/>
          <w:sz w:val="18"/>
        </w:rPr>
        <w:t>ersetzt</w:t>
      </w:r>
      <w:r>
        <w:rPr>
          <w:rFonts w:ascii="Theinhardt Regular" w:hAnsi="Theinhardt Regular"/>
          <w:sz w:val="18"/>
        </w:rPr>
      </w:r>
    </w:p>
    <w:p>
      <w:pPr>
        <w:spacing w:line="230" w:lineRule="exact" w:before="52"/>
        <w:ind w:left="157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color w:val="231F20"/>
          <w:spacing w:val="-1"/>
          <w:sz w:val="18"/>
          <w:szCs w:val="18"/>
        </w:rPr>
        <w:t>schmückt</w:t>
      </w:r>
      <w:r>
        <w:rPr>
          <w:rFonts w:ascii="Theinhardt Regular" w:hAnsi="Theinhardt Regular" w:cs="Theinhardt Regular" w:eastAsia="Theinhardt Regular"/>
          <w:color w:val="231F20"/>
          <w:spacing w:val="3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8"/>
          <w:szCs w:val="18"/>
        </w:rPr>
        <w:t>ganzflächig</w:t>
      </w:r>
      <w:r>
        <w:rPr>
          <w:rFonts w:ascii="Theinhardt Regular" w:hAnsi="Theinhardt Regular" w:cs="Theinhardt Regular" w:eastAsia="Theinhardt Regular"/>
          <w:color w:val="231F20"/>
          <w:spacing w:val="3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color w:val="231F20"/>
          <w:spacing w:val="3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8"/>
          <w:szCs w:val="18"/>
        </w:rPr>
        <w:t>grosse</w:t>
      </w:r>
      <w:r>
        <w:rPr>
          <w:rFonts w:ascii="Theinhardt Regular" w:hAnsi="Theinhardt Regular" w:cs="Theinhardt Regular" w:eastAsia="Theinhardt Regular"/>
          <w:color w:val="231F20"/>
          <w:spacing w:val="3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8"/>
          <w:szCs w:val="18"/>
        </w:rPr>
        <w:t>südliche</w:t>
      </w:r>
      <w:r>
        <w:rPr>
          <w:rFonts w:ascii="Theinhardt Regular" w:hAnsi="Theinhardt Regular" w:cs="Theinhardt Regular" w:eastAsia="Theinhardt Regular"/>
          <w:color w:val="231F20"/>
          <w:spacing w:val="3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8"/>
          <w:szCs w:val="18"/>
        </w:rPr>
        <w:t>Dachfläche.</w:t>
      </w:r>
      <w:r>
        <w:rPr>
          <w:rFonts w:ascii="Theinhardt Regular" w:hAnsi="Theinhardt Regular" w:cs="Theinhardt Regular" w:eastAsia="Theinhardt Regular"/>
          <w:color w:val="231F20"/>
          <w:spacing w:val="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color w:val="231F20"/>
          <w:spacing w:val="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8"/>
          <w:szCs w:val="18"/>
        </w:rPr>
        <w:t>19.8</w:t>
      </w:r>
      <w:r>
        <w:rPr>
          <w:rFonts w:ascii="Theinhardt Regular" w:hAnsi="Theinhardt Regular" w:cs="Theinhardt Regular" w:eastAsia="Theinhardt Regular"/>
          <w:color w:val="231F20"/>
          <w:spacing w:val="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8"/>
          <w:szCs w:val="18"/>
        </w:rPr>
        <w:t>kW</w:t>
      </w:r>
      <w:r>
        <w:rPr>
          <w:rFonts w:ascii="Theinhardt Regular" w:hAnsi="Theinhardt Regular" w:cs="Theinhardt Regular" w:eastAsia="Theinhardt Regular"/>
          <w:color w:val="231F20"/>
          <w:spacing w:val="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8"/>
          <w:szCs w:val="18"/>
        </w:rPr>
        <w:t>starke</w:t>
      </w:r>
      <w:r>
        <w:rPr>
          <w:rFonts w:ascii="Theinhardt Regular" w:hAnsi="Theinhardt Regular" w:cs="Theinhardt Regular" w:eastAsia="Theinhardt Regular"/>
          <w:color w:val="231F20"/>
          <w:spacing w:val="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8"/>
          <w:szCs w:val="18"/>
        </w:rPr>
        <w:t>PV-Anlage</w:t>
      </w:r>
      <w:r>
        <w:rPr>
          <w:rFonts w:ascii="Theinhardt Regular" w:hAnsi="Theinhardt Regular" w:cs="Theinhardt Regular" w:eastAsia="Theinhardt Regular"/>
          <w:color w:val="231F20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8"/>
          <w:szCs w:val="18"/>
        </w:rPr>
        <w:t>ist</w:t>
      </w:r>
      <w:r>
        <w:rPr>
          <w:rFonts w:ascii="Theinhardt Regular" w:hAnsi="Theinhardt Regular" w:cs="Theinhardt Regular" w:eastAsia="Theinhardt Regular"/>
          <w:color w:val="231F20"/>
          <w:spacing w:val="1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8"/>
          <w:szCs w:val="18"/>
        </w:rPr>
        <w:t>optimal</w:t>
      </w:r>
      <w:r>
        <w:rPr>
          <w:rFonts w:ascii="Theinhardt Regular" w:hAnsi="Theinhardt Regular" w:cs="Theinhardt Regular" w:eastAsia="Theinhardt Regular"/>
          <w:color w:val="231F20"/>
          <w:spacing w:val="1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8"/>
          <w:szCs w:val="18"/>
        </w:rPr>
        <w:t>integriert</w:t>
      </w:r>
      <w:r>
        <w:rPr>
          <w:rFonts w:ascii="Theinhardt Regular" w:hAnsi="Theinhardt Regular" w:cs="Theinhardt Regular" w:eastAsia="Theinhardt Regular"/>
          <w:color w:val="231F20"/>
          <w:spacing w:val="1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8"/>
          <w:szCs w:val="18"/>
        </w:rPr>
        <w:t>und</w:t>
      </w:r>
      <w:r>
        <w:rPr>
          <w:rFonts w:ascii="Theinhardt Regular" w:hAnsi="Theinhardt Regular" w:cs="Theinhardt Regular" w:eastAsia="Theinhardt Regular"/>
          <w:color w:val="231F20"/>
          <w:spacing w:val="1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8"/>
          <w:szCs w:val="18"/>
        </w:rPr>
        <w:t>produziert</w:t>
      </w:r>
      <w:r>
        <w:rPr>
          <w:rFonts w:ascii="Theinhardt Regular" w:hAnsi="Theinhardt Regular" w:cs="Theinhardt Regular" w:eastAsia="Theinhardt Regular"/>
          <w:color w:val="231F20"/>
          <w:spacing w:val="1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8"/>
          <w:szCs w:val="18"/>
        </w:rPr>
        <w:t>mit</w:t>
      </w:r>
      <w:r>
        <w:rPr>
          <w:rFonts w:ascii="Theinhardt Regular" w:hAnsi="Theinhardt Regular" w:cs="Theinhardt Regular" w:eastAsia="Theinhardt Regular"/>
          <w:color w:val="231F20"/>
          <w:spacing w:val="3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8"/>
          <w:szCs w:val="18"/>
        </w:rPr>
        <w:t>24’500</w:t>
      </w:r>
      <w:r>
        <w:rPr>
          <w:rFonts w:ascii="Theinhardt Regular" w:hAnsi="Theinhardt Regular" w:cs="Theinhardt Regular" w:eastAsia="Theinhardt Regular"/>
          <w:color w:val="231F20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8"/>
          <w:szCs w:val="18"/>
        </w:rPr>
        <w:t>kWh/a</w:t>
      </w:r>
      <w:r>
        <w:rPr>
          <w:rFonts w:ascii="Theinhardt Regular" w:hAnsi="Theinhardt Regular" w:cs="Theinhardt Regular" w:eastAsia="Theinhardt Regular"/>
          <w:color w:val="231F20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8"/>
          <w:szCs w:val="18"/>
        </w:rPr>
        <w:t>mehr</w:t>
      </w:r>
      <w:r>
        <w:rPr>
          <w:rFonts w:ascii="Theinhardt Regular" w:hAnsi="Theinhardt Regular" w:cs="Theinhardt Regular" w:eastAsia="Theinhardt Regular"/>
          <w:color w:val="231F20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8"/>
          <w:szCs w:val="18"/>
        </w:rPr>
        <w:t>als</w:t>
      </w:r>
      <w:r>
        <w:rPr>
          <w:rFonts w:ascii="Theinhardt Regular" w:hAnsi="Theinhardt Regular" w:cs="Theinhardt Regular" w:eastAsia="Theinhardt Regular"/>
          <w:color w:val="231F20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8"/>
          <w:szCs w:val="18"/>
        </w:rPr>
        <w:t>das</w:t>
      </w:r>
      <w:r>
        <w:rPr>
          <w:rFonts w:ascii="Theinhardt Regular" w:hAnsi="Theinhardt Regular" w:cs="Theinhardt Regular" w:eastAsia="Theinhardt Regular"/>
          <w:color w:val="231F20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8"/>
          <w:szCs w:val="18"/>
        </w:rPr>
        <w:t>Doppelte</w:t>
      </w:r>
      <w:r>
        <w:rPr>
          <w:rFonts w:ascii="Theinhardt Regular" w:hAnsi="Theinhardt Regular" w:cs="Theinhardt Regular" w:eastAsia="Theinhardt Regular"/>
          <w:color w:val="231F20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8"/>
          <w:szCs w:val="18"/>
        </w:rPr>
        <w:t>des</w:t>
      </w:r>
      <w:r>
        <w:rPr>
          <w:rFonts w:ascii="Theinhardt Regular" w:hAnsi="Theinhardt Regular" w:cs="Theinhardt Regular" w:eastAsia="Theinhardt Regular"/>
          <w:color w:val="231F20"/>
          <w:spacing w:val="2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8"/>
          <w:szCs w:val="18"/>
        </w:rPr>
        <w:t>Gesamtenergiebedarfs.</w:t>
      </w:r>
      <w:r>
        <w:rPr>
          <w:rFonts w:ascii="Theinhardt Regular" w:hAnsi="Theinhardt Regular" w:cs="Theinhardt Regular" w:eastAsia="Theinhardt Regular"/>
          <w:color w:val="231F20"/>
          <w:spacing w:val="-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color w:val="231F20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8"/>
          <w:szCs w:val="18"/>
        </w:rPr>
        <w:t>solarbetriebene</w:t>
      </w:r>
      <w:r>
        <w:rPr>
          <w:rFonts w:ascii="Theinhardt Regular" w:hAnsi="Theinhardt Regular" w:cs="Theinhardt Regular" w:eastAsia="Theinhardt Regular"/>
          <w:color w:val="231F20"/>
          <w:spacing w:val="6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8"/>
          <w:szCs w:val="18"/>
        </w:rPr>
        <w:t>Erdsonden-Wärmepumpe</w:t>
      </w:r>
      <w:r>
        <w:rPr>
          <w:rFonts w:ascii="Theinhardt Regular" w:hAnsi="Theinhardt Regular" w:cs="Theinhardt Regular" w:eastAsia="Theinhardt Regular"/>
          <w:color w:val="231F20"/>
          <w:spacing w:val="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8"/>
          <w:szCs w:val="18"/>
        </w:rPr>
        <w:t>stellt</w:t>
      </w:r>
      <w:r>
        <w:rPr>
          <w:rFonts w:ascii="Theinhardt Regular" w:hAnsi="Theinhardt Regular" w:cs="Theinhardt Regular" w:eastAsia="Theinhardt Regular"/>
          <w:color w:val="231F20"/>
          <w:spacing w:val="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color w:val="231F20"/>
          <w:spacing w:val="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8"/>
          <w:szCs w:val="18"/>
        </w:rPr>
        <w:t>Energie</w:t>
      </w:r>
      <w:r>
        <w:rPr>
          <w:rFonts w:ascii="Theinhardt Regular" w:hAnsi="Theinhardt Regular" w:cs="Theinhardt Regular" w:eastAsia="Theinhardt Regular"/>
          <w:sz w:val="18"/>
          <w:szCs w:val="18"/>
        </w:rPr>
      </w:r>
    </w:p>
    <w:p>
      <w:pPr>
        <w:spacing w:before="87"/>
        <w:ind w:left="157" w:right="0" w:firstLine="0"/>
        <w:jc w:val="both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Technische 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5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57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071" w:val="left" w:leader="none"/>
        </w:tabs>
        <w:spacing w:line="207" w:lineRule="auto" w:before="5"/>
        <w:ind w:left="157" w:right="357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z w:val="14"/>
        </w:rPr>
        <w:t>Wand: </w:t>
      </w:r>
      <w:r>
        <w:rPr>
          <w:rFonts w:ascii="Theinhardt Regular"/>
          <w:spacing w:val="29"/>
          <w:sz w:val="14"/>
        </w:rPr>
        <w:t> </w:t>
      </w:r>
      <w:r>
        <w:rPr>
          <w:rFonts w:ascii="Theinhardt Regular"/>
          <w:spacing w:val="-1"/>
          <w:sz w:val="14"/>
        </w:rPr>
        <w:t>36/22 </w:t>
      </w:r>
      <w:r>
        <w:rPr>
          <w:rFonts w:ascii="Theinhardt Regular"/>
          <w:sz w:val="14"/>
        </w:rPr>
        <w:t>cm </w:t>
      </w:r>
      <w:r>
        <w:rPr>
          <w:rFonts w:ascii="Theinhardt Regular"/>
          <w:spacing w:val="25"/>
          <w:sz w:val="14"/>
        </w:rPr>
        <w:t> </w:t>
      </w:r>
      <w:r>
        <w:rPr>
          <w:rFonts w:ascii="Theinhardt Regular"/>
          <w:sz w:val="14"/>
        </w:rPr>
        <w:t>U-Wert:</w:t>
      </w:r>
      <w:r>
        <w:rPr>
          <w:rFonts w:ascii="Theinhardt Regular"/>
          <w:spacing w:val="2"/>
          <w:sz w:val="14"/>
        </w:rPr>
        <w:t> </w:t>
      </w:r>
      <w:r>
        <w:rPr>
          <w:rFonts w:ascii="Theinhardt Regular"/>
          <w:spacing w:val="-1"/>
          <w:sz w:val="14"/>
        </w:rPr>
        <w:t>0.12/0.14</w:t>
      </w:r>
      <w:r>
        <w:rPr>
          <w:rFonts w:ascii="Theinhardt Regular"/>
          <w:spacing w:val="-2"/>
          <w:sz w:val="14"/>
        </w:rPr>
        <w:t> </w:t>
      </w:r>
      <w:r>
        <w:rPr>
          <w:rFonts w:ascii="Theinhardt Regular"/>
          <w:sz w:val="14"/>
        </w:rPr>
        <w:t>W/m</w:t>
      </w:r>
      <w:r>
        <w:rPr>
          <w:rFonts w:ascii="Theinhardt Regular"/>
          <w:position w:val="5"/>
          <w:sz w:val="8"/>
        </w:rPr>
        <w:t>2</w:t>
      </w:r>
      <w:r>
        <w:rPr>
          <w:rFonts w:ascii="Theinhardt Regular"/>
          <w:sz w:val="14"/>
        </w:rPr>
        <w:t>K</w:t>
      </w:r>
      <w:r>
        <w:rPr>
          <w:rFonts w:ascii="Theinhardt Regular"/>
          <w:spacing w:val="27"/>
          <w:w w:val="98"/>
          <w:sz w:val="14"/>
        </w:rPr>
        <w:t> </w:t>
      </w:r>
      <w:r>
        <w:rPr>
          <w:rFonts w:ascii="Theinhardt Regular"/>
          <w:sz w:val="14"/>
        </w:rPr>
        <w:t>Dach:</w:t>
        <w:tab/>
      </w:r>
      <w:r>
        <w:rPr>
          <w:rFonts w:ascii="Theinhardt Regular"/>
          <w:spacing w:val="-1"/>
          <w:sz w:val="14"/>
        </w:rPr>
        <w:t>37</w:t>
      </w:r>
      <w:r>
        <w:rPr>
          <w:rFonts w:ascii="Theinhardt Regular"/>
          <w:sz w:val="14"/>
        </w:rPr>
        <w:t> cm</w:t>
      </w:r>
      <w:r>
        <w:rPr>
          <w:rFonts w:ascii="Theinhardt Regular"/>
          <w:spacing w:val="33"/>
          <w:sz w:val="14"/>
        </w:rPr>
        <w:t> </w:t>
      </w:r>
      <w:r>
        <w:rPr>
          <w:rFonts w:ascii="Theinhardt Regular"/>
          <w:sz w:val="14"/>
        </w:rPr>
        <w:t>U-Wert:</w:t>
      </w:r>
      <w:r>
        <w:rPr>
          <w:rFonts w:ascii="Theinhardt Regular"/>
          <w:spacing w:val="2"/>
          <w:sz w:val="14"/>
        </w:rPr>
        <w:t> </w:t>
      </w:r>
      <w:r>
        <w:rPr>
          <w:rFonts w:ascii="Theinhardt Regular"/>
          <w:spacing w:val="-3"/>
          <w:sz w:val="14"/>
        </w:rPr>
        <w:t>0.11/0.12</w:t>
      </w:r>
      <w:r>
        <w:rPr>
          <w:rFonts w:ascii="Theinhardt Regular"/>
          <w:sz w:val="14"/>
        </w:rPr>
        <w:t> W/m</w:t>
      </w:r>
      <w:r>
        <w:rPr>
          <w:rFonts w:ascii="Theinhardt Regular"/>
          <w:position w:val="5"/>
          <w:sz w:val="8"/>
        </w:rPr>
        <w:t>2</w:t>
      </w:r>
      <w:r>
        <w:rPr>
          <w:rFonts w:ascii="Theinhardt Regular"/>
          <w:sz w:val="14"/>
        </w:rPr>
        <w:t>K</w:t>
      </w:r>
      <w:r>
        <w:rPr>
          <w:rFonts w:ascii="Theinhardt Regular"/>
          <w:spacing w:val="21"/>
          <w:sz w:val="14"/>
        </w:rPr>
        <w:t> </w:t>
      </w:r>
      <w:r>
        <w:rPr>
          <w:rFonts w:ascii="Theinhardt Regular"/>
          <w:sz w:val="14"/>
        </w:rPr>
        <w:t>Boden:</w:t>
        <w:tab/>
      </w:r>
      <w:r>
        <w:rPr>
          <w:rFonts w:ascii="Theinhardt Regular"/>
          <w:spacing w:val="-1"/>
          <w:sz w:val="14"/>
        </w:rPr>
        <w:t>22</w:t>
      </w:r>
      <w:r>
        <w:rPr>
          <w:rFonts w:ascii="Theinhardt Regular"/>
          <w:sz w:val="14"/>
        </w:rPr>
        <w:t> cm</w:t>
      </w:r>
      <w:r>
        <w:rPr>
          <w:rFonts w:ascii="Theinhardt Regular"/>
          <w:spacing w:val="33"/>
          <w:sz w:val="14"/>
        </w:rPr>
        <w:t> </w:t>
      </w:r>
      <w:r>
        <w:rPr>
          <w:rFonts w:ascii="Theinhardt Regular"/>
          <w:sz w:val="14"/>
        </w:rPr>
        <w:t>U-Wert:</w:t>
      </w:r>
      <w:r>
        <w:rPr>
          <w:rFonts w:ascii="Theinhardt Regular"/>
          <w:spacing w:val="23"/>
          <w:sz w:val="14"/>
        </w:rPr>
        <w:t> </w:t>
      </w:r>
      <w:r>
        <w:rPr>
          <w:rFonts w:ascii="Theinhardt Regular"/>
          <w:sz w:val="14"/>
        </w:rPr>
        <w:t>0.15 W/m</w:t>
      </w:r>
      <w:r>
        <w:rPr>
          <w:rFonts w:ascii="Theinhardt Regular"/>
          <w:position w:val="5"/>
          <w:sz w:val="8"/>
        </w:rPr>
        <w:t>2</w:t>
      </w:r>
      <w:r>
        <w:rPr>
          <w:rFonts w:ascii="Theinhardt Regular"/>
          <w:sz w:val="14"/>
        </w:rPr>
        <w:t>K</w:t>
      </w:r>
      <w:r>
        <w:rPr>
          <w:rFonts w:ascii="Theinhardt Regular"/>
          <w:spacing w:val="21"/>
          <w:sz w:val="14"/>
        </w:rPr>
        <w:t> </w:t>
      </w:r>
      <w:r>
        <w:rPr>
          <w:rFonts w:ascii="Theinhardt Regular"/>
          <w:sz w:val="14"/>
        </w:rPr>
        <w:t>Fenster:       </w:t>
      </w:r>
      <w:r>
        <w:rPr>
          <w:rFonts w:ascii="Theinhardt Regular"/>
          <w:spacing w:val="21"/>
          <w:sz w:val="14"/>
        </w:rPr>
        <w:t> </w:t>
      </w:r>
      <w:r>
        <w:rPr>
          <w:rFonts w:ascii="Theinhardt Regular"/>
          <w:sz w:val="14"/>
        </w:rPr>
        <w:t>dreifach    </w:t>
      </w:r>
      <w:r>
        <w:rPr>
          <w:rFonts w:ascii="Theinhardt Regular"/>
          <w:spacing w:val="33"/>
          <w:sz w:val="14"/>
        </w:rPr>
        <w:t> </w:t>
      </w:r>
      <w:r>
        <w:rPr>
          <w:rFonts w:ascii="Theinhardt Regular"/>
          <w:sz w:val="14"/>
        </w:rPr>
        <w:t>U-Wert:  </w:t>
      </w:r>
      <w:r>
        <w:rPr>
          <w:rFonts w:ascii="Theinhardt Regular"/>
          <w:spacing w:val="-6"/>
          <w:sz w:val="14"/>
        </w:rPr>
        <w:t>0.81-1.11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W/m</w:t>
      </w:r>
      <w:r>
        <w:rPr>
          <w:rFonts w:ascii="Theinhardt Regular"/>
          <w:spacing w:val="-1"/>
          <w:position w:val="5"/>
          <w:sz w:val="8"/>
        </w:rPr>
        <w:t>2</w:t>
      </w:r>
      <w:r>
        <w:rPr>
          <w:rFonts w:ascii="Theinhardt Regular"/>
          <w:spacing w:val="-1"/>
          <w:sz w:val="14"/>
        </w:rPr>
        <w:t>K</w:t>
      </w:r>
    </w:p>
    <w:p>
      <w:pPr>
        <w:spacing w:before="38"/>
        <w:ind w:left="157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Energiebedarf vor der Sanierung [100% | 263%]</w:t>
      </w:r>
      <w:r>
        <w:rPr>
          <w:rFonts w:ascii="Theinhardt Bold"/>
          <w:sz w:val="14"/>
        </w:rPr>
      </w:r>
    </w:p>
    <w:p>
      <w:pPr>
        <w:spacing w:after="0"/>
        <w:jc w:val="both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580" w:right="900"/>
          <w:cols w:num="3" w:equalWidth="0">
            <w:col w:w="3502" w:space="69"/>
            <w:col w:w="3503" w:space="69"/>
            <w:col w:w="3627"/>
          </w:cols>
        </w:sectPr>
      </w:pPr>
    </w:p>
    <w:p>
      <w:pPr>
        <w:spacing w:line="130" w:lineRule="exact" w:before="0"/>
        <w:ind w:left="0" w:right="0" w:firstLine="0"/>
        <w:jc w:val="right"/>
        <w:rPr>
          <w:rFonts w:ascii="Theinhardt Regular" w:hAnsi="Theinhardt Regular" w:cs="Theinhardt Regular" w:eastAsia="Theinhardt Regular"/>
          <w:sz w:val="8"/>
          <w:szCs w:val="8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4.100399pt;margin-top:4.732731pt;width:518.7pt;height:16.2pt;mso-position-horizontal-relative:page;mso-position-vertical-relative:paragraph;z-index:126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513"/>
                    <w:gridCol w:w="3572"/>
                    <w:gridCol w:w="1398"/>
                    <w:gridCol w:w="833"/>
                    <w:gridCol w:w="426"/>
                    <w:gridCol w:w="632"/>
                  </w:tblGrid>
                  <w:tr>
                    <w:trPr>
                      <w:trHeight w:val="182" w:hRule="exact"/>
                    </w:trPr>
                    <w:tc>
                      <w:tcPr>
                        <w:tcW w:w="7085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3626" w:val="left" w:leader="none"/>
                          </w:tabs>
                          <w:spacing w:line="152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das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Dachgeschoss.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4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"/>
                            <w:sz w:val="18"/>
                          </w:rPr>
                          <w:t>Das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26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"/>
                            <w:sz w:val="18"/>
                          </w:rPr>
                          <w:t>Erdgeschoss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2"/>
                            <w:sz w:val="18"/>
                          </w:rPr>
                          <w:t>wird</w:t>
                          <w:tab/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für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Heizung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und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28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"/>
                            <w:sz w:val="18"/>
                          </w:rPr>
                          <w:t>Brauchwasser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"/>
                            <w:sz w:val="18"/>
                          </w:rPr>
                          <w:t>bereit.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8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"/>
                            <w:sz w:val="18"/>
                          </w:rPr>
                          <w:t>Die</w:t>
                        </w:r>
                        <w:r>
                          <w:rPr>
                            <w:rFonts w:ascii="Theinhardt Regular" w:hAnsi="Theinhardt Regular"/>
                            <w:sz w:val="18"/>
                          </w:rPr>
                        </w:r>
                      </w:p>
                    </w:tc>
                    <w:tc>
                      <w:tcPr>
                        <w:tcW w:w="139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1" w:lineRule="exact" w:before="10"/>
                          <w:ind w:left="11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Warmwasser: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83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1" w:lineRule="exact" w:before="10"/>
                          <w:ind w:left="530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25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2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1" w:lineRule="exact" w:before="10"/>
                          <w:ind w:left="144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4"/>
                            <w:sz w:val="14"/>
                          </w:rPr>
                          <w:t>13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3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1" w:lineRule="exact" w:before="10"/>
                          <w:ind w:left="20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z w:val="14"/>
                            <w:szCs w:val="14"/>
                          </w:rPr>
                          <w:t>4’500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41" w:hRule="exact"/>
                    </w:trPr>
                    <w:tc>
                      <w:tcPr>
                        <w:tcW w:w="351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1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heinhardt Regular" w:hAnsi="Theinhardt Regular"/>
                            <w:color w:val="231F20"/>
                            <w:spacing w:val="-1"/>
                            <w:sz w:val="18"/>
                          </w:rPr>
                          <w:t>konsequent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gedämmt.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9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Nach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der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Renovation</w:t>
                        </w:r>
                        <w:r>
                          <w:rPr>
                            <w:rFonts w:ascii="Theinhardt Regular" w:hAnsi="Theinhardt Regular"/>
                            <w:sz w:val="18"/>
                          </w:rPr>
                        </w:r>
                      </w:p>
                    </w:tc>
                    <w:tc>
                      <w:tcPr>
                        <w:tcW w:w="357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1" w:lineRule="exact"/>
                          <w:ind w:left="11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solarthermische</w:t>
                        </w:r>
                        <w:r>
                          <w:rPr>
                            <w:rFonts w:ascii="Theinhardt Regular"/>
                            <w:color w:val="231F20"/>
                            <w:spacing w:val="18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8"/>
                          </w:rPr>
                          <w:t>Anlage</w:t>
                        </w:r>
                        <w:r>
                          <w:rPr>
                            <w:rFonts w:ascii="Theinhardt Regular"/>
                            <w:color w:val="231F20"/>
                            <w:spacing w:val="18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dient </w:t>
                        </w:r>
                        <w:r>
                          <w:rPr>
                            <w:rFonts w:ascii="Theinhardt Regular"/>
                            <w:color w:val="231F20"/>
                            <w:spacing w:val="35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der</w:t>
                        </w:r>
                        <w:r>
                          <w:rPr>
                            <w:rFonts w:ascii="Theinhardt Regular"/>
                            <w:color w:val="231F20"/>
                            <w:spacing w:val="18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8"/>
                          </w:rPr>
                          <w:t>Brauch-</w:t>
                        </w:r>
                        <w:r>
                          <w:rPr>
                            <w:rFonts w:ascii="Theinhardt Regular"/>
                            <w:sz w:val="18"/>
                          </w:rPr>
                        </w:r>
                      </w:p>
                    </w:tc>
                    <w:tc>
                      <w:tcPr>
                        <w:tcW w:w="139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1" w:lineRule="exact"/>
                          <w:ind w:left="11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Heizung: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83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1" w:lineRule="exact"/>
                          <w:ind w:left="45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2"/>
                            <w:sz w:val="14"/>
                          </w:rPr>
                          <w:t>140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2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1" w:lineRule="exact"/>
                          <w:ind w:left="137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70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3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1" w:lineRule="exact"/>
                          <w:ind w:left="12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z w:val="14"/>
                            <w:szCs w:val="14"/>
                          </w:rPr>
                          <w:t>25’200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Regular"/>
          <w:color w:val="231F20"/>
          <w:sz w:val="14"/>
        </w:rPr>
        <w:t>EBF: </w:t>
      </w:r>
      <w:r>
        <w:rPr>
          <w:rFonts w:ascii="Theinhardt Regular"/>
          <w:color w:val="231F20"/>
          <w:spacing w:val="-2"/>
          <w:sz w:val="14"/>
        </w:rPr>
        <w:t>180</w:t>
      </w:r>
      <w:r>
        <w:rPr>
          <w:rFonts w:ascii="Theinhardt Regular"/>
          <w:color w:val="231F20"/>
          <w:sz w:val="14"/>
        </w:rPr>
        <w:t> 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tabs>
          <w:tab w:pos="1484" w:val="left" w:leader="none"/>
          <w:tab w:pos="1915" w:val="left" w:leader="none"/>
        </w:tabs>
        <w:spacing w:line="130" w:lineRule="exact" w:before="0"/>
        <w:ind w:left="613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color w:val="231F20"/>
          <w:spacing w:val="-1"/>
          <w:sz w:val="14"/>
        </w:rPr>
        <w:t>kWh/m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color w:val="231F20"/>
          <w:spacing w:val="-1"/>
          <w:sz w:val="14"/>
        </w:rPr>
        <w:t>a</w:t>
        <w:tab/>
      </w:r>
      <w:r>
        <w:rPr>
          <w:rFonts w:ascii="Theinhardt Regular"/>
          <w:color w:val="231F20"/>
          <w:sz w:val="14"/>
        </w:rPr>
        <w:t>%</w:t>
        <w:tab/>
        <w:t>kWh/a</w:t>
      </w:r>
      <w:r>
        <w:rPr>
          <w:rFonts w:ascii="Theinhardt Regular"/>
          <w:sz w:val="14"/>
        </w:rPr>
      </w:r>
    </w:p>
    <w:p>
      <w:pPr>
        <w:spacing w:after="0" w:line="130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580" w:right="900"/>
          <w:cols w:num="2" w:equalWidth="0">
            <w:col w:w="8068" w:space="40"/>
            <w:col w:w="2662"/>
          </w:cols>
        </w:sectPr>
      </w:pPr>
    </w:p>
    <w:p>
      <w:pPr>
        <w:spacing w:line="240" w:lineRule="auto" w:before="1"/>
        <w:rPr>
          <w:rFonts w:ascii="Theinhardt Regular" w:hAnsi="Theinhardt Regular" w:cs="Theinhardt Regular" w:eastAsia="Theinhardt Regular"/>
          <w:sz w:val="17"/>
          <w:szCs w:val="17"/>
        </w:rPr>
      </w:pPr>
    </w:p>
    <w:p>
      <w:pPr>
        <w:spacing w:after="0" w:line="240" w:lineRule="auto"/>
        <w:rPr>
          <w:rFonts w:ascii="Theinhardt Regular" w:hAnsi="Theinhardt Regular" w:cs="Theinhardt Regular" w:eastAsia="Theinhardt Regular"/>
          <w:sz w:val="17"/>
          <w:szCs w:val="17"/>
        </w:rPr>
        <w:sectPr>
          <w:type w:val="continuous"/>
          <w:pgSz w:w="12250" w:h="17180"/>
          <w:pgMar w:top="1000" w:bottom="280" w:left="580" w:right="900"/>
        </w:sectPr>
      </w:pPr>
    </w:p>
    <w:p>
      <w:pPr>
        <w:spacing w:line="234" w:lineRule="exact" w:before="113"/>
        <w:ind w:left="157" w:right="0" w:firstLine="0"/>
        <w:jc w:val="left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/>
          <w:color w:val="231F20"/>
          <w:sz w:val="18"/>
        </w:rPr>
        <w:t>weist </w:t>
      </w:r>
      <w:r>
        <w:rPr>
          <w:rFonts w:ascii="Theinhardt Regular"/>
          <w:color w:val="231F20"/>
          <w:spacing w:val="13"/>
          <w:sz w:val="18"/>
        </w:rPr>
        <w:t> </w:t>
      </w:r>
      <w:r>
        <w:rPr>
          <w:rFonts w:ascii="Theinhardt Regular"/>
          <w:color w:val="231F20"/>
          <w:sz w:val="18"/>
        </w:rPr>
        <w:t>das </w:t>
      </w:r>
      <w:r>
        <w:rPr>
          <w:rFonts w:ascii="Theinhardt Regular"/>
          <w:color w:val="231F20"/>
          <w:spacing w:val="13"/>
          <w:sz w:val="18"/>
        </w:rPr>
        <w:t> </w:t>
      </w:r>
      <w:r>
        <w:rPr>
          <w:rFonts w:ascii="Theinhardt Regular"/>
          <w:color w:val="231F20"/>
          <w:spacing w:val="-2"/>
          <w:sz w:val="18"/>
        </w:rPr>
        <w:t>EFH</w:t>
      </w:r>
      <w:r>
        <w:rPr>
          <w:rFonts w:ascii="Theinhardt Regular"/>
          <w:color w:val="231F20"/>
          <w:sz w:val="18"/>
        </w:rPr>
        <w:t> </w:t>
      </w:r>
      <w:r>
        <w:rPr>
          <w:rFonts w:ascii="Theinhardt Regular"/>
          <w:color w:val="231F20"/>
          <w:spacing w:val="13"/>
          <w:sz w:val="18"/>
        </w:rPr>
        <w:t> </w:t>
      </w:r>
      <w:r>
        <w:rPr>
          <w:rFonts w:ascii="Theinhardt Regular"/>
          <w:color w:val="231F20"/>
          <w:sz w:val="18"/>
        </w:rPr>
        <w:t>vorbildliche </w:t>
      </w:r>
      <w:r>
        <w:rPr>
          <w:rFonts w:ascii="Theinhardt Regular"/>
          <w:color w:val="231F20"/>
          <w:spacing w:val="13"/>
          <w:sz w:val="18"/>
        </w:rPr>
        <w:t> </w:t>
      </w:r>
      <w:r>
        <w:rPr>
          <w:rFonts w:ascii="Theinhardt Regular"/>
          <w:color w:val="231F20"/>
          <w:spacing w:val="-2"/>
          <w:sz w:val="18"/>
        </w:rPr>
        <w:t>U-Werte</w:t>
      </w:r>
      <w:r>
        <w:rPr>
          <w:rFonts w:ascii="Theinhardt Regular"/>
          <w:color w:val="231F20"/>
          <w:sz w:val="18"/>
        </w:rPr>
        <w:t> </w:t>
      </w:r>
      <w:r>
        <w:rPr>
          <w:rFonts w:ascii="Theinhardt Regular"/>
          <w:color w:val="231F20"/>
          <w:spacing w:val="13"/>
          <w:sz w:val="18"/>
        </w:rPr>
        <w:t> </w:t>
      </w:r>
      <w:r>
        <w:rPr>
          <w:rFonts w:ascii="Theinhardt Regular"/>
          <w:color w:val="231F20"/>
          <w:sz w:val="18"/>
        </w:rPr>
        <w:t>von</w:t>
      </w:r>
      <w:r>
        <w:rPr>
          <w:rFonts w:ascii="Theinhardt Regular"/>
          <w:sz w:val="18"/>
        </w:rPr>
      </w:r>
    </w:p>
    <w:p>
      <w:pPr>
        <w:spacing w:line="234" w:lineRule="exact" w:before="0"/>
        <w:ind w:left="157" w:right="0" w:firstLine="0"/>
        <w:jc w:val="left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/>
          <w:color w:val="231F20"/>
          <w:sz w:val="18"/>
        </w:rPr>
        <w:t>0.12</w:t>
      </w:r>
      <w:r>
        <w:rPr>
          <w:rFonts w:ascii="Theinhardt Regular" w:hAnsi="Theinhardt Regular"/>
          <w:color w:val="231F20"/>
          <w:spacing w:val="19"/>
          <w:sz w:val="18"/>
        </w:rPr>
        <w:t> </w:t>
      </w:r>
      <w:r>
        <w:rPr>
          <w:rFonts w:ascii="Theinhardt Regular" w:hAnsi="Theinhardt Regular"/>
          <w:color w:val="231F20"/>
          <w:spacing w:val="-5"/>
          <w:sz w:val="18"/>
        </w:rPr>
        <w:t>W/m</w:t>
      </w:r>
      <w:r>
        <w:rPr>
          <w:rFonts w:ascii="Theinhardt Regular" w:hAnsi="Theinhardt Regular"/>
          <w:color w:val="231F20"/>
          <w:spacing w:val="-5"/>
          <w:position w:val="6"/>
          <w:sz w:val="10"/>
        </w:rPr>
        <w:t>2</w:t>
      </w:r>
      <w:r>
        <w:rPr>
          <w:rFonts w:ascii="Theinhardt Regular" w:hAnsi="Theinhardt Regular"/>
          <w:color w:val="231F20"/>
          <w:spacing w:val="-5"/>
          <w:sz w:val="18"/>
        </w:rPr>
        <w:t>K</w:t>
      </w:r>
      <w:r>
        <w:rPr>
          <w:rFonts w:ascii="Theinhardt Regular" w:hAnsi="Theinhardt Regular"/>
          <w:color w:val="231F20"/>
          <w:spacing w:val="19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für</w:t>
      </w:r>
      <w:r>
        <w:rPr>
          <w:rFonts w:ascii="Theinhardt Regular" w:hAnsi="Theinhardt Regular"/>
          <w:color w:val="231F20"/>
          <w:spacing w:val="20"/>
          <w:sz w:val="18"/>
        </w:rPr>
        <w:t> </w:t>
      </w:r>
      <w:r>
        <w:rPr>
          <w:rFonts w:ascii="Theinhardt Regular" w:hAnsi="Theinhardt Regular"/>
          <w:color w:val="231F20"/>
          <w:spacing w:val="-2"/>
          <w:sz w:val="18"/>
        </w:rPr>
        <w:t>Wände</w:t>
      </w:r>
      <w:r>
        <w:rPr>
          <w:rFonts w:ascii="Theinhardt Regular" w:hAnsi="Theinhardt Regular"/>
          <w:color w:val="231F20"/>
          <w:spacing w:val="19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und</w:t>
      </w:r>
      <w:r>
        <w:rPr>
          <w:rFonts w:ascii="Theinhardt Regular" w:hAnsi="Theinhardt Regular"/>
          <w:color w:val="231F20"/>
          <w:spacing w:val="19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Dach</w:t>
      </w:r>
      <w:r>
        <w:rPr>
          <w:rFonts w:ascii="Theinhardt Regular" w:hAnsi="Theinhardt Regular"/>
          <w:color w:val="231F20"/>
          <w:spacing w:val="20"/>
          <w:sz w:val="18"/>
        </w:rPr>
        <w:t> </w:t>
      </w:r>
      <w:r>
        <w:rPr>
          <w:rFonts w:ascii="Theinhardt Regular" w:hAnsi="Theinhardt Regular"/>
          <w:color w:val="231F20"/>
          <w:spacing w:val="-2"/>
          <w:sz w:val="18"/>
        </w:rPr>
        <w:t>auf.</w:t>
      </w:r>
      <w:r>
        <w:rPr>
          <w:rFonts w:ascii="Theinhardt Regular" w:hAnsi="Theinhardt Regular"/>
          <w:color w:val="231F20"/>
          <w:spacing w:val="8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Zu-</w:t>
      </w:r>
      <w:r>
        <w:rPr>
          <w:rFonts w:ascii="Theinhardt Regular" w:hAnsi="Theinhardt Regular"/>
          <w:sz w:val="18"/>
        </w:rPr>
      </w:r>
    </w:p>
    <w:p>
      <w:pPr>
        <w:spacing w:line="230" w:lineRule="exact" w:before="104"/>
        <w:ind w:left="157" w:right="0" w:firstLine="0"/>
        <w:jc w:val="left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br w:type="column"/>
      </w:r>
      <w:r>
        <w:rPr>
          <w:rFonts w:ascii="Theinhardt Regular" w:hAnsi="Theinhardt Regular"/>
          <w:color w:val="231F20"/>
          <w:spacing w:val="-1"/>
          <w:sz w:val="18"/>
        </w:rPr>
        <w:t>wassererwärmung</w:t>
      </w:r>
      <w:r>
        <w:rPr>
          <w:rFonts w:ascii="Theinhardt Regular" w:hAnsi="Theinhardt Regular"/>
          <w:color w:val="231F20"/>
          <w:sz w:val="18"/>
        </w:rPr>
        <w:t> </w:t>
      </w:r>
      <w:r>
        <w:rPr>
          <w:rFonts w:ascii="Theinhardt Regular" w:hAnsi="Theinhardt Regular"/>
          <w:color w:val="231F20"/>
          <w:spacing w:val="28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und </w:t>
      </w:r>
      <w:r>
        <w:rPr>
          <w:rFonts w:ascii="Theinhardt Regular" w:hAnsi="Theinhardt Regular"/>
          <w:color w:val="231F20"/>
          <w:spacing w:val="29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der </w:t>
      </w:r>
      <w:r>
        <w:rPr>
          <w:rFonts w:ascii="Theinhardt Regular" w:hAnsi="Theinhardt Regular"/>
          <w:color w:val="231F20"/>
          <w:spacing w:val="18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Vorwärmung,</w:t>
      </w:r>
      <w:r>
        <w:rPr>
          <w:rFonts w:ascii="Theinhardt Regular" w:hAnsi="Theinhardt Regular"/>
          <w:color w:val="231F20"/>
          <w:spacing w:val="29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damit</w:t>
      </w:r>
      <w:r>
        <w:rPr>
          <w:rFonts w:ascii="Theinhardt Regular" w:hAnsi="Theinhardt Regular"/>
          <w:color w:val="231F20"/>
          <w:spacing w:val="-9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die</w:t>
      </w:r>
      <w:r>
        <w:rPr>
          <w:rFonts w:ascii="Theinhardt Regular" w:hAnsi="Theinhardt Regular"/>
          <w:color w:val="231F20"/>
          <w:spacing w:val="-9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Wärmepumpe</w:t>
      </w:r>
      <w:r>
        <w:rPr>
          <w:rFonts w:ascii="Theinhardt Regular" w:hAnsi="Theinhardt Regular"/>
          <w:color w:val="231F20"/>
          <w:spacing w:val="-9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hocheffizient</w:t>
      </w:r>
      <w:r>
        <w:rPr>
          <w:rFonts w:ascii="Theinhardt Regular" w:hAnsi="Theinhardt Regular"/>
          <w:color w:val="231F20"/>
          <w:spacing w:val="-9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arbei-</w:t>
      </w:r>
      <w:r>
        <w:rPr>
          <w:rFonts w:ascii="Theinhardt Regular" w:hAnsi="Theinhardt Regular"/>
          <w:sz w:val="18"/>
        </w:rPr>
      </w:r>
    </w:p>
    <w:p>
      <w:pPr>
        <w:tabs>
          <w:tab w:pos="1850" w:val="left" w:leader="none"/>
          <w:tab w:pos="2421" w:val="left" w:leader="none"/>
          <w:tab w:pos="2902" w:val="left" w:leader="none"/>
        </w:tabs>
        <w:spacing w:line="172" w:lineRule="exact" w:before="70"/>
        <w:ind w:left="15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34.4</w:t>
        <w:tab/>
      </w:r>
      <w:r>
        <w:rPr>
          <w:rFonts w:ascii="Theinhardt Regular" w:hAnsi="Theinhardt Regular" w:cs="Theinhardt Regular" w:eastAsia="Theinhardt Regular"/>
          <w:color w:val="231F20"/>
          <w:spacing w:val="-5"/>
          <w:sz w:val="14"/>
          <w:szCs w:val="14"/>
        </w:rPr>
        <w:t>17</w:t>
        <w:tab/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6’200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761" w:val="left" w:leader="none"/>
          <w:tab w:pos="2809" w:val="left" w:leader="none"/>
        </w:tabs>
        <w:spacing w:line="172" w:lineRule="exact" w:before="0"/>
        <w:ind w:left="15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Gesamt-EB:</w:t>
        <w:tab/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199.4    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35’900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before="32"/>
        <w:ind w:left="15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Energiebedarf nach der Sanierung [38% | </w:t>
      </w:r>
      <w:r>
        <w:rPr>
          <w:rFonts w:ascii="Theinhardt Bold"/>
          <w:b/>
          <w:color w:val="231F20"/>
          <w:spacing w:val="-1"/>
          <w:sz w:val="14"/>
        </w:rPr>
        <w:t>100%]</w:t>
      </w:r>
      <w:r>
        <w:rPr>
          <w:rFonts w:asci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580" w:right="900"/>
          <w:cols w:num="3" w:equalWidth="0">
            <w:col w:w="3502" w:space="69"/>
            <w:col w:w="3513" w:space="59"/>
            <w:col w:w="3627"/>
          </w:cols>
        </w:sectPr>
      </w:pP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2"/>
          <w:szCs w:val="2"/>
        </w:rPr>
      </w:pPr>
    </w:p>
    <w:tbl>
      <w:tblPr>
        <w:tblW w:w="0" w:type="auto"/>
        <w:jc w:val="left"/>
        <w:tblInd w:w="10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9"/>
        <w:gridCol w:w="575"/>
        <w:gridCol w:w="1413"/>
        <w:gridCol w:w="2813"/>
        <w:gridCol w:w="3260"/>
        <w:gridCol w:w="723"/>
        <w:gridCol w:w="466"/>
        <w:gridCol w:w="629"/>
      </w:tblGrid>
      <w:tr>
        <w:trPr>
          <w:trHeight w:val="288" w:hRule="exact"/>
        </w:trPr>
        <w:tc>
          <w:tcPr>
            <w:tcW w:w="8559" w:type="dxa"/>
            <w:gridSpan w:val="5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3626" w:val="left" w:leader="none"/>
                <w:tab w:pos="7198" w:val="left" w:leader="none"/>
              </w:tabs>
              <w:spacing w:line="129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8"/>
                <w:szCs w:val="8"/>
              </w:rPr>
            </w:pPr>
            <w:r>
              <w:rPr>
                <w:rFonts w:ascii="Theinhardt Regular"/>
                <w:color w:val="231F20"/>
                <w:spacing w:val="-1"/>
                <w:sz w:val="18"/>
              </w:rPr>
              <w:t>sammen</w:t>
            </w:r>
            <w:r>
              <w:rPr>
                <w:rFonts w:ascii="Theinhardt Regular"/>
                <w:color w:val="231F20"/>
                <w:spacing w:val="32"/>
                <w:sz w:val="18"/>
              </w:rPr>
              <w:t> </w:t>
            </w:r>
            <w:r>
              <w:rPr>
                <w:rFonts w:ascii="Theinhardt Regular"/>
                <w:color w:val="231F20"/>
                <w:sz w:val="18"/>
              </w:rPr>
              <w:t>mit</w:t>
            </w:r>
            <w:r>
              <w:rPr>
                <w:rFonts w:ascii="Theinhardt Regular"/>
                <w:color w:val="231F20"/>
                <w:spacing w:val="33"/>
                <w:sz w:val="18"/>
              </w:rPr>
              <w:t> </w:t>
            </w:r>
            <w:r>
              <w:rPr>
                <w:rFonts w:ascii="Theinhardt Regular"/>
                <w:color w:val="231F20"/>
                <w:spacing w:val="-1"/>
                <w:sz w:val="18"/>
              </w:rPr>
              <w:t>LED-Lampen</w:t>
            </w:r>
            <w:r>
              <w:rPr>
                <w:rFonts w:ascii="Theinhardt Regular"/>
                <w:color w:val="231F20"/>
                <w:spacing w:val="32"/>
                <w:sz w:val="18"/>
              </w:rPr>
              <w:t> </w:t>
            </w:r>
            <w:r>
              <w:rPr>
                <w:rFonts w:ascii="Theinhardt Regular"/>
                <w:color w:val="231F20"/>
                <w:sz w:val="18"/>
              </w:rPr>
              <w:t>und</w:t>
            </w:r>
            <w:r>
              <w:rPr>
                <w:rFonts w:ascii="Theinhardt Regular"/>
                <w:color w:val="231F20"/>
                <w:spacing w:val="33"/>
                <w:sz w:val="18"/>
              </w:rPr>
              <w:t> </w:t>
            </w:r>
            <w:r>
              <w:rPr>
                <w:rFonts w:ascii="Theinhardt Regular"/>
                <w:color w:val="231F20"/>
                <w:sz w:val="18"/>
              </w:rPr>
              <w:t>Haushalts-</w:t>
              <w:tab/>
              <w:t>ten </w:t>
            </w:r>
            <w:r>
              <w:rPr>
                <w:rFonts w:ascii="Theinhardt Regular"/>
                <w:color w:val="231F20"/>
                <w:spacing w:val="-1"/>
                <w:sz w:val="18"/>
              </w:rPr>
              <w:t>kann.</w:t>
              <w:tab/>
            </w:r>
            <w:r>
              <w:rPr>
                <w:rFonts w:ascii="Theinhardt Regular"/>
                <w:color w:val="231F20"/>
                <w:position w:val="1"/>
                <w:sz w:val="14"/>
              </w:rPr>
              <w:t>EBF: </w:t>
            </w:r>
            <w:r>
              <w:rPr>
                <w:rFonts w:ascii="Theinhardt Regular"/>
                <w:color w:val="231F20"/>
                <w:spacing w:val="-1"/>
                <w:position w:val="1"/>
                <w:sz w:val="14"/>
              </w:rPr>
              <w:t>370</w:t>
            </w:r>
            <w:r>
              <w:rPr>
                <w:rFonts w:ascii="Theinhardt Regular"/>
                <w:color w:val="231F20"/>
                <w:spacing w:val="1"/>
                <w:position w:val="1"/>
                <w:sz w:val="14"/>
              </w:rPr>
              <w:t> </w:t>
            </w:r>
            <w:r>
              <w:rPr>
                <w:rFonts w:ascii="Theinhardt Regular"/>
                <w:color w:val="231F20"/>
                <w:position w:val="1"/>
                <w:sz w:val="14"/>
              </w:rPr>
              <w:t>m</w:t>
            </w:r>
            <w:r>
              <w:rPr>
                <w:rFonts w:ascii="Theinhardt Regular"/>
                <w:color w:val="231F20"/>
                <w:position w:val="5"/>
                <w:sz w:val="8"/>
              </w:rPr>
              <w:t>2</w:t>
            </w:r>
            <w:r>
              <w:rPr>
                <w:rFonts w:ascii="Theinhardt Regular"/>
                <w:sz w:val="8"/>
              </w:rPr>
            </w:r>
          </w:p>
          <w:p>
            <w:pPr>
              <w:pStyle w:val="TableParagraph"/>
              <w:tabs>
                <w:tab w:pos="3853" w:val="left" w:leader="none"/>
                <w:tab w:pos="7198" w:val="left" w:leader="none"/>
              </w:tabs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color w:val="231F20"/>
                <w:spacing w:val="-1"/>
                <w:sz w:val="18"/>
              </w:rPr>
              <w:t>geräten</w:t>
            </w:r>
            <w:r>
              <w:rPr>
                <w:rFonts w:ascii="Theinhardt Regular" w:hAnsi="Theinhardt Regular"/>
                <w:color w:val="231F20"/>
                <w:spacing w:val="16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z w:val="18"/>
              </w:rPr>
              <w:t>der</w:t>
            </w:r>
            <w:r>
              <w:rPr>
                <w:rFonts w:ascii="Theinhardt Regular" w:hAnsi="Theinhardt Regular"/>
                <w:color w:val="231F20"/>
                <w:spacing w:val="16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z w:val="18"/>
              </w:rPr>
              <w:t>besten</w:t>
            </w:r>
            <w:r>
              <w:rPr>
                <w:rFonts w:ascii="Theinhardt Regular" w:hAnsi="Theinhardt Regular"/>
                <w:color w:val="231F20"/>
                <w:spacing w:val="16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pacing w:val="-1"/>
                <w:sz w:val="18"/>
              </w:rPr>
              <w:t>Energieklasse</w:t>
            </w:r>
            <w:r>
              <w:rPr>
                <w:rFonts w:ascii="Theinhardt Regular" w:hAnsi="Theinhardt Regular"/>
                <w:color w:val="231F20"/>
                <w:spacing w:val="16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pacing w:val="-2"/>
                <w:sz w:val="18"/>
              </w:rPr>
              <w:t>wird</w:t>
            </w:r>
            <w:r>
              <w:rPr>
                <w:rFonts w:ascii="Theinhardt Regular" w:hAnsi="Theinhardt Regular"/>
                <w:color w:val="231F20"/>
                <w:spacing w:val="16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z w:val="18"/>
              </w:rPr>
              <w:t>der</w:t>
              <w:tab/>
            </w:r>
            <w:r>
              <w:rPr>
                <w:rFonts w:ascii="Theinhardt Regular" w:hAnsi="Theinhardt Regular"/>
                <w:color w:val="231F20"/>
                <w:spacing w:val="-1"/>
                <w:sz w:val="18"/>
              </w:rPr>
              <w:t>Dadurch</w:t>
            </w:r>
            <w:r>
              <w:rPr>
                <w:rFonts w:ascii="Theinhardt Regular" w:hAnsi="Theinhardt Regular"/>
                <w:color w:val="231F20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pacing w:val="7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pacing w:val="-2"/>
                <w:sz w:val="18"/>
              </w:rPr>
              <w:t>wird</w:t>
            </w:r>
            <w:r>
              <w:rPr>
                <w:rFonts w:ascii="Theinhardt Regular" w:hAnsi="Theinhardt Regular"/>
                <w:color w:val="231F20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pacing w:val="7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z w:val="18"/>
              </w:rPr>
              <w:t>eine </w:t>
            </w:r>
            <w:r>
              <w:rPr>
                <w:rFonts w:ascii="Theinhardt Regular" w:hAnsi="Theinhardt Regular"/>
                <w:color w:val="231F20"/>
                <w:spacing w:val="7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z w:val="18"/>
              </w:rPr>
              <w:t>vorbildliche </w:t>
            </w:r>
            <w:r>
              <w:rPr>
                <w:rFonts w:ascii="Theinhardt Regular" w:hAnsi="Theinhardt Regular"/>
                <w:color w:val="231F20"/>
                <w:spacing w:val="7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pacing w:val="-1"/>
                <w:sz w:val="18"/>
              </w:rPr>
              <w:t>Eigen-</w:t>
              <w:tab/>
            </w:r>
            <w:r>
              <w:rPr>
                <w:rFonts w:ascii="Theinhardt Regular" w:hAnsi="Theinhardt Regular"/>
                <w:color w:val="231F20"/>
                <w:spacing w:val="1"/>
                <w:position w:val="8"/>
                <w:sz w:val="14"/>
              </w:rPr>
              <w:t>Warmwasser:</w:t>
            </w:r>
            <w:r>
              <w:rPr>
                <w:rFonts w:ascii="Theinhardt Regular" w:hAnsi="Theinhardt Regular"/>
                <w:sz w:val="14"/>
              </w:rPr>
            </w:r>
          </w:p>
        </w:tc>
        <w:tc>
          <w:tcPr>
            <w:tcW w:w="7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0" w:lineRule="exact"/>
              <w:ind w:left="60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1"/>
                <w:sz w:val="14"/>
              </w:rPr>
              <w:t>kWh/m</w:t>
            </w:r>
            <w:r>
              <w:rPr>
                <w:rFonts w:ascii="Theinhardt Regular"/>
                <w:color w:val="231F20"/>
                <w:spacing w:val="-1"/>
                <w:position w:val="5"/>
                <w:sz w:val="8"/>
              </w:rPr>
              <w:t>2</w:t>
            </w:r>
            <w:r>
              <w:rPr>
                <w:rFonts w:ascii="Theinhardt Regular"/>
                <w:color w:val="231F20"/>
                <w:spacing w:val="-1"/>
                <w:sz w:val="14"/>
              </w:rPr>
              <w:t>a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168" w:lineRule="exact"/>
              <w:ind w:left="41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8.9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0" w:lineRule="exact"/>
              <w:ind w:left="174" w:right="0" w:firstLine="54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%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168" w:lineRule="exact"/>
              <w:ind w:left="17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2"/>
                <w:sz w:val="14"/>
              </w:rPr>
              <w:t>24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0" w:lineRule="exact"/>
              <w:ind w:left="196" w:right="0" w:hanging="23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kWh/a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168" w:lineRule="exact"/>
              <w:ind w:left="19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z w:val="14"/>
                <w:szCs w:val="14"/>
              </w:rPr>
              <w:t>3’300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60" w:hRule="exact"/>
        </w:trPr>
        <w:tc>
          <w:tcPr>
            <w:tcW w:w="8559" w:type="dxa"/>
            <w:gridSpan w:val="5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right="421"/>
              <w:jc w:val="righ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color w:val="231F20"/>
                <w:spacing w:val="2"/>
                <w:sz w:val="14"/>
              </w:rPr>
              <w:t>Elektrizität</w:t>
            </w:r>
            <w:r>
              <w:rPr>
                <w:rFonts w:ascii="Theinhardt Regular" w:hAnsi="Theinhardt Regular"/>
                <w:color w:val="231F20"/>
                <w:sz w:val="14"/>
              </w:rPr>
              <w:t> </w:t>
            </w:r>
            <w:r>
              <w:rPr>
                <w:rFonts w:ascii="Theinhardt Regular" w:hAnsi="Theinhardt Regular"/>
                <w:color w:val="231F20"/>
                <w:spacing w:val="1"/>
                <w:sz w:val="14"/>
              </w:rPr>
              <w:t>WP:</w:t>
            </w:r>
            <w:r>
              <w:rPr>
                <w:rFonts w:ascii="Theinhardt Regular" w:hAnsi="Theinhardt Regular"/>
                <w:sz w:val="14"/>
              </w:rPr>
            </w:r>
          </w:p>
        </w:tc>
        <w:tc>
          <w:tcPr>
            <w:tcW w:w="7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41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1"/>
                <w:sz w:val="14"/>
              </w:rPr>
              <w:t>9.5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7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1"/>
                <w:sz w:val="14"/>
              </w:rPr>
              <w:t>26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9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pacing w:val="-1"/>
                <w:sz w:val="14"/>
                <w:szCs w:val="14"/>
              </w:rPr>
              <w:t>3</w:t>
            </w:r>
            <w:r>
              <w:rPr>
                <w:rFonts w:ascii="Theinhardt Regular" w:hAnsi="Theinhardt Regular" w:cs="Theinhardt Regular" w:eastAsia="Theinhardt Regular"/>
                <w:color w:val="231F20"/>
                <w:sz w:val="14"/>
                <w:szCs w:val="14"/>
              </w:rPr>
              <w:t>’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2"/>
                <w:sz w:val="14"/>
                <w:szCs w:val="14"/>
              </w:rPr>
              <w:t>5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4"/>
                <w:sz w:val="14"/>
                <w:szCs w:val="14"/>
              </w:rPr>
              <w:t>0</w:t>
            </w:r>
            <w:r>
              <w:rPr>
                <w:rFonts w:ascii="Theinhardt Regular" w:hAnsi="Theinhardt Regular" w:cs="Theinhardt Regular" w:eastAsia="Theinhardt Regular"/>
                <w:color w:val="231F20"/>
                <w:sz w:val="14"/>
                <w:szCs w:val="14"/>
              </w:rPr>
              <w:t>0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60" w:hRule="exact"/>
        </w:trPr>
        <w:tc>
          <w:tcPr>
            <w:tcW w:w="8559" w:type="dxa"/>
            <w:gridSpan w:val="5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3626" w:val="left" w:leader="none"/>
                <w:tab w:pos="7198" w:val="left" w:leader="none"/>
              </w:tabs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pacing w:val="-1"/>
                <w:position w:val="1"/>
                <w:sz w:val="18"/>
                <w:szCs w:val="18"/>
              </w:rPr>
              <w:t>Energiebedarf</w:t>
            </w:r>
            <w:r>
              <w:rPr>
                <w:rFonts w:ascii="Theinhardt Regular" w:hAnsi="Theinhardt Regular" w:cs="Theinhardt Regular" w:eastAsia="Theinhardt Regular"/>
                <w:color w:val="231F20"/>
                <w:position w:val="1"/>
                <w:sz w:val="18"/>
                <w:szCs w:val="18"/>
              </w:rPr>
              <w:t>  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18"/>
                <w:position w:val="1"/>
                <w:sz w:val="18"/>
                <w:szCs w:val="18"/>
              </w:rPr>
              <w:t> </w:t>
            </w:r>
            <w:r>
              <w:rPr>
                <w:rFonts w:ascii="Theinhardt Regular" w:hAnsi="Theinhardt Regular" w:cs="Theinhardt Regular" w:eastAsia="Theinhardt Regular"/>
                <w:color w:val="231F20"/>
                <w:position w:val="1"/>
                <w:sz w:val="18"/>
                <w:szCs w:val="18"/>
              </w:rPr>
              <w:t>von  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18"/>
                <w:position w:val="1"/>
                <w:sz w:val="18"/>
                <w:szCs w:val="18"/>
              </w:rPr>
              <w:t> </w:t>
            </w:r>
            <w:r>
              <w:rPr>
                <w:rFonts w:ascii="Theinhardt Regular" w:hAnsi="Theinhardt Regular" w:cs="Theinhardt Regular" w:eastAsia="Theinhardt Regular"/>
                <w:color w:val="231F20"/>
                <w:position w:val="1"/>
                <w:sz w:val="18"/>
                <w:szCs w:val="18"/>
              </w:rPr>
              <w:t>35’900  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18"/>
                <w:position w:val="1"/>
                <w:sz w:val="18"/>
                <w:szCs w:val="18"/>
              </w:rPr>
              <w:t> 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-2"/>
                <w:position w:val="1"/>
                <w:sz w:val="18"/>
                <w:szCs w:val="18"/>
              </w:rPr>
              <w:t>kWh/a</w:t>
            </w:r>
            <w:r>
              <w:rPr>
                <w:rFonts w:ascii="Theinhardt Regular" w:hAnsi="Theinhardt Regular" w:cs="Theinhardt Regular" w:eastAsia="Theinhardt Regular"/>
                <w:color w:val="231F20"/>
                <w:position w:val="1"/>
                <w:sz w:val="18"/>
                <w:szCs w:val="18"/>
              </w:rPr>
              <w:t>  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18"/>
                <w:position w:val="1"/>
                <w:sz w:val="18"/>
                <w:szCs w:val="18"/>
              </w:rPr>
              <w:t> </w:t>
            </w:r>
            <w:r>
              <w:rPr>
                <w:rFonts w:ascii="Theinhardt Regular" w:hAnsi="Theinhardt Regular" w:cs="Theinhardt Regular" w:eastAsia="Theinhardt Regular"/>
                <w:color w:val="231F20"/>
                <w:position w:val="1"/>
                <w:sz w:val="18"/>
                <w:szCs w:val="18"/>
              </w:rPr>
              <w:t>auf</w:t>
              <w:tab/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-2"/>
                <w:position w:val="1"/>
                <w:sz w:val="18"/>
                <w:szCs w:val="18"/>
              </w:rPr>
              <w:t>energieversorgung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21"/>
                <w:position w:val="1"/>
                <w:sz w:val="18"/>
                <w:szCs w:val="18"/>
              </w:rPr>
              <w:t> </w:t>
            </w:r>
            <w:r>
              <w:rPr>
                <w:rFonts w:ascii="Theinhardt Regular" w:hAnsi="Theinhardt Regular" w:cs="Theinhardt Regular" w:eastAsia="Theinhardt Regular"/>
                <w:color w:val="231F20"/>
                <w:position w:val="1"/>
                <w:sz w:val="18"/>
                <w:szCs w:val="18"/>
              </w:rPr>
              <w:t>von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21"/>
                <w:position w:val="1"/>
                <w:sz w:val="18"/>
                <w:szCs w:val="18"/>
              </w:rPr>
              <w:t> </w:t>
            </w:r>
            <w:r>
              <w:rPr>
                <w:rFonts w:ascii="Theinhardt Regular" w:hAnsi="Theinhardt Regular" w:cs="Theinhardt Regular" w:eastAsia="Theinhardt Regular"/>
                <w:color w:val="231F20"/>
                <w:position w:val="1"/>
                <w:sz w:val="18"/>
                <w:szCs w:val="18"/>
              </w:rPr>
              <w:t>204%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21"/>
                <w:position w:val="1"/>
                <w:sz w:val="18"/>
                <w:szCs w:val="18"/>
              </w:rPr>
              <w:t> 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-1"/>
                <w:position w:val="1"/>
                <w:sz w:val="18"/>
                <w:szCs w:val="18"/>
              </w:rPr>
              <w:t>erreicht.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10"/>
                <w:position w:val="1"/>
                <w:sz w:val="18"/>
                <w:szCs w:val="18"/>
              </w:rPr>
              <w:t> 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-2"/>
                <w:position w:val="1"/>
                <w:sz w:val="18"/>
                <w:szCs w:val="18"/>
              </w:rPr>
              <w:t>Für</w:t>
              <w:tab/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2"/>
                <w:sz w:val="14"/>
                <w:szCs w:val="14"/>
              </w:rPr>
              <w:t>Elektrizität: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  <w:tc>
          <w:tcPr>
            <w:tcW w:w="7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338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2"/>
                <w:sz w:val="14"/>
              </w:rPr>
              <w:t>18.5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8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2"/>
                <w:sz w:val="14"/>
              </w:rPr>
              <w:t>5</w:t>
            </w:r>
            <w:r>
              <w:rPr>
                <w:rFonts w:ascii="Theinhardt Regular"/>
                <w:color w:val="231F20"/>
                <w:sz w:val="14"/>
              </w:rPr>
              <w:t>0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200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z w:val="14"/>
                <w:szCs w:val="14"/>
              </w:rPr>
              <w:t>6’858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90" w:hRule="exact"/>
        </w:trPr>
        <w:tc>
          <w:tcPr>
            <w:tcW w:w="8559" w:type="dxa"/>
            <w:gridSpan w:val="5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3626" w:val="left" w:leader="none"/>
                <w:tab w:pos="7198" w:val="left" w:leader="none"/>
              </w:tabs>
              <w:spacing w:line="190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z w:val="18"/>
                <w:szCs w:val="18"/>
              </w:rPr>
              <w:t>13’700 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-2"/>
                <w:sz w:val="18"/>
                <w:szCs w:val="18"/>
              </w:rPr>
              <w:t>kWh/a</w:t>
            </w:r>
            <w:r>
              <w:rPr>
                <w:rFonts w:ascii="Theinhardt Regular" w:hAnsi="Theinhardt Regular" w:cs="Theinhardt Regular" w:eastAsia="Theinhardt Regular"/>
                <w:color w:val="231F20"/>
                <w:sz w:val="18"/>
                <w:szCs w:val="18"/>
              </w:rPr>
              <w:t> enorm reduziert.</w:t>
              <w:tab/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-1"/>
                <w:sz w:val="18"/>
                <w:szCs w:val="18"/>
              </w:rPr>
              <w:t>diese</w:t>
            </w:r>
            <w:r>
              <w:rPr>
                <w:rFonts w:ascii="Theinhardt Regular" w:hAnsi="Theinhardt Regular" w:cs="Theinhardt Regular" w:eastAsia="Theinhardt Regular"/>
                <w:color w:val="231F20"/>
                <w:sz w:val="18"/>
                <w:szCs w:val="18"/>
              </w:rPr>
              <w:t> 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17"/>
                <w:sz w:val="18"/>
                <w:szCs w:val="18"/>
              </w:rPr>
              <w:t> 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-1"/>
                <w:sz w:val="18"/>
                <w:szCs w:val="18"/>
              </w:rPr>
              <w:t>aussergewöhnliche</w:t>
            </w:r>
            <w:r>
              <w:rPr>
                <w:rFonts w:ascii="Theinhardt Regular" w:hAnsi="Theinhardt Regular" w:cs="Theinhardt Regular" w:eastAsia="Theinhardt Regular"/>
                <w:color w:val="231F20"/>
                <w:sz w:val="18"/>
                <w:szCs w:val="18"/>
              </w:rPr>
              <w:t> 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17"/>
                <w:sz w:val="18"/>
                <w:szCs w:val="18"/>
              </w:rPr>
              <w:t> 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-1"/>
                <w:sz w:val="18"/>
                <w:szCs w:val="18"/>
              </w:rPr>
              <w:t>Brandsanierung</w:t>
              <w:tab/>
            </w: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pacing w:val="2"/>
                <w:position w:val="6"/>
                <w:sz w:val="14"/>
                <w:szCs w:val="14"/>
              </w:rPr>
              <w:t>Gesamt-EB: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  <w:tc>
          <w:tcPr>
            <w:tcW w:w="7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322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1"/>
                <w:sz w:val="14"/>
              </w:rPr>
              <w:t>36.9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108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100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112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z w:val="14"/>
                <w:szCs w:val="14"/>
              </w:rPr>
              <w:t>13’658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  <w:tr>
        <w:trPr>
          <w:trHeight w:val="347" w:hRule="exact"/>
        </w:trPr>
        <w:tc>
          <w:tcPr>
            <w:tcW w:w="8559" w:type="dxa"/>
            <w:gridSpan w:val="5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3344" w:val="left" w:leader="none"/>
                <w:tab w:pos="6916" w:val="left" w:leader="none"/>
              </w:tabs>
              <w:spacing w:line="215" w:lineRule="exact" w:before="5"/>
              <w:ind w:right="140"/>
              <w:jc w:val="righ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Regular" w:hAnsi="Theinhardt Regular"/>
                <w:color w:val="231F20"/>
                <w:sz w:val="18"/>
              </w:rPr>
              <w:t>Wie </w:t>
            </w:r>
            <w:r>
              <w:rPr>
                <w:rFonts w:ascii="Theinhardt Regular" w:hAnsi="Theinhardt Regular"/>
                <w:color w:val="231F20"/>
                <w:spacing w:val="13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z w:val="18"/>
              </w:rPr>
              <w:t>auch </w:t>
            </w:r>
            <w:r>
              <w:rPr>
                <w:rFonts w:ascii="Theinhardt Regular" w:hAnsi="Theinhardt Regular"/>
                <w:color w:val="231F20"/>
                <w:spacing w:val="13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z w:val="18"/>
              </w:rPr>
              <w:t>beim </w:t>
            </w:r>
            <w:r>
              <w:rPr>
                <w:rFonts w:ascii="Theinhardt Regular" w:hAnsi="Theinhardt Regular"/>
                <w:color w:val="231F20"/>
                <w:spacing w:val="2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pacing w:val="-2"/>
                <w:sz w:val="18"/>
              </w:rPr>
              <w:t>Vorgängergebäude</w:t>
            </w:r>
            <w:r>
              <w:rPr>
                <w:rFonts w:ascii="Theinhardt Regular" w:hAnsi="Theinhardt Regular"/>
                <w:color w:val="231F20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pacing w:val="13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z w:val="18"/>
              </w:rPr>
              <w:t>ist</w:t>
              <w:tab/>
            </w:r>
            <w:r>
              <w:rPr>
                <w:rFonts w:ascii="Theinhardt Regular" w:hAnsi="Theinhardt Regular"/>
                <w:color w:val="231F20"/>
                <w:spacing w:val="-1"/>
                <w:sz w:val="18"/>
              </w:rPr>
              <w:t>verdient</w:t>
            </w:r>
            <w:r>
              <w:rPr>
                <w:rFonts w:ascii="Theinhardt Regular" w:hAnsi="Theinhardt Regular"/>
                <w:color w:val="231F20"/>
                <w:spacing w:val="3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z w:val="18"/>
              </w:rPr>
              <w:t>das</w:t>
            </w:r>
            <w:r>
              <w:rPr>
                <w:rFonts w:ascii="Theinhardt Regular" w:hAnsi="Theinhardt Regular"/>
                <w:color w:val="231F20"/>
                <w:spacing w:val="3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z w:val="18"/>
              </w:rPr>
              <w:t>Einfamilienhaus</w:t>
            </w:r>
            <w:r>
              <w:rPr>
                <w:rFonts w:ascii="Theinhardt Regular" w:hAnsi="Theinhardt Regular"/>
                <w:color w:val="231F20"/>
                <w:spacing w:val="3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z w:val="18"/>
              </w:rPr>
              <w:t>das</w:t>
            </w:r>
            <w:r>
              <w:rPr>
                <w:rFonts w:ascii="Theinhardt Regular" w:hAnsi="Theinhardt Regular"/>
                <w:color w:val="231F20"/>
                <w:spacing w:val="3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pacing w:val="-1"/>
                <w:sz w:val="18"/>
              </w:rPr>
              <w:t>PlusEner-</w:t>
              <w:tab/>
            </w:r>
            <w:r>
              <w:rPr>
                <w:rFonts w:ascii="Theinhardt Bold" w:hAnsi="Theinhardt Bold"/>
                <w:b/>
                <w:color w:val="231F20"/>
                <w:w w:val="95"/>
                <w:position w:val="7"/>
                <w:sz w:val="14"/>
              </w:rPr>
              <w:t>Energieversorgung</w:t>
            </w:r>
            <w:r>
              <w:rPr>
                <w:rFonts w:ascii="Theinhardt Bold" w:hAnsi="Theinhardt Bold"/>
                <w:sz w:val="14"/>
              </w:rPr>
            </w:r>
          </w:p>
          <w:p>
            <w:pPr>
              <w:pStyle w:val="TableParagraph"/>
              <w:spacing w:line="126" w:lineRule="exact"/>
              <w:ind w:right="58"/>
              <w:jc w:val="righ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Eigen-EV:  </w:t>
            </w:r>
            <w:r>
              <w:rPr>
                <w:rFonts w:ascii="Theinhardt Regular"/>
                <w:color w:val="231F20"/>
                <w:spacing w:val="14"/>
                <w:sz w:val="14"/>
              </w:rPr>
              <w:t> </w:t>
            </w:r>
            <w:r>
              <w:rPr>
                <w:rFonts w:ascii="Theinhardt Regular"/>
                <w:color w:val="231F20"/>
                <w:spacing w:val="-1"/>
                <w:sz w:val="14"/>
              </w:rPr>
              <w:t>m</w:t>
            </w:r>
            <w:r>
              <w:rPr>
                <w:rFonts w:ascii="Theinhardt Regular"/>
                <w:color w:val="231F20"/>
                <w:spacing w:val="-1"/>
                <w:position w:val="5"/>
                <w:sz w:val="8"/>
              </w:rPr>
              <w:t>2</w:t>
            </w:r>
            <w:r>
              <w:rPr>
                <w:rFonts w:ascii="Theinhardt Regular"/>
                <w:color w:val="231F20"/>
                <w:position w:val="5"/>
                <w:sz w:val="8"/>
              </w:rPr>
              <w:t>      </w:t>
            </w:r>
            <w:r>
              <w:rPr>
                <w:rFonts w:ascii="Theinhardt Regular"/>
                <w:color w:val="231F20"/>
                <w:spacing w:val="2"/>
                <w:position w:val="5"/>
                <w:sz w:val="8"/>
              </w:rPr>
              <w:t> </w:t>
            </w:r>
            <w:r>
              <w:rPr>
                <w:rFonts w:ascii="Theinhardt Regular"/>
                <w:color w:val="231F20"/>
                <w:sz w:val="14"/>
              </w:rPr>
              <w:t>kWp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7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heinhardt Bold" w:hAnsi="Theinhardt Bold" w:cs="Theinhardt Bold" w:eastAsia="Theinhardt Bold"/>
                <w:b/>
                <w:bCs/>
                <w:sz w:val="12"/>
                <w:szCs w:val="12"/>
              </w:rPr>
            </w:pPr>
          </w:p>
          <w:p>
            <w:pPr>
              <w:pStyle w:val="TableParagraph"/>
              <w:spacing w:line="180" w:lineRule="exact"/>
              <w:ind w:left="60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kWh/m</w:t>
            </w:r>
            <w:r>
              <w:rPr>
                <w:rFonts w:ascii="Theinhardt Regular"/>
                <w:color w:val="231F20"/>
                <w:position w:val="5"/>
                <w:sz w:val="8"/>
              </w:rPr>
              <w:t>2</w:t>
            </w:r>
            <w:r>
              <w:rPr>
                <w:rFonts w:ascii="Theinhardt Regular"/>
                <w:color w:val="231F20"/>
                <w:sz w:val="14"/>
              </w:rPr>
              <w:t>a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heinhardt Bold" w:hAnsi="Theinhardt Bold" w:cs="Theinhardt Bold" w:eastAsia="Theinhardt Bold"/>
                <w:b/>
                <w:bCs/>
                <w:sz w:val="12"/>
                <w:szCs w:val="12"/>
              </w:rPr>
            </w:pPr>
          </w:p>
          <w:p>
            <w:pPr>
              <w:pStyle w:val="TableParagraph"/>
              <w:spacing w:line="180" w:lineRule="exact"/>
              <w:ind w:left="228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%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heinhardt Bold" w:hAnsi="Theinhardt Bold" w:cs="Theinhardt Bold" w:eastAsia="Theinhardt Bold"/>
                <w:b/>
                <w:bCs/>
                <w:sz w:val="12"/>
                <w:szCs w:val="12"/>
              </w:rPr>
            </w:pPr>
          </w:p>
          <w:p>
            <w:pPr>
              <w:pStyle w:val="TableParagraph"/>
              <w:spacing w:line="180" w:lineRule="exact"/>
              <w:ind w:left="17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kWh/a</w:t>
            </w:r>
            <w:r>
              <w:rPr>
                <w:rFonts w:ascii="Theinhardt Regular"/>
                <w:sz w:val="14"/>
              </w:rPr>
            </w:r>
          </w:p>
        </w:tc>
      </w:tr>
      <w:tr>
        <w:trPr>
          <w:trHeight w:val="320" w:hRule="exact"/>
        </w:trPr>
        <w:tc>
          <w:tcPr>
            <w:tcW w:w="8559" w:type="dxa"/>
            <w:gridSpan w:val="5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3626" w:val="left" w:leader="none"/>
                <w:tab w:pos="7198" w:val="left" w:leader="none"/>
                <w:tab w:pos="8078" w:val="right" w:leader="none"/>
              </w:tabs>
              <w:spacing w:line="152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8"/>
              </w:rPr>
              <w:t>das</w:t>
            </w:r>
            <w:r>
              <w:rPr>
                <w:rFonts w:ascii="Theinhardt Regular"/>
                <w:color w:val="231F20"/>
                <w:spacing w:val="41"/>
                <w:sz w:val="18"/>
              </w:rPr>
              <w:t> </w:t>
            </w:r>
            <w:r>
              <w:rPr>
                <w:rFonts w:ascii="Theinhardt Regular"/>
                <w:color w:val="231F20"/>
                <w:sz w:val="18"/>
              </w:rPr>
              <w:t>neue</w:t>
            </w:r>
            <w:r>
              <w:rPr>
                <w:rFonts w:ascii="Theinhardt Regular"/>
                <w:color w:val="231F20"/>
                <w:spacing w:val="42"/>
                <w:sz w:val="18"/>
              </w:rPr>
              <w:t> </w:t>
            </w:r>
            <w:r>
              <w:rPr>
                <w:rFonts w:ascii="Theinhardt Regular"/>
                <w:color w:val="231F20"/>
                <w:sz w:val="18"/>
              </w:rPr>
              <w:t>Dach</w:t>
            </w:r>
            <w:r>
              <w:rPr>
                <w:rFonts w:ascii="Theinhardt Regular"/>
                <w:color w:val="231F20"/>
                <w:spacing w:val="41"/>
                <w:sz w:val="18"/>
              </w:rPr>
              <w:t> </w:t>
            </w:r>
            <w:r>
              <w:rPr>
                <w:rFonts w:ascii="Theinhardt Regular"/>
                <w:color w:val="231F20"/>
                <w:spacing w:val="-1"/>
                <w:sz w:val="18"/>
              </w:rPr>
              <w:t>asymmetrisch</w:t>
            </w:r>
            <w:r>
              <w:rPr>
                <w:rFonts w:ascii="Theinhardt Regular"/>
                <w:color w:val="231F20"/>
                <w:spacing w:val="42"/>
                <w:sz w:val="18"/>
              </w:rPr>
              <w:t> </w:t>
            </w:r>
            <w:r>
              <w:rPr>
                <w:rFonts w:ascii="Theinhardt Regular"/>
                <w:color w:val="231F20"/>
                <w:sz w:val="18"/>
              </w:rPr>
              <w:t>konstruiert,</w:t>
              <w:tab/>
              <w:t>gieBau-Diplom 2018.</w:t>
              <w:tab/>
            </w:r>
            <w:r>
              <w:rPr>
                <w:rFonts w:ascii="Theinhardt Regular"/>
                <w:color w:val="231F20"/>
                <w:spacing w:val="1"/>
                <w:position w:val="-1"/>
                <w:sz w:val="14"/>
              </w:rPr>
              <w:t>SK:</w:t>
              <w:tab/>
            </w:r>
            <w:r>
              <w:rPr>
                <w:rFonts w:ascii="Theinhardt Regular"/>
                <w:color w:val="231F20"/>
                <w:spacing w:val="-7"/>
                <w:position w:val="-1"/>
                <w:sz w:val="14"/>
              </w:rPr>
              <w:t>11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tabs>
                <w:tab w:pos="7198" w:val="left" w:leader="none"/>
              </w:tabs>
              <w:spacing w:line="168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color w:val="231F20"/>
                <w:sz w:val="18"/>
              </w:rPr>
              <w:t>mit</w:t>
            </w:r>
            <w:r>
              <w:rPr>
                <w:rFonts w:ascii="Theinhardt Regular" w:hAnsi="Theinhardt Regular"/>
                <w:color w:val="231F20"/>
                <w:spacing w:val="-3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z w:val="18"/>
              </w:rPr>
              <w:t>einer</w:t>
            </w:r>
            <w:r>
              <w:rPr>
                <w:rFonts w:ascii="Theinhardt Regular" w:hAnsi="Theinhardt Regular"/>
                <w:color w:val="231F20"/>
                <w:spacing w:val="-3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pacing w:val="-1"/>
                <w:sz w:val="18"/>
              </w:rPr>
              <w:t>kleineren,</w:t>
            </w:r>
            <w:r>
              <w:rPr>
                <w:rFonts w:ascii="Theinhardt Regular" w:hAnsi="Theinhardt Regular"/>
                <w:color w:val="231F20"/>
                <w:spacing w:val="-14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z w:val="18"/>
              </w:rPr>
              <w:t>steilen</w:t>
            </w:r>
            <w:r>
              <w:rPr>
                <w:rFonts w:ascii="Theinhardt Regular" w:hAnsi="Theinhardt Regular"/>
                <w:color w:val="231F20"/>
                <w:spacing w:val="-3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z w:val="18"/>
              </w:rPr>
              <w:t>Dachfläche</w:t>
            </w:r>
            <w:r>
              <w:rPr>
                <w:rFonts w:ascii="Theinhardt Regular" w:hAnsi="Theinhardt Regular"/>
                <w:color w:val="231F20"/>
                <w:spacing w:val="-3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pacing w:val="-1"/>
                <w:sz w:val="18"/>
              </w:rPr>
              <w:t>nach</w:t>
              <w:tab/>
            </w:r>
            <w:r>
              <w:rPr>
                <w:rFonts w:ascii="Theinhardt Regular" w:hAnsi="Theinhardt Regular"/>
                <w:color w:val="231F20"/>
                <w:spacing w:val="1"/>
                <w:position w:val="5"/>
                <w:sz w:val="14"/>
              </w:rPr>
              <w:t>SK</w:t>
            </w:r>
            <w:r>
              <w:rPr>
                <w:rFonts w:ascii="Theinhardt Regular" w:hAnsi="Theinhardt Regular"/>
                <w:color w:val="231F20"/>
                <w:position w:val="5"/>
                <w:sz w:val="14"/>
              </w:rPr>
              <w:t> </w:t>
            </w:r>
            <w:r>
              <w:rPr>
                <w:rFonts w:ascii="Theinhardt Regular" w:hAnsi="Theinhardt Regular"/>
                <w:color w:val="231F20"/>
                <w:spacing w:val="2"/>
                <w:position w:val="5"/>
                <w:sz w:val="14"/>
              </w:rPr>
              <w:t>genutzt:</w:t>
            </w:r>
            <w:r>
              <w:rPr>
                <w:rFonts w:ascii="Theinhardt Regular" w:hAnsi="Theinhardt Regular"/>
                <w:sz w:val="14"/>
              </w:rPr>
            </w:r>
          </w:p>
        </w:tc>
        <w:tc>
          <w:tcPr>
            <w:tcW w:w="7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36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2"/>
                <w:sz w:val="14"/>
              </w:rPr>
              <w:t>6</w:t>
            </w:r>
            <w:r>
              <w:rPr>
                <w:rFonts w:ascii="Theinhardt Regular"/>
                <w:color w:val="231F20"/>
                <w:spacing w:val="4"/>
                <w:sz w:val="14"/>
              </w:rPr>
              <w:t>0</w:t>
            </w:r>
            <w:r>
              <w:rPr>
                <w:rFonts w:ascii="Theinhardt Regular"/>
                <w:color w:val="231F20"/>
                <w:sz w:val="14"/>
              </w:rPr>
              <w:t>0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heinhardt Bold" w:hAnsi="Theinhardt Bold" w:cs="Theinhardt Bold" w:eastAsia="Theinhardt Bold"/>
                <w:b/>
                <w:bCs/>
                <w:sz w:val="10"/>
                <w:szCs w:val="10"/>
              </w:rPr>
            </w:pPr>
          </w:p>
          <w:p>
            <w:pPr>
              <w:pStyle w:val="TableParagraph"/>
              <w:spacing w:line="180" w:lineRule="exact"/>
              <w:ind w:left="19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2"/>
                <w:sz w:val="14"/>
              </w:rPr>
              <w:t>24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2" w:lineRule="exact"/>
              <w:ind w:left="19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pacing w:val="-1"/>
                <w:sz w:val="14"/>
                <w:szCs w:val="14"/>
              </w:rPr>
              <w:t>6</w:t>
            </w:r>
            <w:r>
              <w:rPr>
                <w:rFonts w:ascii="Theinhardt Regular" w:hAnsi="Theinhardt Regular" w:cs="Theinhardt Regular" w:eastAsia="Theinhardt Regular"/>
                <w:color w:val="231F20"/>
                <w:sz w:val="14"/>
                <w:szCs w:val="14"/>
              </w:rPr>
              <w:t>’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2"/>
                <w:sz w:val="14"/>
                <w:szCs w:val="14"/>
              </w:rPr>
              <w:t>6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4"/>
                <w:sz w:val="14"/>
                <w:szCs w:val="14"/>
              </w:rPr>
              <w:t>0</w:t>
            </w:r>
            <w:r>
              <w:rPr>
                <w:rFonts w:ascii="Theinhardt Regular" w:hAnsi="Theinhardt Regular" w:cs="Theinhardt Regular" w:eastAsia="Theinhardt Regular"/>
                <w:color w:val="231F20"/>
                <w:sz w:val="14"/>
                <w:szCs w:val="14"/>
              </w:rPr>
              <w:t>0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  <w:p>
            <w:pPr>
              <w:pStyle w:val="TableParagraph"/>
              <w:spacing w:line="168" w:lineRule="exact"/>
              <w:ind w:left="19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z w:val="14"/>
                <w:szCs w:val="14"/>
              </w:rPr>
              <w:t>3’300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61" w:hRule="exact"/>
        </w:trPr>
        <w:tc>
          <w:tcPr>
            <w:tcW w:w="8559" w:type="dxa"/>
            <w:gridSpan w:val="5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636" w:val="left" w:leader="none"/>
              </w:tabs>
              <w:spacing w:line="161" w:lineRule="exact"/>
              <w:ind w:right="58"/>
              <w:jc w:val="righ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w w:val="95"/>
                <w:sz w:val="14"/>
              </w:rPr>
              <w:t>PV:</w:t>
              <w:tab/>
            </w:r>
            <w:r>
              <w:rPr>
                <w:rFonts w:ascii="Theinhardt Regular"/>
                <w:color w:val="231F20"/>
                <w:spacing w:val="-2"/>
                <w:sz w:val="14"/>
              </w:rPr>
              <w:t>150</w:t>
            </w:r>
            <w:r>
              <w:rPr>
                <w:rFonts w:ascii="Theinhardt Regular"/>
                <w:color w:val="231F20"/>
                <w:sz w:val="14"/>
              </w:rPr>
              <w:t>  </w:t>
            </w:r>
            <w:r>
              <w:rPr>
                <w:rFonts w:ascii="Theinhardt Regular"/>
                <w:color w:val="231F20"/>
                <w:spacing w:val="26"/>
                <w:sz w:val="14"/>
              </w:rPr>
              <w:t> </w:t>
            </w:r>
            <w:r>
              <w:rPr>
                <w:rFonts w:ascii="Theinhardt Regular"/>
                <w:color w:val="231F20"/>
                <w:spacing w:val="-2"/>
                <w:sz w:val="14"/>
              </w:rPr>
              <w:t>19.8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7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1" w:lineRule="exact"/>
              <w:ind w:left="37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2"/>
                <w:sz w:val="14"/>
              </w:rPr>
              <w:t>164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1" w:lineRule="exact"/>
              <w:ind w:left="112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2"/>
                <w:sz w:val="14"/>
              </w:rPr>
              <w:t>180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1" w:lineRule="exact"/>
              <w:ind w:left="12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pacing w:val="-2"/>
                <w:sz w:val="14"/>
                <w:szCs w:val="14"/>
              </w:rPr>
              <w:t>24’542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537" w:hRule="exact"/>
        </w:trPr>
        <w:tc>
          <w:tcPr>
            <w:tcW w:w="49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2" w:lineRule="exact"/>
              <w:ind w:left="55" w:right="-32"/>
              <w:jc w:val="left"/>
              <w:rPr>
                <w:rFonts w:ascii="Theinhardt Regular" w:hAnsi="Theinhardt Regular" w:cs="Theinhardt Regular" w:eastAsia="Theinhardt Regular"/>
                <w:sz w:val="18"/>
                <w:szCs w:val="18"/>
              </w:rPr>
            </w:pPr>
            <w:r>
              <w:rPr>
                <w:rFonts w:ascii="Theinhardt Regular"/>
                <w:color w:val="231F20"/>
                <w:spacing w:val="-1"/>
                <w:sz w:val="18"/>
              </w:rPr>
              <w:t>Norde</w:t>
            </w:r>
            <w:r>
              <w:rPr>
                <w:rFonts w:ascii="Theinhardt Regular"/>
                <w:sz w:val="18"/>
              </w:rPr>
            </w:r>
          </w:p>
          <w:p>
            <w:pPr>
              <w:pStyle w:val="TableParagraph"/>
              <w:spacing w:line="234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8"/>
                <w:szCs w:val="18"/>
              </w:rPr>
            </w:pPr>
            <w:r>
              <w:rPr>
                <w:rFonts w:ascii="Theinhardt Regular"/>
                <w:color w:val="231F20"/>
                <w:sz w:val="18"/>
              </w:rPr>
              <w:t>che.</w:t>
            </w:r>
            <w:r>
              <w:rPr>
                <w:rFonts w:ascii="Theinhardt Regular"/>
                <w:sz w:val="18"/>
              </w:rPr>
            </w:r>
          </w:p>
        </w:tc>
        <w:tc>
          <w:tcPr>
            <w:tcW w:w="5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2" w:lineRule="exact"/>
              <w:ind w:left="114" w:right="-16" w:hanging="84"/>
              <w:jc w:val="left"/>
              <w:rPr>
                <w:rFonts w:ascii="Theinhardt Regular" w:hAnsi="Theinhardt Regular" w:cs="Theinhardt Regular" w:eastAsia="Theinhardt Regular"/>
                <w:sz w:val="18"/>
                <w:szCs w:val="18"/>
              </w:rPr>
            </w:pPr>
            <w:r>
              <w:rPr>
                <w:rFonts w:ascii="Theinhardt Regular"/>
                <w:color w:val="231F20"/>
                <w:sz w:val="18"/>
              </w:rPr>
              <w:t>n</w:t>
            </w:r>
            <w:r>
              <w:rPr>
                <w:rFonts w:ascii="Theinhardt Regular"/>
                <w:color w:val="231F20"/>
                <w:spacing w:val="-14"/>
                <w:sz w:val="18"/>
              </w:rPr>
              <w:t> </w:t>
            </w:r>
            <w:r>
              <w:rPr>
                <w:rFonts w:ascii="Theinhardt Regular"/>
                <w:color w:val="231F20"/>
                <w:sz w:val="18"/>
              </w:rPr>
              <w:t>und</w:t>
            </w:r>
            <w:r>
              <w:rPr>
                <w:rFonts w:ascii="Theinhardt Regular"/>
                <w:color w:val="231F20"/>
                <w:spacing w:val="-14"/>
                <w:sz w:val="18"/>
              </w:rPr>
              <w:t> </w:t>
            </w:r>
            <w:r>
              <w:rPr>
                <w:rFonts w:ascii="Theinhardt Regular"/>
                <w:color w:val="231F20"/>
                <w:sz w:val="18"/>
              </w:rPr>
              <w:t>e</w:t>
            </w:r>
            <w:r>
              <w:rPr>
                <w:rFonts w:ascii="Theinhardt Regular"/>
                <w:sz w:val="18"/>
              </w:rPr>
            </w:r>
          </w:p>
          <w:p>
            <w:pPr>
              <w:pStyle w:val="TableParagraph"/>
              <w:spacing w:line="234" w:lineRule="exact"/>
              <w:ind w:left="114" w:right="0"/>
              <w:jc w:val="left"/>
              <w:rPr>
                <w:rFonts w:ascii="Theinhardt Regular" w:hAnsi="Theinhardt Regular" w:cs="Theinhardt Regular" w:eastAsia="Theinhardt Regular"/>
                <w:sz w:val="18"/>
                <w:szCs w:val="18"/>
              </w:rPr>
            </w:pPr>
            <w:r>
              <w:rPr>
                <w:rFonts w:ascii="Theinhardt Regular"/>
                <w:color w:val="231F20"/>
                <w:sz w:val="18"/>
              </w:rPr>
              <w:t>Eine</w:t>
            </w:r>
            <w:r>
              <w:rPr>
                <w:rFonts w:ascii="Theinhardt Regular"/>
                <w:sz w:val="18"/>
              </w:rPr>
            </w:r>
          </w:p>
        </w:tc>
        <w:tc>
          <w:tcPr>
            <w:tcW w:w="4226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2" w:lineRule="exact"/>
              <w:ind w:right="1882"/>
              <w:jc w:val="center"/>
              <w:rPr>
                <w:rFonts w:ascii="Theinhardt Regular" w:hAnsi="Theinhardt Regular" w:cs="Theinhardt Regular" w:eastAsia="Theinhardt Regular"/>
                <w:sz w:val="18"/>
                <w:szCs w:val="18"/>
              </w:rPr>
            </w:pPr>
            <w:r>
              <w:rPr>
                <w:rFonts w:ascii="Theinhardt Regular" w:hAnsi="Theinhardt Regular"/>
                <w:color w:val="231F20"/>
                <w:sz w:val="18"/>
              </w:rPr>
              <w:t>iner</w:t>
            </w:r>
            <w:r>
              <w:rPr>
                <w:rFonts w:ascii="Theinhardt Regular" w:hAnsi="Theinhardt Regular"/>
                <w:color w:val="231F20"/>
                <w:spacing w:val="-14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pacing w:val="-1"/>
                <w:sz w:val="18"/>
              </w:rPr>
              <w:t>grossen,</w:t>
            </w:r>
            <w:r>
              <w:rPr>
                <w:rFonts w:ascii="Theinhardt Regular" w:hAnsi="Theinhardt Regular"/>
                <w:color w:val="231F20"/>
                <w:spacing w:val="-24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pacing w:val="-1"/>
                <w:sz w:val="18"/>
              </w:rPr>
              <w:t>flacheren</w:t>
            </w:r>
            <w:r>
              <w:rPr>
                <w:rFonts w:ascii="Theinhardt Regular" w:hAnsi="Theinhardt Regular"/>
                <w:color w:val="231F20"/>
                <w:spacing w:val="-14"/>
                <w:sz w:val="18"/>
              </w:rPr>
              <w:t> </w:t>
            </w:r>
            <w:r>
              <w:rPr>
                <w:rFonts w:ascii="Theinhardt Regular" w:hAnsi="Theinhardt Regular"/>
                <w:color w:val="231F20"/>
                <w:sz w:val="18"/>
              </w:rPr>
              <w:t>Südflä-</w:t>
            </w:r>
            <w:r>
              <w:rPr>
                <w:rFonts w:ascii="Theinhardt Regular" w:hAnsi="Theinhardt Regular"/>
                <w:sz w:val="18"/>
              </w:rPr>
            </w:r>
          </w:p>
          <w:p>
            <w:pPr>
              <w:pStyle w:val="TableParagraph"/>
              <w:tabs>
                <w:tab w:pos="1412" w:val="left" w:leader="none"/>
              </w:tabs>
              <w:spacing w:line="234" w:lineRule="exact"/>
              <w:ind w:right="1777"/>
              <w:jc w:val="center"/>
              <w:rPr>
                <w:rFonts w:ascii="Theinhardt Regular" w:hAnsi="Theinhardt Regular" w:cs="Theinhardt Regular" w:eastAsia="Theinhardt Regular"/>
                <w:sz w:val="18"/>
                <w:szCs w:val="18"/>
              </w:rPr>
            </w:pPr>
            <w:r>
              <w:rPr>
                <w:rFonts w:ascii="Theinhardt Regular"/>
                <w:color w:val="231F20"/>
                <w:sz w:val="18"/>
              </w:rPr>
              <w:t>monokristalline</w:t>
              <w:tab/>
            </w:r>
            <w:r>
              <w:rPr>
                <w:rFonts w:ascii="Theinhardt Regular"/>
                <w:color w:val="231F20"/>
                <w:spacing w:val="-2"/>
                <w:sz w:val="18"/>
              </w:rPr>
              <w:t>PV-Anlage</w:t>
            </w:r>
            <w:r>
              <w:rPr>
                <w:rFonts w:ascii="Theinhardt Regular"/>
                <w:sz w:val="18"/>
              </w:rPr>
            </w:r>
          </w:p>
        </w:tc>
        <w:tc>
          <w:tcPr>
            <w:tcW w:w="3982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3" w:lineRule="exact"/>
              <w:ind w:left="1899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z w:val="14"/>
              </w:rPr>
              <w:t>Eigenenergieversorgung:</w:t>
            </w:r>
            <w:r>
              <w:rPr>
                <w:rFonts w:ascii="Theinhardt Bold"/>
                <w:sz w:val="14"/>
              </w:rPr>
            </w:r>
          </w:p>
          <w:p>
            <w:pPr>
              <w:pStyle w:val="TableParagraph"/>
              <w:spacing w:line="172" w:lineRule="exact" w:before="32"/>
              <w:ind w:left="189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z w:val="14"/>
              </w:rPr>
              <w:t>Energiebilanz </w:t>
            </w:r>
            <w:r>
              <w:rPr>
                <w:rFonts w:ascii="Theinhardt Regular"/>
                <w:color w:val="231F20"/>
                <w:sz w:val="14"/>
              </w:rPr>
              <w:t>(Endenergie)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169" w:lineRule="exact"/>
              <w:ind w:left="1899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z w:val="14"/>
              </w:rPr>
              <w:t>Eigenenergieversorgung: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3" w:lineRule="exact"/>
              <w:ind w:right="3"/>
              <w:jc w:val="center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1"/>
                <w:sz w:val="14"/>
              </w:rPr>
              <w:t>204</w:t>
            </w:r>
            <w:r>
              <w:rPr>
                <w:rFonts w:ascii="Theinhardt Bold"/>
                <w:sz w:val="14"/>
              </w:rPr>
            </w:r>
          </w:p>
          <w:p>
            <w:pPr>
              <w:pStyle w:val="TableParagraph"/>
              <w:spacing w:line="172" w:lineRule="exact" w:before="32"/>
              <w:ind w:left="119" w:right="0"/>
              <w:jc w:val="center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%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169" w:lineRule="exact"/>
              <w:ind w:right="3"/>
              <w:jc w:val="center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1"/>
                <w:sz w:val="14"/>
              </w:rPr>
              <w:t>204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3" w:lineRule="exact"/>
              <w:ind w:left="10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pacing w:val="1"/>
                <w:sz w:val="14"/>
                <w:szCs w:val="14"/>
              </w:rPr>
              <w:t>27’842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  <w:p>
            <w:pPr>
              <w:pStyle w:val="TableParagraph"/>
              <w:spacing w:line="172" w:lineRule="exact" w:before="32"/>
              <w:ind w:left="17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kWh/a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169" w:lineRule="exact"/>
              <w:ind w:left="10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pacing w:val="1"/>
                <w:sz w:val="14"/>
                <w:szCs w:val="14"/>
              </w:rPr>
              <w:t>27’842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  <w:tr>
        <w:trPr>
          <w:trHeight w:val="346" w:hRule="exact"/>
        </w:trPr>
        <w:tc>
          <w:tcPr>
            <w:tcW w:w="49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1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8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3982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7" w:lineRule="auto"/>
              <w:ind w:left="1899" w:right="711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color w:val="231F20"/>
                <w:sz w:val="14"/>
              </w:rPr>
              <w:t>Gesamtenergiebedarf: Solarstromüberschuss:</w:t>
            </w:r>
            <w:r>
              <w:rPr>
                <w:rFonts w:ascii="Theinhardt Regular" w:hAnsi="Theinhardt Regular"/>
                <w:sz w:val="14"/>
              </w:rPr>
            </w:r>
          </w:p>
        </w:tc>
        <w:tc>
          <w:tcPr>
            <w:tcW w:w="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/>
              <w:ind w:left="108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100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172" w:lineRule="exact"/>
              <w:ind w:left="108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z w:val="14"/>
              </w:rPr>
              <w:t>104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1" w:lineRule="exact"/>
              <w:ind w:left="12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pacing w:val="-2"/>
                <w:sz w:val="14"/>
                <w:szCs w:val="14"/>
              </w:rPr>
              <w:t>13’658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  <w:p>
            <w:pPr>
              <w:pStyle w:val="TableParagraph"/>
              <w:spacing w:line="172" w:lineRule="exact"/>
              <w:ind w:left="121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pacing w:val="-1"/>
                <w:sz w:val="14"/>
                <w:szCs w:val="14"/>
              </w:rPr>
              <w:t>14’184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spacing w:line="160" w:lineRule="exact" w:before="17"/>
        <w:ind w:left="7300" w:right="60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shape style="position:absolute;margin-left:37.323002pt;margin-top:-5.950791pt;width:346.06284pt;height:229.964pt;mso-position-horizontal-relative:page;mso-position-vertical-relative:paragraph;z-index:-9520" type="#_x0000_t75" stroked="false">
            <v:imagedata r:id="rId6" o:title=""/>
          </v:shape>
        </w:pict>
      </w:r>
      <w:r>
        <w:rPr>
          <w:rFonts w:ascii="Theinhardt Bold" w:hAnsi="Theinhardt Bold"/>
          <w:b/>
          <w:color w:val="231F20"/>
          <w:sz w:val="14"/>
        </w:rPr>
        <w:t>Bestätigt von </w:t>
      </w:r>
      <w:r>
        <w:rPr>
          <w:rFonts w:ascii="Theinhardt Bold" w:hAnsi="Theinhardt Bold"/>
          <w:b/>
          <w:color w:val="231F20"/>
          <w:spacing w:val="1"/>
          <w:sz w:val="14"/>
        </w:rPr>
        <w:t>der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Kierzek</w:t>
      </w:r>
      <w:r>
        <w:rPr>
          <w:rFonts w:ascii="Theinhardt Bold" w:hAnsi="Theinhardt Bold"/>
          <w:b/>
          <w:color w:val="231F20"/>
          <w:sz w:val="14"/>
        </w:rPr>
        <w:t> AG </w:t>
      </w:r>
      <w:r>
        <w:rPr>
          <w:rFonts w:ascii="Theinhardt Regular" w:hAnsi="Theinhardt Regular"/>
          <w:color w:val="231F20"/>
          <w:sz w:val="14"/>
        </w:rPr>
        <w:t>am 29.08.2018</w:t>
      </w:r>
      <w:r>
        <w:rPr>
          <w:rFonts w:ascii="Theinhardt Regular" w:hAnsi="Theinhardt Regular"/>
          <w:color w:val="231F20"/>
          <w:spacing w:val="27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Tel. </w:t>
      </w:r>
      <w:r>
        <w:rPr>
          <w:rFonts w:ascii="Theinhardt Regular" w:hAnsi="Theinhardt Regular"/>
          <w:color w:val="231F20"/>
          <w:spacing w:val="-2"/>
          <w:sz w:val="14"/>
        </w:rPr>
        <w:t>071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672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72</w:t>
      </w:r>
      <w:r>
        <w:rPr>
          <w:rFonts w:ascii="Theinhardt Regular" w:hAnsi="Theinhardt Regular"/>
          <w:color w:val="231F20"/>
          <w:sz w:val="14"/>
        </w:rPr>
        <w:t> 35</w:t>
      </w:r>
      <w:r>
        <w:rPr>
          <w:rFonts w:ascii="Theinhardt Regular" w:hAnsi="Theinhardt Regular"/>
          <w:sz w:val="14"/>
        </w:rPr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before="0"/>
        <w:ind w:left="0" w:right="2135" w:firstLine="0"/>
        <w:jc w:val="righ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z w:val="14"/>
        </w:rPr>
        <w:t>Beteiligte 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730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0" w:right="714" w:firstLine="0"/>
        <w:jc w:val="righ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Bauherrschaft und Standort </w:t>
      </w:r>
      <w:r>
        <w:rPr>
          <w:rFonts w:ascii="Theinhardt Bold" w:hAnsi="Theinhardt Bold"/>
          <w:b/>
          <w:color w:val="231F20"/>
          <w:spacing w:val="1"/>
          <w:sz w:val="14"/>
        </w:rPr>
        <w:t>des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Gebäudes</w:t>
      </w:r>
      <w:r>
        <w:rPr>
          <w:rFonts w:ascii="Theinhardt Bold" w:hAnsi="Theinhardt Bold"/>
          <w:sz w:val="14"/>
        </w:rPr>
      </w:r>
    </w:p>
    <w:p>
      <w:pPr>
        <w:spacing w:line="160" w:lineRule="exact" w:before="0"/>
        <w:ind w:left="0" w:right="2456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Familie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Schilling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73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2"/>
          <w:sz w:val="14"/>
        </w:rPr>
        <w:t>Wigärtlistrasse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16,</w:t>
      </w:r>
      <w:r>
        <w:rPr>
          <w:rFonts w:ascii="Theinhardt Regular" w:hAnsi="Theinhardt Regular"/>
          <w:color w:val="231F20"/>
          <w:sz w:val="14"/>
        </w:rPr>
        <w:t> 8598 </w:t>
      </w:r>
      <w:r>
        <w:rPr>
          <w:rFonts w:ascii="Theinhardt Regular" w:hAnsi="Theinhardt Regular"/>
          <w:color w:val="231F20"/>
          <w:spacing w:val="2"/>
          <w:sz w:val="14"/>
        </w:rPr>
        <w:t>Bottighofen</w:t>
      </w:r>
      <w:r>
        <w:rPr>
          <w:rFonts w:ascii="Theinhardt Regular" w:hAnsi="Theinhardt Regular"/>
          <w:sz w:val="14"/>
        </w:rPr>
      </w:r>
    </w:p>
    <w:p>
      <w:pPr>
        <w:spacing w:line="160" w:lineRule="exact" w:before="39"/>
        <w:ind w:left="7300" w:right="1308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Architektur/Bauleitung</w:t>
      </w:r>
      <w:r>
        <w:rPr>
          <w:rFonts w:ascii="Theinhardt Bold"/>
          <w:b/>
          <w:color w:val="231F20"/>
          <w:spacing w:val="38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dransfeldarchitekten</w:t>
      </w:r>
      <w:r>
        <w:rPr>
          <w:rFonts w:ascii="Theinhardt Regular"/>
          <w:color w:val="231F20"/>
          <w:sz w:val="14"/>
        </w:rPr>
        <w:t> ag</w:t>
      </w:r>
      <w:r>
        <w:rPr>
          <w:rFonts w:ascii="Theinhardt Regular"/>
          <w:color w:val="231F20"/>
          <w:spacing w:val="24"/>
          <w:sz w:val="14"/>
        </w:rPr>
        <w:t> </w:t>
      </w:r>
      <w:r>
        <w:rPr>
          <w:rFonts w:ascii="Theinhardt Regular"/>
          <w:color w:val="231F20"/>
          <w:spacing w:val="3"/>
          <w:sz w:val="14"/>
        </w:rPr>
        <w:t>Poststrasse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9a,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8272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Ermatingen</w:t>
      </w:r>
      <w:r>
        <w:rPr>
          <w:rFonts w:ascii="Theinhardt Regular"/>
          <w:sz w:val="14"/>
        </w:rPr>
      </w:r>
    </w:p>
    <w:p>
      <w:pPr>
        <w:spacing w:line="177" w:lineRule="exact" w:before="0"/>
        <w:ind w:left="0" w:right="719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071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660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09</w:t>
      </w:r>
      <w:r>
        <w:rPr>
          <w:rFonts w:ascii="Theinhardt Regular"/>
          <w:color w:val="231F20"/>
          <w:sz w:val="14"/>
        </w:rPr>
        <w:t> 09</w:t>
      </w:r>
      <w:hyperlink r:id="rId7">
        <w:r>
          <w:rPr>
            <w:rFonts w:ascii="Theinhardt Regular"/>
            <w:color w:val="231F20"/>
            <w:sz w:val="14"/>
          </w:rPr>
          <w:t>, </w:t>
        </w:r>
        <w:r>
          <w:rPr>
            <w:rFonts w:ascii="Theinhardt Regular"/>
            <w:color w:val="231F20"/>
            <w:spacing w:val="1"/>
            <w:sz w:val="14"/>
          </w:rPr>
          <w:t>dransfeld@dransfeld.ch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0" w:right="2516" w:firstLine="0"/>
        <w:jc w:val="righ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HLK-Ingenieur</w:t>
      </w:r>
      <w:r>
        <w:rPr>
          <w:rFonts w:ascii="Theinhardt Bold"/>
          <w:sz w:val="14"/>
        </w:rPr>
      </w:r>
    </w:p>
    <w:p>
      <w:pPr>
        <w:spacing w:line="207" w:lineRule="auto" w:before="5"/>
        <w:ind w:left="7300" w:right="75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Naef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Energietechnik,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Jupiterstrasse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26,</w:t>
      </w:r>
      <w:r>
        <w:rPr>
          <w:rFonts w:ascii="Theinhardt Regular" w:hAnsi="Theinhardt Regular"/>
          <w:color w:val="231F20"/>
          <w:spacing w:val="44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8032 </w:t>
      </w:r>
      <w:r>
        <w:rPr>
          <w:rFonts w:ascii="Theinhardt Regular" w:hAnsi="Theinhardt Regular"/>
          <w:color w:val="231F20"/>
          <w:spacing w:val="1"/>
          <w:sz w:val="14"/>
        </w:rPr>
        <w:t>Zürich,</w:t>
      </w:r>
      <w:r>
        <w:rPr>
          <w:rFonts w:ascii="Theinhardt Regular" w:hAnsi="Theinhardt Regular"/>
          <w:color w:val="231F20"/>
          <w:sz w:val="14"/>
        </w:rPr>
        <w:t>  </w:t>
      </w:r>
      <w:r>
        <w:rPr>
          <w:rFonts w:ascii="Theinhardt Regular" w:hAnsi="Theinhardt Regular"/>
          <w:color w:val="231F20"/>
          <w:spacing w:val="-2"/>
          <w:sz w:val="14"/>
        </w:rPr>
        <w:t>Tel.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044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380</w:t>
      </w:r>
      <w:r>
        <w:rPr>
          <w:rFonts w:ascii="Theinhardt Regular" w:hAnsi="Theinhardt Regular"/>
          <w:color w:val="231F20"/>
          <w:sz w:val="14"/>
        </w:rPr>
        <w:t> 36 </w:t>
      </w:r>
      <w:r>
        <w:rPr>
          <w:rFonts w:ascii="Theinhardt Regular" w:hAnsi="Theinhardt Regular"/>
          <w:color w:val="231F20"/>
          <w:spacing w:val="1"/>
          <w:sz w:val="14"/>
        </w:rPr>
        <w:t>88</w:t>
      </w:r>
      <w:r>
        <w:rPr>
          <w:rFonts w:ascii="Theinhardt Regular" w:hAnsi="Theinhardt Regular"/>
          <w:sz w:val="14"/>
        </w:rPr>
      </w:r>
    </w:p>
    <w:p>
      <w:pPr>
        <w:spacing w:line="240" w:lineRule="auto" w:before="3"/>
        <w:rPr>
          <w:rFonts w:ascii="Theinhardt Regular" w:hAnsi="Theinhardt Regular" w:cs="Theinhardt Regular" w:eastAsia="Theinhardt Regular"/>
          <w:sz w:val="3"/>
          <w:szCs w:val="3"/>
        </w:rPr>
      </w:pPr>
    </w:p>
    <w:p>
      <w:pPr>
        <w:spacing w:line="20" w:lineRule="atLeast"/>
        <w:ind w:left="7300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3"/>
        <w:rPr>
          <w:rFonts w:ascii="Theinhardt Regular" w:hAnsi="Theinhardt Regular" w:cs="Theinhardt Regular" w:eastAsia="Theinhardt Regular"/>
          <w:sz w:val="4"/>
          <w:szCs w:val="4"/>
        </w:rPr>
      </w:pPr>
    </w:p>
    <w:p>
      <w:pPr>
        <w:spacing w:line="200" w:lineRule="atLeast"/>
        <w:ind w:left="7296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32390" cy="1185672"/>
            <wp:effectExtent l="0" t="0" r="0" b="0"/>
            <wp:docPr id="1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2390" cy="1185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298" w:val="left" w:leader="none"/>
        </w:tabs>
        <w:spacing w:before="4"/>
        <w:ind w:left="15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1</w:t>
        <w:tab/>
      </w:r>
      <w:r>
        <w:rPr>
          <w:rFonts w:ascii="Theinhardt Bold"/>
          <w:b/>
          <w:color w:val="231F20"/>
          <w:position w:val="1"/>
          <w:sz w:val="14"/>
        </w:rPr>
        <w:t>2</w:t>
      </w:r>
      <w:r>
        <w:rPr>
          <w:rFonts w:ascii="Theinhardt Bold"/>
          <w:sz w:val="14"/>
        </w:rPr>
      </w:r>
    </w:p>
    <w:p>
      <w:pPr>
        <w:spacing w:line="240" w:lineRule="auto" w:before="4"/>
        <w:rPr>
          <w:rFonts w:ascii="Theinhardt Bold" w:hAnsi="Theinhardt Bold" w:cs="Theinhardt Bold" w:eastAsia="Theinhardt Bold"/>
          <w:b/>
          <w:bCs/>
          <w:sz w:val="18"/>
          <w:szCs w:val="18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00" w:bottom="280" w:left="580" w:right="900"/>
        </w:sectPr>
      </w:pPr>
    </w:p>
    <w:p>
      <w:pPr>
        <w:numPr>
          <w:ilvl w:val="0"/>
          <w:numId w:val="1"/>
        </w:numPr>
        <w:tabs>
          <w:tab w:pos="384" w:val="left" w:leader="none"/>
        </w:tabs>
        <w:spacing w:line="160" w:lineRule="exact" w:before="76"/>
        <w:ind w:left="383" w:right="0" w:hanging="226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Mit 35’900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verschlang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das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Einfamilien-</w:t>
      </w:r>
      <w:r>
        <w:rPr>
          <w:rFonts w:ascii="Theinhardt Bold" w:hAnsi="Theinhardt Bold" w:cs="Theinhardt Bold" w:eastAsia="Theinhardt Bold"/>
          <w:b/>
          <w:bCs/>
          <w:color w:val="231F20"/>
          <w:spacing w:val="49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haus vor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Sanierung mehr als doppelt so viel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Energie.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numPr>
          <w:ilvl w:val="0"/>
          <w:numId w:val="1"/>
        </w:numPr>
        <w:tabs>
          <w:tab w:pos="384" w:val="left" w:leader="none"/>
        </w:tabs>
        <w:spacing w:line="160" w:lineRule="exact" w:before="76"/>
        <w:ind w:left="383" w:right="3754" w:hanging="226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br w:type="column"/>
        <w:t>Nach einem</w:t>
      </w:r>
      <w:r>
        <w:rPr>
          <w:rFonts w:ascii="Theinhardt Bold" w:hAnsi="Theinhardt Bold"/>
          <w:b/>
          <w:color w:val="231F20"/>
          <w:spacing w:val="-6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Vollbrand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wurde</w:t>
      </w:r>
      <w:r>
        <w:rPr>
          <w:rFonts w:ascii="Theinhardt Bold" w:hAnsi="Theinhardt Bold"/>
          <w:b/>
          <w:color w:val="231F20"/>
          <w:sz w:val="14"/>
        </w:rPr>
        <w:t> das Dachgeschoss</w:t>
      </w:r>
      <w:r>
        <w:rPr>
          <w:rFonts w:ascii="Theinhardt Bold" w:hAnsi="Theinhardt Bold"/>
          <w:b/>
          <w:color w:val="231F20"/>
          <w:spacing w:val="3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vollständig</w:t>
      </w:r>
      <w:r>
        <w:rPr>
          <w:rFonts w:ascii="Theinhardt Bold" w:hAnsi="Theinhardt Bold"/>
          <w:b/>
          <w:color w:val="231F20"/>
          <w:sz w:val="14"/>
        </w:rPr>
        <w:t> ersetzt.</w:t>
      </w:r>
      <w:r>
        <w:rPr>
          <w:rFonts w:ascii="Theinhardt Bold" w:hAnsi="Theinhardt Bold"/>
          <w:b/>
          <w:color w:val="231F20"/>
          <w:spacing w:val="-6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Das </w:t>
      </w:r>
      <w:r>
        <w:rPr>
          <w:rFonts w:ascii="Theinhardt Bold" w:hAnsi="Theinhardt Bold"/>
          <w:b/>
          <w:color w:val="231F20"/>
          <w:spacing w:val="-1"/>
          <w:sz w:val="14"/>
        </w:rPr>
        <w:t>Erdgeschoss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wurde</w:t>
      </w:r>
      <w:r>
        <w:rPr>
          <w:rFonts w:ascii="Theinhardt Bold" w:hAnsi="Theinhardt Bold"/>
          <w:b/>
          <w:color w:val="231F20"/>
          <w:spacing w:val="58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gedämmt</w:t>
      </w:r>
      <w:r>
        <w:rPr>
          <w:rFonts w:ascii="Theinhardt Bold" w:hAnsi="Theinhardt Bold"/>
          <w:b/>
          <w:color w:val="231F20"/>
          <w:spacing w:val="-1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und in </w:t>
      </w:r>
      <w:r>
        <w:rPr>
          <w:rFonts w:ascii="Theinhardt Bold" w:hAnsi="Theinhardt Bold"/>
          <w:b/>
          <w:color w:val="231F20"/>
          <w:spacing w:val="-1"/>
          <w:sz w:val="14"/>
        </w:rPr>
        <w:t>die südliche</w:t>
      </w:r>
      <w:r>
        <w:rPr>
          <w:rFonts w:ascii="Theinhardt Bold" w:hAnsi="Theinhardt Bold"/>
          <w:b/>
          <w:color w:val="231F20"/>
          <w:sz w:val="14"/>
        </w:rPr>
        <w:t> Dachfläche eine</w:t>
      </w:r>
      <w:r>
        <w:rPr>
          <w:rFonts w:ascii="Theinhardt Bold" w:hAnsi="Theinhardt Bold"/>
          <w:b/>
          <w:color w:val="231F20"/>
          <w:spacing w:val="24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PV-Anlage integriert.</w:t>
      </w:r>
      <w:r>
        <w:rPr>
          <w:rFonts w:ascii="Theinhardt Bold" w:hAnsi="Theinhardt Bold"/>
          <w:sz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580" w:right="900"/>
          <w:cols w:num="2" w:equalWidth="0">
            <w:col w:w="3420" w:space="151"/>
            <w:col w:w="7199"/>
          </w:cols>
        </w:sectPr>
      </w:pPr>
    </w:p>
    <w:p>
      <w:pPr>
        <w:spacing w:line="240" w:lineRule="auto" w:before="9"/>
        <w:rPr>
          <w:rFonts w:ascii="Theinhardt Bold" w:hAnsi="Theinhardt Bold" w:cs="Theinhardt Bold" w:eastAsia="Theinhardt Bold"/>
          <w:b/>
          <w:bCs/>
          <w:sz w:val="23"/>
          <w:szCs w:val="23"/>
        </w:rPr>
      </w:pPr>
      <w:r>
        <w:rPr/>
        <w:pict>
          <v:group style="position:absolute;margin-left:278.657898pt;margin-top:59.008209pt;width:1.9pt;height:.1pt;mso-position-horizontal-relative:page;mso-position-vertical-relative:page;z-index:-9664" coordorigin="5573,1180" coordsize="38,2">
            <v:shape style="position:absolute;left:5573;top:1180;width:38;height:2" coordorigin="5573,1180" coordsize="38,0" path="m5573,1180l5611,1180e" filled="false" stroked="true" strokeweight=".405pt" strokecolor="#231f20">
              <v:path arrowok="t"/>
            </v:shape>
            <w10:wrap type="none"/>
          </v:group>
        </w:pict>
      </w:r>
    </w:p>
    <w:p>
      <w:pPr>
        <w:spacing w:before="70"/>
        <w:ind w:left="15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color w:val="231F20"/>
          <w:sz w:val="14"/>
        </w:rPr>
        <w:t>54    </w:t>
      </w:r>
      <w:r>
        <w:rPr>
          <w:rFonts w:ascii="Theinhardt Heavy"/>
          <w:b/>
          <w:color w:val="231F20"/>
          <w:spacing w:val="7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</w:t>
      </w:r>
      <w:r>
        <w:rPr>
          <w:rFonts w:ascii="Theinhardt Regular"/>
          <w:sz w:val="14"/>
        </w:rPr>
      </w:r>
    </w:p>
    <w:sectPr>
      <w:type w:val="continuous"/>
      <w:pgSz w:w="12250" w:h="17180"/>
      <w:pgMar w:top="1000" w:bottom="280" w:left="58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83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87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91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94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98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01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05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09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812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38"/>
      <w:ind w:left="157"/>
    </w:pPr>
    <w:rPr>
      <w:rFonts w:ascii="Theinhardt Bold" w:hAnsi="Theinhardt Bold" w:eastAsia="Theinhardt Bold"/>
      <w:b/>
      <w:bCs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mailto:dransfeld@dransfeld.ch" TargetMode="External"/><Relationship Id="rId8" Type="http://schemas.openxmlformats.org/officeDocument/2006/relationships/image" Target="media/image3.jpeg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2018-10-02T09:58:41Z</dcterms:created>
  <dcterms:modified xsi:type="dcterms:W3CDTF">2018-10-02T09:58:41Z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