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30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4168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20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4120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68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1002pt;margin-top:53.477772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17" w:right="110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PlusEnergie-Gewerbebau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Clevergie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AG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Wyssachen/BE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30’200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0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zusammen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optimal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integrierten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Fassadenanlage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64’400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Somit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entsteht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34’200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oder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113%.</w:t>
      </w:r>
      <w:r>
        <w:rPr>
          <w:rFonts w:ascii="Theinhardt Bold" w:hAnsi="Theinhardt Bold" w:cs="Theinhardt Bold" w:eastAsia="Theinhardt Bold"/>
          <w:b/>
          <w:bCs/>
          <w:color w:val="231F20"/>
          <w:spacing w:val="7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wird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Batterien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Warmwasserspeicher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gespeichert;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kann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Strombedarf von zwei Schlechtwettertagen überbrückt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werden.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Wasserspeicher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liefern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9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Bodenheizung.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Ladestationen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speisen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fünf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Elektroautos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Elektro-</w:t>
      </w:r>
      <w:r>
        <w:rPr>
          <w:rFonts w:ascii="Theinhardt Bold" w:hAnsi="Theinhardt Bold" w:cs="Theinhardt Bold" w:eastAsia="Theinhardt Bold"/>
          <w:b/>
          <w:bCs/>
          <w:color w:val="231F20"/>
          <w:spacing w:val="3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stapler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hauseigenen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-freien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Solarstromüberschuss.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dunkle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PV-Fassade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harmo-</w:t>
      </w:r>
      <w:r>
        <w:rPr>
          <w:rFonts w:ascii="Theinhardt Bold" w:hAnsi="Theinhardt Bold" w:cs="Theinhardt Bold" w:eastAsia="Theinhardt Bold"/>
          <w:b/>
          <w:bCs/>
          <w:color w:val="231F20"/>
          <w:spacing w:val="7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niert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ausgezeichnet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darunterliegenden Holzfassade.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57" w:space="12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213%-PEB-Clevergie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-2"/>
          <w:sz w:val="40"/>
        </w:rPr>
        <w:t>AG,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4954 </w:t>
      </w:r>
      <w:r>
        <w:rPr>
          <w:rFonts w:ascii="Theinhardt Black"/>
          <w:b/>
          <w:color w:val="0067B1"/>
          <w:spacing w:val="6"/>
          <w:sz w:val="40"/>
        </w:rPr>
        <w:t>Wyssachen/BE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</w:rPr>
        <w:t>Im</w:t>
      </w:r>
      <w:r>
        <w:rPr>
          <w:color w:val="231F20"/>
          <w:spacing w:val="11"/>
        </w:rPr>
        <w:t> </w:t>
      </w:r>
      <w:r>
        <w:rPr>
          <w:color w:val="231F20"/>
        </w:rPr>
        <w:t>März</w:t>
      </w:r>
      <w:r>
        <w:rPr>
          <w:color w:val="231F20"/>
          <w:spacing w:val="11"/>
        </w:rPr>
        <w:t> </w:t>
      </w:r>
      <w:r>
        <w:rPr>
          <w:color w:val="231F20"/>
        </w:rPr>
        <w:t>2017</w:t>
      </w:r>
      <w:r>
        <w:rPr>
          <w:color w:val="231F20"/>
          <w:spacing w:val="11"/>
        </w:rPr>
        <w:t> </w:t>
      </w:r>
      <w:r>
        <w:rPr>
          <w:color w:val="231F20"/>
        </w:rPr>
        <w:t>bezog</w:t>
      </w:r>
      <w:r>
        <w:rPr>
          <w:color w:val="231F20"/>
          <w:spacing w:val="11"/>
        </w:rPr>
        <w:t> </w:t>
      </w:r>
      <w:r>
        <w:rPr>
          <w:color w:val="231F20"/>
        </w:rPr>
        <w:t>die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Clevergie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11"/>
        </w:rPr>
        <w:t> </w:t>
      </w:r>
      <w:r>
        <w:rPr>
          <w:color w:val="231F20"/>
        </w:rPr>
        <w:t>den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PlusEnergie-Gewerbebau</w:t>
      </w:r>
      <w:r>
        <w:rPr>
          <w:color w:val="231F20"/>
          <w:spacing w:val="22"/>
        </w:rPr>
        <w:t> </w:t>
      </w:r>
      <w:r>
        <w:rPr>
          <w:color w:val="231F20"/>
        </w:rPr>
        <w:t>in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Wyssachen.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8"/>
        </w:rPr>
        <w:t> </w:t>
      </w:r>
      <w:r>
        <w:rPr>
          <w:color w:val="231F20"/>
        </w:rPr>
        <w:t>massive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Betonkonstruktion</w:t>
      </w:r>
      <w:r>
        <w:rPr>
          <w:color w:val="231F20"/>
          <w:spacing w:val="8"/>
        </w:rPr>
        <w:t> </w:t>
      </w:r>
      <w:r>
        <w:rPr>
          <w:color w:val="231F20"/>
        </w:rPr>
        <w:t>des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Gewer-</w:t>
      </w:r>
      <w:r>
        <w:rPr>
          <w:color w:val="231F20"/>
          <w:spacing w:val="34"/>
        </w:rPr>
        <w:t> </w:t>
      </w:r>
      <w:r>
        <w:rPr>
          <w:color w:val="231F20"/>
        </w:rPr>
        <w:t>bebaus</w:t>
      </w:r>
      <w:r>
        <w:rPr>
          <w:color w:val="231F20"/>
          <w:spacing w:val="44"/>
        </w:rPr>
        <w:t> </w:t>
      </w:r>
      <w:r>
        <w:rPr>
          <w:color w:val="231F20"/>
          <w:spacing w:val="-2"/>
        </w:rPr>
        <w:t>sorgt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44"/>
        </w:rPr>
        <w:t> </w:t>
      </w:r>
      <w:r>
        <w:rPr>
          <w:color w:val="231F20"/>
        </w:rPr>
        <w:t>mit</w:t>
      </w:r>
      <w:r>
        <w:rPr>
          <w:color w:val="231F20"/>
          <w:spacing w:val="45"/>
        </w:rPr>
        <w:t> </w:t>
      </w:r>
      <w:r>
        <w:rPr>
          <w:color w:val="231F20"/>
        </w:rPr>
        <w:t>der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Wärme-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pumpe</w:t>
      </w:r>
      <w:r>
        <w:rPr>
          <w:color w:val="231F20"/>
          <w:spacing w:val="20"/>
        </w:rPr>
        <w:t> </w:t>
      </w:r>
      <w:r>
        <w:rPr>
          <w:color w:val="231F20"/>
        </w:rPr>
        <w:t>für</w:t>
      </w:r>
      <w:r>
        <w:rPr>
          <w:color w:val="231F20"/>
          <w:spacing w:val="20"/>
        </w:rPr>
        <w:t> </w:t>
      </w:r>
      <w:r>
        <w:rPr>
          <w:color w:val="231F20"/>
        </w:rPr>
        <w:t>einen</w:t>
      </w:r>
      <w:r>
        <w:rPr>
          <w:color w:val="231F20"/>
          <w:spacing w:val="40"/>
        </w:rPr>
        <w:t> </w:t>
      </w:r>
      <w:r>
        <w:rPr>
          <w:color w:val="231F20"/>
        </w:rPr>
        <w:t>niedrigen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31"/>
        </w:rPr>
        <w:t> </w:t>
      </w:r>
      <w:r>
        <w:rPr>
          <w:color w:val="231F20"/>
        </w:rPr>
        <w:t>von 30’200 </w:t>
      </w:r>
      <w:r>
        <w:rPr>
          <w:color w:val="231F20"/>
          <w:spacing w:val="-2"/>
        </w:rPr>
        <w:t>kWh/a.</w:t>
      </w:r>
      <w:r>
        <w:rPr/>
      </w:r>
    </w:p>
    <w:p>
      <w:pPr>
        <w:pStyle w:val="BodyText"/>
        <w:spacing w:line="230" w:lineRule="exact"/>
        <w:ind w:right="8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-13"/>
        </w:rPr>
        <w:t> </w:t>
      </w:r>
      <w:r>
        <w:rPr>
          <w:color w:val="231F20"/>
        </w:rPr>
        <w:t>330</w:t>
      </w:r>
      <w:r>
        <w:rPr>
          <w:color w:val="231F20"/>
          <w:spacing w:val="-13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</w:rPr>
        <w:t>2</w:t>
      </w:r>
      <w:r>
        <w:rPr>
          <w:color w:val="231F20"/>
          <w:spacing w:val="10"/>
          <w:position w:val="6"/>
          <w:sz w:val="10"/>
        </w:rPr>
        <w:t> </w:t>
      </w:r>
      <w:r>
        <w:rPr>
          <w:color w:val="231F20"/>
          <w:spacing w:val="-2"/>
        </w:rPr>
        <w:t>grosse,</w:t>
      </w:r>
      <w:r>
        <w:rPr>
          <w:color w:val="231F20"/>
          <w:spacing w:val="-24"/>
        </w:rPr>
        <w:t> </w:t>
      </w:r>
      <w:r>
        <w:rPr>
          <w:color w:val="231F20"/>
        </w:rPr>
        <w:t>optimal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fassadeninte-</w:t>
      </w:r>
      <w:r>
        <w:rPr>
          <w:color w:val="231F20"/>
          <w:spacing w:val="39"/>
        </w:rPr>
        <w:t> </w:t>
      </w:r>
      <w:r>
        <w:rPr>
          <w:color w:val="231F20"/>
        </w:rPr>
        <w:t>grierte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-8"/>
        </w:rPr>
        <w:t> </w:t>
      </w:r>
      <w:r>
        <w:rPr>
          <w:color w:val="231F20"/>
        </w:rPr>
        <w:t>im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oberen</w:t>
      </w:r>
      <w:r>
        <w:rPr>
          <w:color w:val="231F20"/>
          <w:spacing w:val="-8"/>
        </w:rPr>
        <w:t> </w:t>
      </w:r>
      <w:r>
        <w:rPr>
          <w:color w:val="231F20"/>
        </w:rPr>
        <w:t>Stockwerk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har-</w:t>
      </w:r>
      <w:r>
        <w:rPr>
          <w:color w:val="231F20"/>
          <w:spacing w:val="31"/>
        </w:rPr>
        <w:t> </w:t>
      </w:r>
      <w:r>
        <w:rPr>
          <w:color w:val="231F20"/>
        </w:rPr>
        <w:t>moniert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ausgezeichnet</w:t>
      </w:r>
      <w:r>
        <w:rPr>
          <w:color w:val="231F20"/>
          <w:spacing w:val="-9"/>
        </w:rPr>
        <w:t> </w:t>
      </w:r>
      <w:r>
        <w:rPr>
          <w:color w:val="231F20"/>
        </w:rPr>
        <w:t>mit</w:t>
      </w:r>
      <w:r>
        <w:rPr>
          <w:color w:val="231F20"/>
          <w:spacing w:val="-9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Lärchenholz-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Fassade</w:t>
      </w:r>
      <w:r>
        <w:rPr>
          <w:color w:val="231F20"/>
          <w:spacing w:val="45"/>
        </w:rPr>
        <w:t> </w:t>
      </w:r>
      <w:r>
        <w:rPr>
          <w:color w:val="231F20"/>
        </w:rPr>
        <w:t>im</w:t>
      </w:r>
      <w:r>
        <w:rPr>
          <w:color w:val="231F20"/>
          <w:spacing w:val="46"/>
        </w:rPr>
        <w:t> </w:t>
      </w:r>
      <w:r>
        <w:rPr>
          <w:color w:val="231F20"/>
        </w:rPr>
        <w:t>ersten</w:t>
      </w:r>
      <w:r>
        <w:rPr>
          <w:color w:val="231F20"/>
          <w:spacing w:val="45"/>
        </w:rPr>
        <w:t> </w:t>
      </w:r>
      <w:r>
        <w:rPr>
          <w:color w:val="231F20"/>
          <w:spacing w:val="1"/>
        </w:rPr>
        <w:t>Stock.</w:t>
      </w:r>
      <w:r>
        <w:rPr>
          <w:color w:val="231F20"/>
          <w:spacing w:val="35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Flachdach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  <w:spacing w:val="-2"/>
        </w:rPr>
        <w:t>kWh/a</w:t>
      </w:r>
      <w:r>
        <w:rPr>
          <w:color w:val="231F20"/>
          <w:spacing w:val="-9"/>
        </w:rPr>
        <w:t> </w:t>
      </w:r>
      <w:r>
        <w:rPr>
          <w:color w:val="231F20"/>
        </w:rPr>
        <w:t>liegt</w:t>
      </w:r>
      <w:r>
        <w:rPr>
          <w:color w:val="231F20"/>
          <w:spacing w:val="-9"/>
        </w:rPr>
        <w:t> </w:t>
      </w:r>
      <w:r>
        <w:rPr>
          <w:color w:val="231F20"/>
        </w:rPr>
        <w:t>die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Eigenenergieversorgung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so-</w:t>
      </w:r>
      <w:r>
        <w:rPr>
          <w:color w:val="231F20"/>
          <w:spacing w:val="29"/>
        </w:rPr>
        <w:t> </w:t>
      </w:r>
      <w:r>
        <w:rPr>
          <w:color w:val="231F20"/>
        </w:rPr>
        <w:t>mit</w:t>
      </w:r>
      <w:r>
        <w:rPr>
          <w:color w:val="231F20"/>
          <w:spacing w:val="24"/>
        </w:rPr>
        <w:t> </w:t>
      </w:r>
      <w:r>
        <w:rPr>
          <w:color w:val="231F20"/>
        </w:rPr>
        <w:t>bei</w:t>
      </w:r>
      <w:r>
        <w:rPr>
          <w:color w:val="231F20"/>
          <w:spacing w:val="25"/>
        </w:rPr>
        <w:t> </w:t>
      </w:r>
      <w:r>
        <w:rPr>
          <w:color w:val="231F20"/>
        </w:rPr>
        <w:t>213%.</w:t>
      </w:r>
      <w:r>
        <w:rPr>
          <w:color w:val="231F20"/>
          <w:spacing w:val="14"/>
        </w:rPr>
        <w:t> </w:t>
      </w:r>
      <w:r>
        <w:rPr>
          <w:color w:val="231F20"/>
        </w:rPr>
        <w:t>Der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produzierte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Solarstrom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3"/>
        </w:rPr>
        <w:t> </w:t>
      </w:r>
      <w:r>
        <w:rPr>
          <w:color w:val="231F20"/>
        </w:rPr>
        <w:t>in</w:t>
      </w:r>
      <w:r>
        <w:rPr>
          <w:color w:val="231F20"/>
          <w:spacing w:val="23"/>
        </w:rPr>
        <w:t> </w:t>
      </w:r>
      <w:r>
        <w:rPr>
          <w:color w:val="231F20"/>
          <w:spacing w:val="1"/>
        </w:rPr>
        <w:t>Batterien</w:t>
      </w:r>
      <w:r>
        <w:rPr>
          <w:color w:val="231F20"/>
          <w:spacing w:val="23"/>
        </w:rPr>
        <w:t> </w:t>
      </w:r>
      <w:r>
        <w:rPr>
          <w:color w:val="231F20"/>
        </w:rPr>
        <w:t>und</w:t>
      </w:r>
      <w:r>
        <w:rPr>
          <w:color w:val="231F20"/>
          <w:spacing w:val="23"/>
        </w:rPr>
        <w:t> </w:t>
      </w:r>
      <w:r>
        <w:rPr>
          <w:color w:val="231F20"/>
        </w:rPr>
        <w:t>einem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Warmwasser-</w:t>
      </w:r>
      <w:r>
        <w:rPr>
          <w:color w:val="231F20"/>
          <w:spacing w:val="23"/>
        </w:rPr>
        <w:t> </w:t>
      </w:r>
      <w:r>
        <w:rPr>
          <w:color w:val="231F20"/>
        </w:rPr>
        <w:t>tank gespeichert.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Die</w:t>
      </w:r>
      <w:r>
        <w:rPr>
          <w:color w:val="231F20"/>
        </w:rPr>
        <w:t> </w:t>
      </w:r>
      <w:r>
        <w:rPr>
          <w:color w:val="231F20"/>
          <w:spacing w:val="1"/>
        </w:rPr>
        <w:t>Batterien</w:t>
      </w:r>
      <w:r>
        <w:rPr>
          <w:color w:val="231F20"/>
        </w:rPr>
        <w:t> </w:t>
      </w:r>
      <w:r>
        <w:rPr>
          <w:color w:val="231F20"/>
          <w:spacing w:val="-2"/>
        </w:rPr>
        <w:t>können</w:t>
      </w:r>
      <w:r>
        <w:rPr>
          <w:color w:val="231F20"/>
        </w:rPr>
        <w:t> den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elektrischen</w:t>
      </w:r>
      <w:r>
        <w:rPr>
          <w:color w:val="231F20"/>
        </w:rPr>
        <w:t> </w:t>
      </w:r>
      <w:r>
        <w:rPr>
          <w:color w:val="231F20"/>
          <w:spacing w:val="1"/>
        </w:rPr>
        <w:t>Bedarf</w:t>
      </w:r>
      <w:r>
        <w:rPr>
          <w:color w:val="231F20"/>
          <w:spacing w:val="-1"/>
        </w:rPr>
        <w:t> </w:t>
      </w:r>
      <w:r>
        <w:rPr>
          <w:color w:val="231F20"/>
        </w:rPr>
        <w:t>für etwa zwei</w:t>
      </w:r>
      <w:r>
        <w:rPr>
          <w:color w:val="231F20"/>
          <w:spacing w:val="-1"/>
        </w:rPr>
        <w:t> </w:t>
      </w:r>
      <w:r>
        <w:rPr>
          <w:color w:val="231F20"/>
        </w:rPr>
        <w:t>Schlecht-</w:t>
      </w:r>
      <w:r>
        <w:rPr>
          <w:color w:val="231F20"/>
          <w:spacing w:val="24"/>
        </w:rPr>
        <w:t> </w:t>
      </w:r>
      <w:r>
        <w:rPr>
          <w:color w:val="231F20"/>
          <w:spacing w:val="1"/>
        </w:rPr>
        <w:t>wettertage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decken.</w:t>
      </w:r>
      <w:r>
        <w:rPr>
          <w:color w:val="231F20"/>
          <w:spacing w:val="36"/>
        </w:rPr>
        <w:t> </w:t>
      </w:r>
      <w:r>
        <w:rPr>
          <w:color w:val="231F20"/>
        </w:rPr>
        <w:t>Der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Warmwasserspei-</w:t>
      </w:r>
      <w:r>
        <w:rPr>
          <w:color w:val="231F20"/>
          <w:spacing w:val="29"/>
        </w:rPr>
        <w:t> </w:t>
      </w:r>
      <w:r>
        <w:rPr>
          <w:color w:val="231F20"/>
        </w:rPr>
        <w:t>cher</w:t>
      </w:r>
      <w:r>
        <w:rPr>
          <w:color w:val="231F20"/>
          <w:spacing w:val="30"/>
        </w:rPr>
        <w:t> </w:t>
      </w:r>
      <w:r>
        <w:rPr>
          <w:color w:val="231F20"/>
        </w:rPr>
        <w:t>dient</w:t>
      </w:r>
      <w:r>
        <w:rPr>
          <w:color w:val="231F20"/>
          <w:spacing w:val="31"/>
        </w:rPr>
        <w:t> </w:t>
      </w:r>
      <w:r>
        <w:rPr>
          <w:color w:val="231F20"/>
        </w:rPr>
        <w:t>als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thermische</w:t>
      </w:r>
      <w:r>
        <w:rPr>
          <w:color w:val="231F20"/>
          <w:spacing w:val="31"/>
        </w:rPr>
        <w:t> </w:t>
      </w:r>
      <w:r>
        <w:rPr>
          <w:color w:val="231F20"/>
        </w:rPr>
        <w:t>Reserve</w:t>
      </w:r>
      <w:r>
        <w:rPr>
          <w:color w:val="231F20"/>
          <w:spacing w:val="31"/>
        </w:rPr>
        <w:t> </w:t>
      </w:r>
      <w:r>
        <w:rPr>
          <w:color w:val="231F20"/>
        </w:rPr>
        <w:t>für</w:t>
      </w:r>
      <w:r>
        <w:rPr>
          <w:color w:val="231F20"/>
          <w:spacing w:val="30"/>
        </w:rPr>
        <w:t> </w:t>
      </w:r>
      <w:r>
        <w:rPr>
          <w:color w:val="231F20"/>
        </w:rPr>
        <w:t>die</w:t>
      </w:r>
      <w:r>
        <w:rPr>
          <w:color w:val="231F20"/>
          <w:spacing w:val="26"/>
        </w:rPr>
        <w:t> </w:t>
      </w:r>
      <w:r>
        <w:rPr>
          <w:color w:val="231F20"/>
        </w:rPr>
        <w:t>Bodenheizung.</w:t>
      </w:r>
      <w:r>
        <w:rPr/>
      </w:r>
    </w:p>
    <w:p>
      <w:pPr>
        <w:pStyle w:val="BodyText"/>
        <w:spacing w:line="230" w:lineRule="exact"/>
        <w:ind w:right="0" w:firstLine="226"/>
        <w:jc w:val="left"/>
      </w:pPr>
      <w:r>
        <w:rPr>
          <w:color w:val="231F20"/>
          <w:spacing w:val="-1"/>
        </w:rPr>
        <w:t>Zwei</w:t>
      </w:r>
      <w:r>
        <w:rPr>
          <w:color w:val="231F20"/>
          <w:spacing w:val="-3"/>
        </w:rPr>
        <w:t> </w:t>
      </w:r>
      <w:r>
        <w:rPr>
          <w:color w:val="231F20"/>
        </w:rPr>
        <w:t>Ladestationen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speisen</w:t>
      </w:r>
      <w:r>
        <w:rPr>
          <w:color w:val="231F20"/>
          <w:spacing w:val="-3"/>
        </w:rPr>
        <w:t> </w:t>
      </w:r>
      <w:r>
        <w:rPr>
          <w:color w:val="231F20"/>
        </w:rPr>
        <w:t>fünf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Elektro-</w:t>
      </w:r>
      <w:r>
        <w:rPr>
          <w:color w:val="231F20"/>
          <w:spacing w:val="25"/>
        </w:rPr>
        <w:t> </w:t>
      </w:r>
      <w:r>
        <w:rPr>
          <w:color w:val="231F20"/>
        </w:rPr>
        <w:t>autos</w:t>
      </w:r>
      <w:r>
        <w:rPr>
          <w:color w:val="231F20"/>
          <w:spacing w:val="18"/>
        </w:rPr>
        <w:t> </w:t>
      </w:r>
      <w:r>
        <w:rPr>
          <w:color w:val="231F20"/>
        </w:rPr>
        <w:t>und</w:t>
      </w:r>
      <w:r>
        <w:rPr>
          <w:color w:val="231F20"/>
          <w:spacing w:val="18"/>
        </w:rPr>
        <w:t> </w:t>
      </w:r>
      <w:r>
        <w:rPr>
          <w:color w:val="231F20"/>
        </w:rPr>
        <w:t>die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Elektrostapler</w:t>
      </w:r>
      <w:r>
        <w:rPr>
          <w:color w:val="231F20"/>
          <w:spacing w:val="18"/>
        </w:rPr>
        <w:t> </w:t>
      </w:r>
      <w:r>
        <w:rPr>
          <w:color w:val="231F20"/>
        </w:rPr>
        <w:t>mit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hauseige-</w:t>
      </w:r>
      <w:r>
        <w:rPr/>
      </w:r>
    </w:p>
    <w:p>
      <w:pPr>
        <w:spacing w:before="73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54" w:val="left" w:leader="none"/>
          <w:tab w:pos="1964" w:val="left" w:leader="none"/>
          <w:tab w:pos="267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2"/>
          <w:sz w:val="14"/>
        </w:rPr>
        <w:t>24</w:t>
      </w:r>
      <w:r>
        <w:rPr>
          <w:rFonts w:ascii="Theinhardt Regular"/>
          <w:color w:val="231F20"/>
          <w:sz w:val="14"/>
        </w:rPr>
        <w:t>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pacing w:val="-5"/>
          <w:sz w:val="14"/>
        </w:rPr>
        <w:t>0.16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55" w:val="left" w:leader="none"/>
          <w:tab w:pos="1964" w:val="left" w:leader="none"/>
          <w:tab w:pos="2685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  <w:tab/>
      </w:r>
      <w:r>
        <w:rPr>
          <w:rFonts w:ascii="Theinhardt Regular"/>
          <w:color w:val="231F20"/>
          <w:spacing w:val="-4"/>
          <w:sz w:val="14"/>
        </w:rPr>
        <w:t>19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  <w:tab/>
      </w:r>
      <w:r>
        <w:rPr>
          <w:rFonts w:ascii="Theinhardt Regular"/>
          <w:color w:val="231F20"/>
          <w:spacing w:val="-5"/>
          <w:sz w:val="14"/>
        </w:rPr>
        <w:t>0.14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31" w:val="left" w:leader="none"/>
          <w:tab w:pos="1964" w:val="left" w:leader="none"/>
          <w:tab w:pos="2660" w:val="left" w:leader="none"/>
        </w:tabs>
        <w:spacing w:line="207" w:lineRule="auto" w:before="5"/>
        <w:ind w:left="117" w:right="16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  <w:tab/>
      </w:r>
      <w:r>
        <w:rPr>
          <w:rFonts w:ascii="Theinhardt Regular"/>
          <w:color w:val="231F20"/>
          <w:sz w:val="14"/>
        </w:rPr>
        <w:t>35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pacing w:val="-1"/>
          <w:sz w:val="14"/>
        </w:rPr>
        <w:t>0.21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Fenster:</w:t>
        <w:tab/>
        <w:t>dreifach</w:t>
        <w:tab/>
        <w:t>U-Wert:</w:t>
        <w:tab/>
      </w:r>
      <w:r>
        <w:rPr>
          <w:rFonts w:ascii="Theinhardt Regular"/>
          <w:color w:val="231F20"/>
          <w:spacing w:val="-1"/>
          <w:sz w:val="14"/>
        </w:rPr>
        <w:t>0.62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869" w:val="left" w:leader="none"/>
          <w:tab w:pos="274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EBF: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1019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  <w:tab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   </w:t>
      </w:r>
      <w:r>
        <w:rPr>
          <w:rFonts w:ascii="Theinhardt Regular"/>
          <w:color w:val="231F20"/>
          <w:spacing w:val="6"/>
          <w:sz w:val="14"/>
        </w:rPr>
        <w:t> </w:t>
      </w:r>
      <w:r>
        <w:rPr>
          <w:rFonts w:ascii="Theinhardt Regular"/>
          <w:color w:val="231F20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241" w:val="left" w:leader="none"/>
          <w:tab w:pos="2794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1.0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    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1’050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242" w:val="left" w:leader="none"/>
          <w:tab w:pos="2714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WP: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7.2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24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3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7’350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62" w:val="left" w:leader="none"/>
          <w:tab w:pos="2712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w w:val="95"/>
          <w:sz w:val="14"/>
          <w:szCs w:val="14"/>
        </w:rPr>
        <w:t>21.4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72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21’760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43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29.6   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30’160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80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spacing w:after="0" w:line="18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73" w:space="99"/>
            <w:col w:w="3463" w:space="109"/>
            <w:col w:w="3586"/>
          </w:cols>
        </w:sectPr>
      </w:pPr>
    </w:p>
    <w:p>
      <w:pPr>
        <w:pStyle w:val="BodyText"/>
        <w:spacing w:line="170" w:lineRule="exact"/>
        <w:ind w:right="0"/>
        <w:jc w:val="left"/>
      </w:pPr>
      <w:r>
        <w:rPr>
          <w:color w:val="231F20"/>
        </w:rPr>
        <w:t>dient</w:t>
      </w:r>
      <w:r>
        <w:rPr>
          <w:color w:val="231F20"/>
          <w:spacing w:val="26"/>
        </w:rPr>
        <w:t> </w:t>
      </w:r>
      <w:r>
        <w:rPr>
          <w:color w:val="231F20"/>
        </w:rPr>
        <w:t>als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«Museum»</w:t>
      </w:r>
      <w:r>
        <w:rPr>
          <w:color w:val="231F20"/>
          <w:spacing w:val="26"/>
        </w:rPr>
        <w:t> </w:t>
      </w:r>
      <w:r>
        <w:rPr>
          <w:color w:val="231F20"/>
        </w:rPr>
        <w:t>für</w:t>
      </w:r>
      <w:r>
        <w:rPr>
          <w:color w:val="231F20"/>
          <w:spacing w:val="27"/>
        </w:rPr>
        <w:t> </w:t>
      </w:r>
      <w:r>
        <w:rPr>
          <w:color w:val="231F20"/>
        </w:rPr>
        <w:t>alte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Solarpaneele,</w:t>
      </w:r>
      <w:r>
        <w:rPr/>
      </w:r>
    </w:p>
    <w:p>
      <w:pPr>
        <w:pStyle w:val="BodyText"/>
        <w:spacing w:line="170" w:lineRule="exact"/>
        <w:ind w:right="0"/>
        <w:jc w:val="left"/>
      </w:pPr>
      <w:r>
        <w:rPr/>
        <w:br w:type="column"/>
      </w:r>
      <w:r>
        <w:rPr>
          <w:color w:val="231F20"/>
        </w:rPr>
        <w:t>nem</w:t>
      </w:r>
      <w:r>
        <w:rPr>
          <w:color w:val="231F20"/>
          <w:spacing w:val="-1"/>
        </w:rPr>
        <w:t> CO</w:t>
      </w:r>
      <w:r>
        <w:rPr>
          <w:color w:val="231F20"/>
          <w:spacing w:val="-1"/>
          <w:position w:val="-5"/>
          <w:sz w:val="10"/>
        </w:rPr>
        <w:t>2</w:t>
      </w:r>
      <w:r>
        <w:rPr>
          <w:color w:val="231F20"/>
          <w:spacing w:val="-1"/>
        </w:rPr>
        <w:t>-freien</w:t>
      </w:r>
      <w:r>
        <w:rPr>
          <w:color w:val="231F20"/>
        </w:rPr>
        <w:t> </w:t>
      </w:r>
      <w:r>
        <w:rPr>
          <w:color w:val="231F20"/>
          <w:spacing w:val="-1"/>
        </w:rPr>
        <w:t>Solarstromüberschuss.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Die-</w:t>
      </w:r>
      <w:r>
        <w:rPr/>
      </w:r>
    </w:p>
    <w:p>
      <w:pPr>
        <w:tabs>
          <w:tab w:pos="1115" w:val="left" w:leader="none"/>
        </w:tabs>
        <w:spacing w:line="165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>
          <w:w w:val="95"/>
        </w:rPr>
        <w:br w:type="column"/>
      </w:r>
      <w:r>
        <w:rPr>
          <w:rFonts w:ascii="Theinhardt Regular"/>
          <w:color w:val="231F20"/>
          <w:w w:val="95"/>
          <w:sz w:val="14"/>
        </w:rPr>
        <w:t>Eigen-EV:</w:t>
        <w:tab/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398" w:val="left" w:leader="none"/>
        </w:tabs>
        <w:spacing w:line="165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kWp   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   </w:t>
      </w:r>
      <w:r>
        <w:rPr>
          <w:rFonts w:ascii="Theinhardt Regular"/>
          <w:color w:val="231F20"/>
          <w:spacing w:val="6"/>
          <w:sz w:val="14"/>
        </w:rPr>
        <w:t> </w:t>
      </w:r>
      <w:r>
        <w:rPr>
          <w:rFonts w:ascii="Theinhardt Regular"/>
          <w:color w:val="231F20"/>
          <w:sz w:val="14"/>
        </w:rPr>
        <w:t>kWh/a</w:t>
      </w:r>
      <w:r>
        <w:rPr>
          <w:rFonts w:ascii="Theinhardt Regular"/>
          <w:sz w:val="14"/>
        </w:rPr>
      </w:r>
    </w:p>
    <w:p>
      <w:pPr>
        <w:spacing w:after="0" w:line="165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4" w:equalWidth="0">
            <w:col w:w="3473" w:space="98"/>
            <w:col w:w="3462" w:space="109"/>
            <w:col w:w="1278" w:space="73"/>
            <w:col w:w="2237"/>
          </w:cols>
        </w:sectPr>
      </w:pPr>
    </w:p>
    <w:p>
      <w:pPr>
        <w:pStyle w:val="BodyText"/>
        <w:spacing w:line="230" w:lineRule="exact" w:before="12"/>
        <w:ind w:right="8"/>
        <w:jc w:val="both"/>
      </w:pPr>
      <w:r>
        <w:rPr>
          <w:color w:val="231F20"/>
        </w:rPr>
        <w:t>um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Erkenntnisse</w:t>
      </w:r>
      <w:r>
        <w:rPr>
          <w:color w:val="231F20"/>
          <w:spacing w:val="-2"/>
        </w:rPr>
        <w:t> </w:t>
      </w:r>
      <w:r>
        <w:rPr>
          <w:color w:val="231F20"/>
        </w:rPr>
        <w:t>über</w:t>
      </w:r>
      <w:r>
        <w:rPr>
          <w:color w:val="231F20"/>
          <w:spacing w:val="-2"/>
        </w:rPr>
        <w:t> </w:t>
      </w:r>
      <w:r>
        <w:rPr>
          <w:color w:val="231F20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Langlebigkeit</w:t>
      </w:r>
      <w:r>
        <w:rPr>
          <w:color w:val="231F20"/>
          <w:spacing w:val="-2"/>
        </w:rPr>
        <w:t> </w:t>
      </w:r>
      <w:r>
        <w:rPr>
          <w:color w:val="231F20"/>
        </w:rPr>
        <w:t>der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Paneele</w:t>
      </w:r>
      <w:r>
        <w:rPr>
          <w:color w:val="231F20"/>
          <w:spacing w:val="35"/>
        </w:rPr>
        <w:t> </w:t>
      </w:r>
      <w:r>
        <w:rPr>
          <w:color w:val="231F20"/>
        </w:rPr>
        <w:t>zu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gewinnen.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23"/>
        </w:rPr>
        <w:t> </w:t>
      </w:r>
      <w:r>
        <w:rPr>
          <w:color w:val="231F20"/>
        </w:rPr>
        <w:t>ist daher suboptimal integriert.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11"/>
        </w:rPr>
        <w:t> </w:t>
      </w:r>
      <w:r>
        <w:rPr>
          <w:color w:val="231F20"/>
        </w:rPr>
        <w:t>43</w:t>
      </w:r>
      <w:r>
        <w:rPr>
          <w:color w:val="231F20"/>
          <w:spacing w:val="11"/>
        </w:rPr>
        <w:t> </w:t>
      </w:r>
      <w:r>
        <w:rPr>
          <w:color w:val="231F20"/>
        </w:rPr>
        <w:t>kW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PV-Fassadenanlage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-11"/>
        </w:rPr>
        <w:t> </w:t>
      </w:r>
      <w:r>
        <w:rPr>
          <w:color w:val="231F20"/>
        </w:rPr>
        <w:t>mit</w:t>
      </w:r>
      <w:r>
        <w:rPr>
          <w:color w:val="231F20"/>
          <w:spacing w:val="-11"/>
        </w:rPr>
        <w:t> </w:t>
      </w:r>
      <w:r>
        <w:rPr>
          <w:color w:val="231F20"/>
        </w:rPr>
        <w:t>der</w:t>
      </w:r>
      <w:r>
        <w:rPr>
          <w:color w:val="231F20"/>
          <w:spacing w:val="-11"/>
        </w:rPr>
        <w:t> </w:t>
      </w:r>
      <w:r>
        <w:rPr>
          <w:color w:val="231F20"/>
        </w:rPr>
        <w:t>50</w:t>
      </w:r>
      <w:r>
        <w:rPr>
          <w:color w:val="231F20"/>
          <w:spacing w:val="-11"/>
        </w:rPr>
        <w:t> </w:t>
      </w:r>
      <w:r>
        <w:rPr>
          <w:color w:val="231F20"/>
        </w:rPr>
        <w:t>kW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starken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2"/>
        </w:rPr>
        <w:t> </w:t>
      </w:r>
      <w:r>
        <w:rPr>
          <w:color w:val="231F20"/>
        </w:rPr>
        <w:t>mindestens</w:t>
      </w:r>
      <w:r>
        <w:rPr>
          <w:color w:val="231F20"/>
          <w:spacing w:val="2"/>
        </w:rPr>
        <w:t> </w:t>
      </w:r>
      <w:r>
        <w:rPr>
          <w:color w:val="231F20"/>
        </w:rPr>
        <w:t>64’400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2"/>
        </w:rPr>
        <w:t> </w:t>
      </w:r>
      <w:r>
        <w:rPr>
          <w:color w:val="231F20"/>
        </w:rPr>
        <w:t>Bei</w:t>
      </w:r>
      <w:r>
        <w:rPr>
          <w:color w:val="231F20"/>
          <w:spacing w:val="41"/>
        </w:rPr>
        <w:t> </w:t>
      </w:r>
      <w:r>
        <w:rPr>
          <w:color w:val="231F20"/>
        </w:rPr>
        <w:t>einem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41"/>
        </w:rPr>
        <w:t> </w:t>
      </w:r>
      <w:r>
        <w:rPr>
          <w:color w:val="231F20"/>
        </w:rPr>
        <w:t>von</w:t>
      </w:r>
      <w:r>
        <w:rPr>
          <w:color w:val="231F20"/>
          <w:spacing w:val="42"/>
        </w:rPr>
        <w:t> </w:t>
      </w:r>
      <w:r>
        <w:rPr>
          <w:color w:val="231F20"/>
        </w:rPr>
        <w:t>ca.</w:t>
      </w:r>
      <w:r>
        <w:rPr>
          <w:color w:val="231F20"/>
          <w:spacing w:val="31"/>
        </w:rPr>
        <w:t> </w:t>
      </w:r>
      <w:r>
        <w:rPr>
          <w:color w:val="231F20"/>
        </w:rPr>
        <w:t>30’200</w:t>
      </w:r>
      <w:r>
        <w:rPr/>
      </w:r>
    </w:p>
    <w:p>
      <w:pPr>
        <w:pStyle w:val="BodyText"/>
        <w:spacing w:line="230" w:lineRule="exact" w:before="12"/>
        <w:ind w:right="0"/>
        <w:jc w:val="both"/>
      </w:pPr>
      <w:r>
        <w:rPr/>
        <w:br w:type="column"/>
      </w:r>
      <w:r>
        <w:rPr>
          <w:color w:val="231F20"/>
          <w:spacing w:val="-1"/>
        </w:rPr>
        <w:t>ser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PlusEnergie-Gewerbebau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verdient</w:t>
      </w:r>
      <w:r>
        <w:rPr>
          <w:color w:val="231F20"/>
          <w:spacing w:val="45"/>
        </w:rPr>
        <w:t> </w:t>
      </w:r>
      <w:r>
        <w:rPr>
          <w:color w:val="231F20"/>
        </w:rPr>
        <w:t>mit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seiner</w:t>
      </w:r>
      <w:r>
        <w:rPr>
          <w:color w:val="231F20"/>
          <w:spacing w:val="-3"/>
        </w:rPr>
        <w:t> </w:t>
      </w:r>
      <w:r>
        <w:rPr>
          <w:color w:val="231F20"/>
        </w:rPr>
        <w:t>eleganten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PV-Fassade</w:t>
      </w:r>
      <w:r>
        <w:rPr>
          <w:color w:val="231F20"/>
          <w:spacing w:val="-3"/>
        </w:rPr>
        <w:t> </w:t>
      </w:r>
      <w:r>
        <w:rPr>
          <w:color w:val="231F20"/>
        </w:rPr>
        <w:t>das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PlusEner-</w:t>
      </w:r>
      <w:r>
        <w:rPr>
          <w:color w:val="231F20"/>
          <w:spacing w:val="35"/>
        </w:rPr>
        <w:t> </w:t>
      </w:r>
      <w:r>
        <w:rPr>
          <w:color w:val="231F20"/>
        </w:rPr>
        <w:t>gieBau-Diplom 2018.</w:t>
      </w:r>
      <w:r>
        <w:rPr/>
      </w:r>
    </w:p>
    <w:p>
      <w:pPr>
        <w:tabs>
          <w:tab w:pos="904" w:val="left" w:leader="none"/>
          <w:tab w:pos="2211" w:val="left" w:leader="none"/>
        </w:tabs>
        <w:spacing w:line="14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Fass.: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298.5   </w:t>
      </w:r>
      <w:r>
        <w:rPr>
          <w:rFonts w:ascii="Theinhardt Regular" w:hAnsi="Theinhardt Regular" w:cs="Theinhardt Regular" w:eastAsia="Theinhardt Regular"/>
          <w:color w:val="231F20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42.6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108</w:t>
      </w:r>
      <w:r>
        <w:rPr>
          <w:rFonts w:ascii="Theinhardt Regular" w:hAnsi="Theinhardt Regular" w:cs="Theinhardt Regular" w:eastAsia="Theinhardt Regular"/>
          <w:color w:val="231F20"/>
          <w:spacing w:val="1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106.8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32’175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904" w:val="left" w:leader="none"/>
          <w:tab w:pos="2211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305.9    </w:t>
      </w:r>
      <w:r>
        <w:rPr>
          <w:rFonts w:ascii="Theinhardt Regular" w:hAnsi="Theinhardt Regular" w:cs="Theinhardt Regular" w:eastAsia="Theinhardt Regular"/>
          <w:color w:val="231F20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7"/>
          <w:sz w:val="14"/>
          <w:szCs w:val="14"/>
        </w:rPr>
        <w:t>47.7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105</w:t>
      </w:r>
      <w:r>
        <w:rPr>
          <w:rFonts w:ascii="Theinhardt Regular" w:hAnsi="Theinhardt Regular" w:cs="Theinhardt Regular" w:eastAsia="Theinhardt Regular"/>
          <w:color w:val="231F20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106.7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32’207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634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213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64’382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748" w:val="left" w:leader="none"/>
        </w:tabs>
        <w:spacing w:line="172" w:lineRule="exact" w:before="32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   </w:t>
      </w:r>
      <w:r>
        <w:rPr>
          <w:rFonts w:ascii="Theinhardt Regular"/>
          <w:color w:val="231F20"/>
          <w:spacing w:val="6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634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213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64’382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629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28’304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648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Regular" w:hAnsi="Theinhardt Regular" w:cs="Theinhardt Regular" w:eastAsia="Theinhardt Regular"/>
          <w:color w:val="231F20"/>
          <w:spacing w:val="-7"/>
          <w:sz w:val="14"/>
          <w:szCs w:val="14"/>
        </w:rPr>
        <w:t>113</w:t>
      </w:r>
      <w:r>
        <w:rPr>
          <w:rFonts w:ascii="Theinhardt Regular" w:hAnsi="Theinhardt Regular" w:cs="Theinhardt Regular" w:eastAsia="Theinhardt Regular"/>
          <w:color w:val="231F20"/>
          <w:spacing w:val="3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34’222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2"/>
          <w:sz w:val="14"/>
        </w:rPr>
        <w:t>Onyx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Dienste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4"/>
          <w:sz w:val="14"/>
        </w:rPr>
        <w:t>02.07.18</w:t>
      </w:r>
      <w:r>
        <w:rPr>
          <w:rFonts w:ascii="Theinhardt Regular" w:hAnsi="Theinhardt Regular"/>
          <w:color w:val="231F20"/>
          <w:spacing w:val="3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Sarina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Streit</w:t>
      </w:r>
      <w:hyperlink r:id="rId6">
        <w:r>
          <w:rPr>
            <w:rFonts w:ascii="Theinhardt Regular" w:hAnsi="Theinhardt Regular"/>
            <w:color w:val="231F20"/>
            <w:spacing w:val="1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2"/>
            <w:sz w:val="14"/>
          </w:rPr>
          <w:t>sarina.streit@aekonyx.ch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207" w:lineRule="auto" w:before="67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24 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Elektrofahrzeuge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können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mit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dem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Solarstrom-</w:t>
      </w:r>
      <w:r>
        <w:rPr>
          <w:rFonts w:ascii="Theinhardt Regular" w:hAnsi="Theinhardt Regular" w:cs="Theinhardt Regular" w:eastAsia="Theinhardt Regular"/>
          <w:color w:val="231F20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überschuss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je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12’000 km/a CO</w:t>
      </w:r>
      <w:r>
        <w:rPr>
          <w:rFonts w:ascii="Theinhardt Regular" w:hAnsi="Theinhardt Regular" w:cs="Theinhardt Regular" w:eastAsia="Theinhardt Regular"/>
          <w:color w:val="231F20"/>
          <w:position w:val="-4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-frei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fahren.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before="116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Bauherr,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PV-Anlage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clevergie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Möösli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307,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4954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Wyssachen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062 966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color w:val="231F20"/>
          <w:sz w:val="14"/>
        </w:rPr>
        <w:t> 6</w:t>
      </w:r>
      <w:hyperlink r:id="rId7">
        <w:r>
          <w:rPr>
            <w:rFonts w:ascii="Theinhardt Regular"/>
            <w:color w:val="231F20"/>
            <w:sz w:val="14"/>
          </w:rPr>
          <w:t>6, </w:t>
        </w:r>
        <w:r>
          <w:rPr>
            <w:rFonts w:ascii="Theinhardt Regular"/>
            <w:color w:val="231F20"/>
            <w:spacing w:val="1"/>
            <w:sz w:val="14"/>
          </w:rPr>
          <w:t>info@clevergie.ch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Architekturbüro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56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Zürcher</w:t>
      </w:r>
      <w:r>
        <w:rPr>
          <w:rFonts w:ascii="Theinhardt Regular" w:hAnsi="Theinhardt Regular"/>
          <w:color w:val="231F20"/>
          <w:sz w:val="14"/>
        </w:rPr>
        <w:t> &amp; </w:t>
      </w:r>
      <w:r>
        <w:rPr>
          <w:rFonts w:ascii="Theinhardt Regular" w:hAnsi="Theinhardt Regular"/>
          <w:color w:val="231F20"/>
          <w:spacing w:val="1"/>
          <w:sz w:val="14"/>
        </w:rPr>
        <w:t>Partner,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Hans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Ulrich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Zürcher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Eigerweg</w:t>
      </w:r>
      <w:r>
        <w:rPr>
          <w:rFonts w:ascii="Theinhardt Regular" w:hAnsi="Theinhardt Regular"/>
          <w:color w:val="231F20"/>
          <w:sz w:val="14"/>
        </w:rPr>
        <w:t> 8, </w:t>
      </w:r>
      <w:r>
        <w:rPr>
          <w:rFonts w:ascii="Theinhardt Regular" w:hAnsi="Theinhardt Regular"/>
          <w:color w:val="231F20"/>
          <w:spacing w:val="-3"/>
          <w:sz w:val="14"/>
        </w:rPr>
        <w:t>4912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Aarwangen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</w:t>
      </w:r>
      <w:r>
        <w:rPr>
          <w:rFonts w:ascii="Theinhardt Regular"/>
          <w:color w:val="231F20"/>
          <w:spacing w:val="-1"/>
          <w:sz w:val="14"/>
        </w:rPr>
        <w:t>922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61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61</w:t>
      </w:r>
      <w:hyperlink r:id="rId8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www.zupartner.com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17" w:right="56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Gebäudehülle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Spenglerarbeiten</w:t>
      </w:r>
      <w:r>
        <w:rPr>
          <w:rFonts w:ascii="Theinhardt Bold" w:hAnsi="Theinhardt Bold"/>
          <w:b/>
          <w:color w:val="231F20"/>
          <w:spacing w:val="4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Habisreutinger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Gebäudehülle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GmbH</w:t>
      </w:r>
      <w:r>
        <w:rPr>
          <w:rFonts w:ascii="Theinhardt Regular" w:hAnsi="Theinhardt Regular"/>
          <w:color w:val="231F20"/>
          <w:spacing w:val="44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Brückenstr.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6a,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4950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3"/>
          <w:sz w:val="14"/>
        </w:rPr>
        <w:t>Huttwil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062 962 </w:t>
      </w:r>
      <w:r>
        <w:rPr>
          <w:rFonts w:ascii="Theinhardt Regular"/>
          <w:color w:val="231F20"/>
          <w:spacing w:val="1"/>
          <w:sz w:val="14"/>
        </w:rPr>
        <w:t>44</w:t>
      </w:r>
      <w:r>
        <w:rPr>
          <w:rFonts w:ascii="Theinhardt Regular"/>
          <w:color w:val="231F20"/>
          <w:sz w:val="14"/>
        </w:rPr>
        <w:t> 40</w:t>
      </w:r>
      <w:hyperlink r:id="rId9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www.dichter-dran.ch</w:t>
        </w:r>
        <w:r>
          <w:rPr>
            <w:rFonts w:ascii="Theinhardt Regular"/>
            <w:sz w:val="14"/>
          </w:rPr>
        </w:r>
      </w:hyperlink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73" w:space="98"/>
            <w:col w:w="3462" w:space="109"/>
            <w:col w:w="3588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0" w:lineRule="atLeast"/>
        <w:ind w:left="726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pict>
          <v:group style="width:167.25pt;height:121.65pt;mso-position-horizontal-relative:char;mso-position-vertical-relative:line" coordorigin="0,0" coordsize="3345,2433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  <v:shape style="position:absolute;left:0;top:57;width:3345;height:2376" type="#_x0000_t75" stroked="false">
                <v:imagedata r:id="rId10" o:title="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8" w:val="left" w:leader="none"/>
        </w:tabs>
        <w:spacing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6.849998pt;margin-top:-241.216904pt;width:345.827pt;height:241.543pt;mso-position-horizontal-relative:page;mso-position-vertical-relative:paragraph;z-index:1216" type="#_x0000_t75" stroked="false">
            <v:imagedata r:id="rId11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2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29"/>
          <w:szCs w:val="29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9"/>
          <w:szCs w:val="29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0" w:hanging="226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optimal fassadenintegrierte Anlage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harmo-</w:t>
      </w:r>
      <w:r>
        <w:rPr>
          <w:rFonts w:ascii="Theinhardt Bold" w:hAnsi="Theinhardt Bold" w:cs="Theinhardt Bold" w:eastAsia="Theinhardt Bold"/>
          <w:b/>
          <w:bCs/>
          <w:color w:val="231F20"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niert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ausgezeichnet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Lärchenholz-Fassa-</w:t>
      </w:r>
      <w:r>
        <w:rPr>
          <w:rFonts w:ascii="Theinhardt Bold" w:hAnsi="Theinhardt Bold" w:cs="Theinhardt Bold" w:eastAsia="Theinhardt Bold"/>
          <w:b/>
          <w:bCs/>
          <w:color w:val="231F20"/>
          <w:spacing w:val="3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und produziert rund 32’200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4014" w:hanging="226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PlusEnergie-Gewerbebau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hat bei einem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Energiebedarf von rund 30’200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eine</w:t>
      </w:r>
      <w:r>
        <w:rPr>
          <w:rFonts w:ascii="Theinhardt Bold" w:hAnsi="Theinhardt Bold" w:cs="Theinhardt Bold" w:eastAsia="Theinhardt Bold"/>
          <w:b/>
          <w:bCs/>
          <w:color w:val="231F20"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von 213%.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2" w:equalWidth="0">
            <w:col w:w="3380" w:space="192"/>
            <w:col w:w="7158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52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00" w:bottom="280" w:left="6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7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61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6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6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72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sarina.streit@aekonyx.ch" TargetMode="External"/><Relationship Id="rId7" Type="http://schemas.openxmlformats.org/officeDocument/2006/relationships/hyperlink" Target="mailto:info@clevergie.ch" TargetMode="External"/><Relationship Id="rId8" Type="http://schemas.openxmlformats.org/officeDocument/2006/relationships/hyperlink" Target="http://www.zupartner.com/" TargetMode="External"/><Relationship Id="rId9" Type="http://schemas.openxmlformats.org/officeDocument/2006/relationships/hyperlink" Target="http://www.dichter-dran.ch/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2018-10-02T09:57:32Z</dcterms:created>
  <dcterms:modified xsi:type="dcterms:W3CDTF">2018-10-02T09:57:32Z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