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3" w:val="left" w:leader="none"/>
        </w:tabs>
        <w:spacing w:line="230" w:lineRule="exact" w:before="38"/>
        <w:ind w:left="124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shape style="position:absolute;margin-left:36.851002pt;margin-top:52.91077pt;width:82.2043pt;height:60.204pt;mso-position-horizontal-relative:page;mso-position-vertical-relative:paragraph;z-index:1096" type="#_x0000_t75" stroked="false">
            <v:imagedata r:id="rId5" o:title=""/>
          </v:shape>
        </w:pict>
      </w:r>
      <w:r>
        <w:rPr/>
        <w:pict>
          <v:group style="position:absolute;margin-left:37.417301pt;margin-top:14.14727pt;width:.1pt;height:.1pt;mso-position-horizontal-relative:page;mso-position-vertical-relative:paragraph;z-index:-6304" coordorigin="748,283" coordsize="2,2">
            <v:shape style="position:absolute;left:748;top:283;width:2;height:2" coordorigin="748,283" coordsize="0,0" path="m748,283l748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590302pt;margin-top:14.14727pt;width:.1pt;height:.1pt;mso-position-horizontal-relative:page;mso-position-vertical-relative:paragraph;z-index:1144" coordorigin="3192,283" coordsize="2,2">
            <v:shape style="position:absolute;left:3192;top:283;width:2;height:2" coordorigin="3192,283" coordsize="0,0" path="m3192,283l3192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417301pt;margin-top:25.64727pt;width:.1pt;height:.1pt;mso-position-horizontal-relative:page;mso-position-vertical-relative:paragraph;z-index:-6256" coordorigin="748,513" coordsize="2,2">
            <v:shape style="position:absolute;left:748;top:513;width:2;height:2" coordorigin="748,513" coordsize="0,0" path="m748,513l748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590302pt;margin-top:25.64727pt;width:.1pt;height:.1pt;mso-position-horizontal-relative:page;mso-position-vertical-relative:paragraph;z-index:1192" coordorigin="3192,513" coordsize="2,2">
            <v:shape style="position:absolute;left:3192;top:513;width:2;height:2" coordorigin="3192,513" coordsize="0,0" path="m3192,513l3192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-Solarpreis</w:t>
      </w:r>
      <w:r>
        <w:rPr>
          <w:rFonts w:ascii="Theinhardt Regular" w:hAnsi="Theinhardt Regular"/>
          <w:sz w:val="18"/>
        </w:rPr>
      </w:r>
    </w:p>
    <w:p>
      <w:pPr>
        <w:pStyle w:val="Heading1"/>
        <w:spacing w:line="230" w:lineRule="exact" w:before="38"/>
        <w:ind w:right="104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color w:val="231F20"/>
        </w:rPr>
        <w:t>Die</w:t>
      </w:r>
      <w:r>
        <w:rPr>
          <w:color w:val="231F20"/>
          <w:spacing w:val="-2"/>
        </w:rPr>
        <w:t> </w:t>
      </w:r>
      <w:r>
        <w:rPr>
          <w:color w:val="231F20"/>
        </w:rPr>
        <w:t>Simmental</w:t>
      </w:r>
      <w:r>
        <w:rPr>
          <w:color w:val="231F20"/>
          <w:spacing w:val="-2"/>
        </w:rPr>
        <w:t> </w:t>
      </w:r>
      <w:r>
        <w:rPr>
          <w:color w:val="231F20"/>
        </w:rPr>
        <w:t>Arena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ist</w:t>
      </w:r>
      <w:r>
        <w:rPr>
          <w:color w:val="231F20"/>
          <w:spacing w:val="-2"/>
        </w:rPr>
        <w:t> </w:t>
      </w:r>
      <w:r>
        <w:rPr>
          <w:color w:val="231F20"/>
        </w:rPr>
        <w:t>ein</w:t>
      </w:r>
      <w:r>
        <w:rPr>
          <w:color w:val="231F20"/>
          <w:spacing w:val="-2"/>
        </w:rPr>
        <w:t> </w:t>
      </w:r>
      <w:r>
        <w:rPr>
          <w:color w:val="231F20"/>
        </w:rPr>
        <w:t>Mehrzweckgebäude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Einwohnergemeinde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Zweisimmen</w:t>
      </w:r>
      <w:r>
        <w:rPr>
          <w:color w:val="231F20"/>
          <w:spacing w:val="-2"/>
        </w:rPr>
        <w:t> </w:t>
      </w:r>
      <w:r>
        <w:rPr>
          <w:color w:val="231F20"/>
        </w:rPr>
        <w:t>mit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Feu-</w:t>
      </w:r>
      <w:r>
        <w:rPr>
          <w:color w:val="231F20"/>
          <w:spacing w:val="69"/>
        </w:rPr>
        <w:t> </w:t>
      </w:r>
      <w:r>
        <w:rPr>
          <w:color w:val="231F20"/>
        </w:rPr>
        <w:t>erwehrmagazin,</w:t>
      </w:r>
      <w:r>
        <w:rPr>
          <w:color w:val="231F20"/>
          <w:spacing w:val="-9"/>
        </w:rPr>
        <w:t> </w:t>
      </w:r>
      <w:r>
        <w:rPr>
          <w:color w:val="231F20"/>
        </w:rPr>
        <w:t>Markt-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Veranstaltungshalle </w:t>
      </w:r>
      <w:r>
        <w:rPr>
          <w:color w:val="231F20"/>
        </w:rPr>
        <w:t>mit</w:t>
      </w:r>
      <w:r>
        <w:rPr>
          <w:color w:val="231F20"/>
          <w:spacing w:val="-1"/>
        </w:rPr>
        <w:t> Restauration.</w:t>
      </w:r>
      <w:r>
        <w:rPr>
          <w:color w:val="231F20"/>
          <w:spacing w:val="-9"/>
        </w:rPr>
        <w:t> </w:t>
      </w:r>
      <w:r>
        <w:rPr>
          <w:color w:val="231F20"/>
        </w:rPr>
        <w:t>Diese</w:t>
      </w:r>
      <w:r>
        <w:rPr>
          <w:color w:val="231F20"/>
          <w:spacing w:val="-1"/>
        </w:rPr>
        <w:t> solare </w:t>
      </w:r>
      <w:r>
        <w:rPr>
          <w:color w:val="231F20"/>
        </w:rPr>
        <w:t>Arena</w:t>
      </w:r>
      <w:r>
        <w:rPr>
          <w:color w:val="231F20"/>
          <w:spacing w:val="-1"/>
        </w:rPr>
        <w:t> wurde </w:t>
      </w:r>
      <w:r>
        <w:rPr>
          <w:color w:val="231F20"/>
        </w:rPr>
        <w:t>am</w:t>
      </w:r>
      <w:r>
        <w:rPr>
          <w:b w:val="0"/>
        </w:rPr>
      </w:r>
    </w:p>
    <w:p>
      <w:pPr>
        <w:spacing w:line="230" w:lineRule="exact" w:before="0"/>
        <w:ind w:left="117" w:right="103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21.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November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Betrieb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genommen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beheizte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Energiefläche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(EBF)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633</w:t>
      </w:r>
      <w:r>
        <w:rPr>
          <w:rFonts w:ascii="Theinhardt Bold" w:hAnsi="Theinhardt Bold" w:cs="Theinhardt Bold" w:eastAsia="Theinhardt Bold"/>
          <w:b/>
          <w:bCs/>
          <w:color w:val="231F20"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unterschiedlich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benutzt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muss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–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Veranstaltung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–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nur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teilweise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beheizt</w:t>
      </w:r>
      <w:r>
        <w:rPr>
          <w:rFonts w:ascii="Theinhardt Bold" w:hAnsi="Theinhardt Bold" w:cs="Theinhardt Bold" w:eastAsia="Theinhardt Bold"/>
          <w:b/>
          <w:bCs/>
          <w:color w:val="231F20"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werden.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Bodenbereich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gut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gedämmt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verbraucht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color w:val="231F20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81’100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180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180’400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Solarstromüber-</w:t>
      </w:r>
      <w:r>
        <w:rPr>
          <w:rFonts w:ascii="Theinhardt Bold" w:hAnsi="Theinhardt Bold" w:cs="Theinhardt Bold" w:eastAsia="Theinhardt Bold"/>
          <w:b/>
          <w:bCs/>
          <w:color w:val="231F20"/>
          <w:spacing w:val="4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99’300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beträgt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222%.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südseitige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color w:val="231F20"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ist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 optimal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64" w:space="115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3"/>
          <w:sz w:val="40"/>
        </w:rPr>
        <w:t>222%-PEB-Simmental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Arena,</w:t>
      </w:r>
      <w:r>
        <w:rPr>
          <w:rFonts w:ascii="Theinhardt Black"/>
          <w:b/>
          <w:color w:val="0067B1"/>
          <w:spacing w:val="-33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3770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Zweisimmen/BE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0"/>
        <w:jc w:val="right"/>
      </w:pPr>
      <w:r>
        <w:rPr>
          <w:color w:val="231F20"/>
          <w:spacing w:val="-1"/>
        </w:rPr>
        <w:t>Die</w:t>
      </w:r>
      <w:r>
        <w:rPr>
          <w:color w:val="231F20"/>
        </w:rPr>
        <w:t> </w:t>
      </w:r>
      <w:r>
        <w:rPr>
          <w:color w:val="231F20"/>
          <w:spacing w:val="5"/>
        </w:rPr>
        <w:t> </w:t>
      </w:r>
      <w:r>
        <w:rPr>
          <w:color w:val="231F20"/>
        </w:rPr>
        <w:t>Berner </w:t>
      </w:r>
      <w:r>
        <w:rPr>
          <w:color w:val="231F20"/>
          <w:spacing w:val="5"/>
        </w:rPr>
        <w:t> </w:t>
      </w:r>
      <w:r>
        <w:rPr>
          <w:color w:val="231F20"/>
        </w:rPr>
        <w:t>Gemeinde 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Zweisimmen</w:t>
      </w:r>
      <w:r>
        <w:rPr>
          <w:color w:val="231F20"/>
        </w:rPr>
        <w:t> </w:t>
      </w:r>
      <w:r>
        <w:rPr>
          <w:color w:val="231F20"/>
          <w:spacing w:val="5"/>
        </w:rPr>
        <w:t> </w:t>
      </w:r>
      <w:r>
        <w:rPr>
          <w:color w:val="231F20"/>
          <w:spacing w:val="1"/>
        </w:rPr>
        <w:t>hatte</w:t>
      </w:r>
      <w:r>
        <w:rPr>
          <w:color w:val="231F20"/>
          <w:spacing w:val="29"/>
        </w:rPr>
        <w:t> </w:t>
      </w:r>
      <w:r>
        <w:rPr>
          <w:color w:val="231F20"/>
        </w:rPr>
        <w:t>von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Anfang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9"/>
        </w:rPr>
        <w:t> </w:t>
      </w:r>
      <w:r>
        <w:rPr>
          <w:color w:val="231F20"/>
        </w:rPr>
        <w:t>ein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klares</w:t>
      </w:r>
      <w:r>
        <w:rPr>
          <w:color w:val="231F20"/>
          <w:spacing w:val="-9"/>
        </w:rPr>
        <w:t> </w:t>
      </w:r>
      <w:r>
        <w:rPr>
          <w:color w:val="231F20"/>
        </w:rPr>
        <w:t>Ziel: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Abhängig-</w:t>
      </w:r>
      <w:r>
        <w:rPr>
          <w:color w:val="231F20"/>
          <w:spacing w:val="47"/>
        </w:rPr>
        <w:t> </w:t>
      </w:r>
      <w:r>
        <w:rPr>
          <w:color w:val="231F20"/>
          <w:spacing w:val="-2"/>
        </w:rPr>
        <w:t>keit</w:t>
      </w:r>
      <w:r>
        <w:rPr>
          <w:color w:val="231F20"/>
          <w:spacing w:val="18"/>
        </w:rPr>
        <w:t> </w:t>
      </w:r>
      <w:r>
        <w:rPr>
          <w:color w:val="231F20"/>
        </w:rPr>
        <w:t>von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fossilen</w:t>
      </w:r>
      <w:r>
        <w:rPr>
          <w:color w:val="231F20"/>
          <w:spacing w:val="18"/>
        </w:rPr>
        <w:t> </w:t>
      </w:r>
      <w:r>
        <w:rPr>
          <w:color w:val="231F20"/>
        </w:rPr>
        <w:t>und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überregionalen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Ener-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gieträgern</w:t>
      </w:r>
      <w:r>
        <w:rPr>
          <w:color w:val="231F20"/>
          <w:spacing w:val="39"/>
        </w:rPr>
        <w:t> </w:t>
      </w:r>
      <w:r>
        <w:rPr>
          <w:color w:val="231F20"/>
        </w:rPr>
        <w:t>verringern.</w:t>
      </w:r>
      <w:r>
        <w:rPr>
          <w:color w:val="231F20"/>
          <w:spacing w:val="29"/>
        </w:rPr>
        <w:t> </w:t>
      </w:r>
      <w:r>
        <w:rPr>
          <w:color w:val="231F20"/>
        </w:rPr>
        <w:t>Deshalb</w:t>
      </w:r>
      <w:r>
        <w:rPr>
          <w:color w:val="231F20"/>
          <w:spacing w:val="39"/>
        </w:rPr>
        <w:t> </w:t>
      </w:r>
      <w:r>
        <w:rPr>
          <w:color w:val="231F20"/>
        </w:rPr>
        <w:t>stand</w:t>
      </w:r>
      <w:r>
        <w:rPr>
          <w:color w:val="231F20"/>
          <w:spacing w:val="40"/>
        </w:rPr>
        <w:t> </w:t>
      </w:r>
      <w:r>
        <w:rPr>
          <w:color w:val="231F20"/>
        </w:rPr>
        <w:t>fest,</w:t>
      </w:r>
      <w:r>
        <w:rPr>
          <w:color w:val="231F20"/>
          <w:spacing w:val="29"/>
        </w:rPr>
        <w:t> </w:t>
      </w:r>
      <w:r>
        <w:rPr>
          <w:color w:val="231F20"/>
        </w:rPr>
        <w:t>dass</w:t>
      </w:r>
      <w:r>
        <w:rPr>
          <w:color w:val="231F20"/>
          <w:spacing w:val="37"/>
        </w:rPr>
        <w:t> </w:t>
      </w:r>
      <w:r>
        <w:rPr>
          <w:color w:val="231F20"/>
        </w:rPr>
        <w:t>die</w:t>
      </w:r>
      <w:r>
        <w:rPr>
          <w:color w:val="231F20"/>
          <w:spacing w:val="38"/>
        </w:rPr>
        <w:t> </w:t>
      </w:r>
      <w:r>
        <w:rPr>
          <w:color w:val="231F20"/>
        </w:rPr>
        <w:t>öffentliche</w:t>
      </w:r>
      <w:r>
        <w:rPr>
          <w:color w:val="231F20"/>
          <w:spacing w:val="37"/>
        </w:rPr>
        <w:t> </w:t>
      </w:r>
      <w:r>
        <w:rPr>
          <w:color w:val="231F20"/>
        </w:rPr>
        <w:t>Simmental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Arena</w:t>
      </w:r>
      <w:r>
        <w:rPr>
          <w:color w:val="231F20"/>
          <w:spacing w:val="38"/>
        </w:rPr>
        <w:t> </w:t>
      </w:r>
      <w:r>
        <w:rPr>
          <w:color w:val="231F20"/>
        </w:rPr>
        <w:t>mit</w:t>
      </w:r>
      <w:r>
        <w:rPr>
          <w:color w:val="231F20"/>
          <w:spacing w:val="27"/>
        </w:rPr>
        <w:t> </w:t>
      </w:r>
      <w:r>
        <w:rPr>
          <w:color w:val="231F20"/>
        </w:rPr>
        <w:t>einer </w:t>
      </w:r>
      <w:r>
        <w:rPr>
          <w:color w:val="231F20"/>
          <w:spacing w:val="-2"/>
        </w:rPr>
        <w:t>PV-Anlage</w:t>
      </w:r>
      <w:r>
        <w:rPr>
          <w:color w:val="231F20"/>
        </w:rPr>
        <w:t> ausgestattet </w:t>
      </w:r>
      <w:r>
        <w:rPr>
          <w:color w:val="231F20"/>
          <w:spacing w:val="-1"/>
        </w:rPr>
        <w:t>werden</w:t>
      </w:r>
      <w:r>
        <w:rPr>
          <w:color w:val="231F20"/>
        </w:rPr>
        <w:t> </w:t>
      </w:r>
      <w:r>
        <w:rPr>
          <w:color w:val="231F20"/>
          <w:spacing w:val="-1"/>
        </w:rPr>
        <w:t>muss.</w:t>
      </w:r>
      <w:r>
        <w:rPr>
          <w:color w:val="231F20"/>
          <w:spacing w:val="29"/>
        </w:rPr>
        <w:t> </w:t>
      </w:r>
      <w:r>
        <w:rPr>
          <w:color w:val="231F20"/>
        </w:rPr>
        <w:t>Auf</w:t>
      </w:r>
      <w:r>
        <w:rPr>
          <w:color w:val="231F20"/>
          <w:spacing w:val="10"/>
        </w:rPr>
        <w:t> </w:t>
      </w:r>
      <w:r>
        <w:rPr>
          <w:color w:val="231F20"/>
        </w:rPr>
        <w:t>der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gesamten</w:t>
      </w:r>
      <w:r>
        <w:rPr>
          <w:color w:val="231F20"/>
          <w:spacing w:val="10"/>
        </w:rPr>
        <w:t> </w:t>
      </w:r>
      <w:r>
        <w:rPr>
          <w:color w:val="231F20"/>
        </w:rPr>
        <w:t>südlichen</w:t>
      </w:r>
      <w:r>
        <w:rPr>
          <w:color w:val="231F20"/>
          <w:spacing w:val="10"/>
        </w:rPr>
        <w:t> </w:t>
      </w:r>
      <w:r>
        <w:rPr>
          <w:color w:val="231F20"/>
        </w:rPr>
        <w:t>Dachfläche</w:t>
      </w:r>
      <w:r>
        <w:rPr>
          <w:color w:val="231F20"/>
          <w:spacing w:val="30"/>
        </w:rPr>
        <w:t> </w:t>
      </w:r>
      <w:r>
        <w:rPr>
          <w:color w:val="231F20"/>
        </w:rPr>
        <w:t>von</w:t>
      </w:r>
      <w:r>
        <w:rPr>
          <w:color w:val="231F20"/>
          <w:spacing w:val="-10"/>
        </w:rPr>
        <w:t> </w:t>
      </w:r>
      <w:r>
        <w:rPr>
          <w:color w:val="231F20"/>
        </w:rPr>
        <w:t>1’011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-5"/>
          <w:position w:val="6"/>
          <w:sz w:val="10"/>
          <w:szCs w:val="10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-9"/>
        </w:rPr>
        <w:t> </w:t>
      </w:r>
      <w:r>
        <w:rPr>
          <w:color w:val="231F20"/>
        </w:rPr>
        <w:t>eine</w:t>
      </w:r>
      <w:r>
        <w:rPr>
          <w:color w:val="231F20"/>
          <w:spacing w:val="-10"/>
        </w:rPr>
        <w:t> </w:t>
      </w:r>
      <w:r>
        <w:rPr>
          <w:color w:val="231F20"/>
        </w:rPr>
        <w:t>180</w:t>
      </w:r>
      <w:r>
        <w:rPr>
          <w:color w:val="231F20"/>
          <w:spacing w:val="-10"/>
        </w:rPr>
        <w:t> </w:t>
      </w:r>
      <w:r>
        <w:rPr>
          <w:color w:val="231F20"/>
        </w:rPr>
        <w:t>kW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43"/>
        </w:rPr>
        <w:t> </w:t>
      </w:r>
      <w:r>
        <w:rPr>
          <w:color w:val="231F20"/>
        </w:rPr>
        <w:t>integriert.</w:t>
      </w:r>
      <w:r>
        <w:rPr>
          <w:color w:val="231F20"/>
          <w:spacing w:val="33"/>
        </w:rPr>
        <w:t> </w:t>
      </w:r>
      <w:r>
        <w:rPr>
          <w:color w:val="231F20"/>
        </w:rPr>
        <w:t>Sie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44"/>
        </w:rPr>
        <w:t> </w:t>
      </w:r>
      <w:r>
        <w:rPr>
          <w:color w:val="231F20"/>
        </w:rPr>
        <w:t>180’400</w:t>
      </w:r>
      <w:r>
        <w:rPr>
          <w:color w:val="231F20"/>
          <w:spacing w:val="44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4"/>
        </w:rPr>
        <w:t> </w:t>
      </w:r>
      <w:r>
        <w:rPr>
          <w:color w:val="231F20"/>
        </w:rPr>
        <w:t>–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genug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Strom</w:t>
      </w:r>
      <w:r>
        <w:rPr>
          <w:color w:val="231F20"/>
          <w:spacing w:val="14"/>
        </w:rPr>
        <w:t> </w:t>
      </w:r>
      <w:r>
        <w:rPr>
          <w:color w:val="231F20"/>
        </w:rPr>
        <w:t>um</w:t>
      </w:r>
      <w:r>
        <w:rPr>
          <w:color w:val="231F20"/>
          <w:spacing w:val="14"/>
        </w:rPr>
        <w:t> </w:t>
      </w:r>
      <w:r>
        <w:rPr>
          <w:color w:val="231F20"/>
        </w:rPr>
        <w:t>das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Feuerwehr-</w:t>
      </w:r>
      <w:r>
        <w:rPr>
          <w:color w:val="231F20"/>
          <w:spacing w:val="25"/>
        </w:rPr>
        <w:t> </w:t>
      </w:r>
      <w:r>
        <w:rPr>
          <w:color w:val="231F20"/>
        </w:rPr>
        <w:t>magazin </w:t>
      </w:r>
      <w:r>
        <w:rPr>
          <w:color w:val="231F20"/>
          <w:spacing w:val="12"/>
        </w:rPr>
        <w:t> </w:t>
      </w:r>
      <w:r>
        <w:rPr>
          <w:color w:val="231F20"/>
        </w:rPr>
        <w:t>und </w:t>
      </w:r>
      <w:r>
        <w:rPr>
          <w:color w:val="231F20"/>
          <w:spacing w:val="12"/>
        </w:rPr>
        <w:t> </w:t>
      </w:r>
      <w:r>
        <w:rPr>
          <w:color w:val="231F20"/>
        </w:rPr>
        <w:t>die </w:t>
      </w:r>
      <w:r>
        <w:rPr>
          <w:color w:val="231F20"/>
          <w:spacing w:val="12"/>
        </w:rPr>
        <w:t> </w:t>
      </w:r>
      <w:r>
        <w:rPr>
          <w:color w:val="231F20"/>
        </w:rPr>
        <w:t>Markthalle </w:t>
      </w:r>
      <w:r>
        <w:rPr>
          <w:color w:val="231F20"/>
          <w:spacing w:val="12"/>
        </w:rPr>
        <w:t> </w:t>
      </w:r>
      <w:r>
        <w:rPr>
          <w:color w:val="231F20"/>
        </w:rPr>
        <w:t>mit </w:t>
      </w:r>
      <w:r>
        <w:rPr>
          <w:color w:val="231F20"/>
          <w:spacing w:val="12"/>
        </w:rPr>
        <w:t> </w:t>
      </w:r>
      <w:r>
        <w:rPr>
          <w:color w:val="231F20"/>
        </w:rPr>
        <w:t>81’100</w:t>
      </w:r>
      <w:r>
        <w:rPr/>
      </w:r>
    </w:p>
    <w:p>
      <w:pPr>
        <w:pStyle w:val="BodyText"/>
        <w:spacing w:line="234" w:lineRule="exact" w:before="9"/>
        <w:ind w:right="0"/>
        <w:jc w:val="both"/>
      </w:pPr>
      <w:r>
        <w:rPr>
          <w:color w:val="231F20"/>
          <w:spacing w:val="-2"/>
        </w:rPr>
        <w:t>kWh/a</w:t>
      </w:r>
      <w:r>
        <w:rPr>
          <w:color w:val="231F20"/>
        </w:rPr>
        <w:t> zu </w:t>
      </w:r>
      <w:r>
        <w:rPr>
          <w:color w:val="231F20"/>
          <w:spacing w:val="-1"/>
        </w:rPr>
        <w:t>versorgen.</w:t>
      </w:r>
      <w:r>
        <w:rPr/>
      </w:r>
    </w:p>
    <w:p>
      <w:pPr>
        <w:pStyle w:val="BodyText"/>
        <w:spacing w:line="232" w:lineRule="auto" w:before="1"/>
        <w:ind w:right="8" w:firstLine="226"/>
        <w:jc w:val="both"/>
      </w:pPr>
      <w:r>
        <w:rPr>
          <w:color w:val="231F20"/>
        </w:rPr>
        <w:t>Mit</w:t>
      </w:r>
      <w:r>
        <w:rPr>
          <w:color w:val="231F20"/>
          <w:spacing w:val="39"/>
        </w:rPr>
        <w:t> </w:t>
      </w:r>
      <w:r>
        <w:rPr>
          <w:color w:val="231F20"/>
        </w:rPr>
        <w:t>dem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39"/>
        </w:rPr>
        <w:t> </w:t>
      </w:r>
      <w:r>
        <w:rPr>
          <w:color w:val="231F20"/>
        </w:rPr>
        <w:t>von</w:t>
      </w:r>
      <w:r>
        <w:rPr>
          <w:color w:val="231F20"/>
          <w:spacing w:val="23"/>
        </w:rPr>
        <w:t> </w:t>
      </w:r>
      <w:r>
        <w:rPr>
          <w:color w:val="231F20"/>
        </w:rPr>
        <w:t>99’300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-1"/>
        </w:rPr>
        <w:t> werden </w:t>
      </w:r>
      <w:r>
        <w:rPr>
          <w:color w:val="231F20"/>
        </w:rPr>
        <w:t>noch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drei</w:t>
      </w:r>
      <w:r>
        <w:rPr>
          <w:color w:val="231F20"/>
          <w:spacing w:val="-1"/>
        </w:rPr>
        <w:t> </w:t>
      </w:r>
      <w:r>
        <w:rPr>
          <w:color w:val="231F20"/>
        </w:rPr>
        <w:t>Schulhäu-</w:t>
      </w:r>
      <w:r>
        <w:rPr>
          <w:color w:val="231F20"/>
          <w:spacing w:val="23"/>
        </w:rPr>
        <w:t> </w:t>
      </w:r>
      <w:r>
        <w:rPr>
          <w:color w:val="231F20"/>
          <w:spacing w:val="-5"/>
        </w:rPr>
        <w:t>ser,</w:t>
      </w:r>
      <w:r>
        <w:rPr>
          <w:color w:val="231F20"/>
          <w:spacing w:val="2"/>
        </w:rPr>
        <w:t> </w:t>
      </w:r>
      <w:r>
        <w:rPr>
          <w:color w:val="231F20"/>
        </w:rPr>
        <w:t>zwei</w:t>
      </w:r>
      <w:r>
        <w:rPr>
          <w:color w:val="231F20"/>
          <w:spacing w:val="-2"/>
        </w:rPr>
        <w:t> Turnhallen</w:t>
      </w:r>
      <w:r>
        <w:rPr>
          <w:color w:val="231F20"/>
          <w:spacing w:val="12"/>
        </w:rPr>
        <w:t> </w:t>
      </w:r>
      <w:r>
        <w:rPr>
          <w:color w:val="231F20"/>
        </w:rPr>
        <w:t>und</w:t>
      </w:r>
      <w:r>
        <w:rPr>
          <w:color w:val="231F20"/>
          <w:spacing w:val="12"/>
        </w:rPr>
        <w:t> </w:t>
      </w:r>
      <w:r>
        <w:rPr>
          <w:color w:val="231F20"/>
        </w:rPr>
        <w:t>der</w:t>
      </w:r>
      <w:r>
        <w:rPr>
          <w:color w:val="231F20"/>
          <w:spacing w:val="12"/>
        </w:rPr>
        <w:t> </w:t>
      </w:r>
      <w:r>
        <w:rPr>
          <w:color w:val="231F20"/>
        </w:rPr>
        <w:t>Gemeindesaal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Strom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versorgt.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Eigenenergieversor-</w:t>
      </w:r>
      <w:r>
        <w:rPr>
          <w:color w:val="231F20"/>
          <w:spacing w:val="25"/>
        </w:rPr>
        <w:t> </w:t>
      </w:r>
      <w:r>
        <w:rPr>
          <w:color w:val="231F20"/>
        </w:rPr>
        <w:t>gung </w:t>
      </w:r>
      <w:r>
        <w:rPr>
          <w:color w:val="231F20"/>
          <w:spacing w:val="-1"/>
        </w:rPr>
        <w:t>beträgt</w:t>
      </w:r>
      <w:r>
        <w:rPr>
          <w:color w:val="231F20"/>
        </w:rPr>
        <w:t> </w:t>
      </w:r>
      <w:r>
        <w:rPr>
          <w:color w:val="231F20"/>
          <w:spacing w:val="-1"/>
        </w:rPr>
        <w:t>somit</w:t>
      </w:r>
      <w:r>
        <w:rPr>
          <w:color w:val="231F20"/>
        </w:rPr>
        <w:t> rund 222%.</w:t>
      </w:r>
      <w:r>
        <w:rPr/>
      </w:r>
    </w:p>
    <w:p>
      <w:pPr>
        <w:pStyle w:val="BodyText"/>
        <w:spacing w:line="228" w:lineRule="exact"/>
        <w:ind w:left="0" w:right="8"/>
        <w:jc w:val="right"/>
      </w:pPr>
      <w:r>
        <w:rPr>
          <w:color w:val="231F20"/>
        </w:rPr>
        <w:t>Finanziert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35"/>
        </w:rPr>
        <w:t> </w:t>
      </w:r>
      <w:r>
        <w:rPr>
          <w:color w:val="231F20"/>
        </w:rPr>
        <w:t>die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35"/>
        </w:rPr>
        <w:t> </w:t>
      </w:r>
      <w:r>
        <w:rPr>
          <w:color w:val="231F20"/>
        </w:rPr>
        <w:t>mittels</w:t>
      </w:r>
      <w:r>
        <w:rPr/>
      </w:r>
    </w:p>
    <w:p>
      <w:pPr>
        <w:pStyle w:val="BodyText"/>
        <w:spacing w:line="232" w:lineRule="auto" w:before="1"/>
        <w:ind w:right="0"/>
        <w:jc w:val="both"/>
      </w:pPr>
      <w:r>
        <w:rPr>
          <w:color w:val="231F20"/>
          <w:spacing w:val="-1"/>
        </w:rPr>
        <w:t>«Crowdfunding»</w:t>
      </w:r>
      <w:r>
        <w:rPr>
          <w:color w:val="231F20"/>
          <w:spacing w:val="32"/>
        </w:rPr>
        <w:t> </w:t>
      </w:r>
      <w:r>
        <w:rPr>
          <w:color w:val="231F20"/>
        </w:rPr>
        <w:t>des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Vereins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Oberriedson-</w:t>
      </w:r>
      <w:r>
        <w:rPr>
          <w:color w:val="231F20"/>
          <w:spacing w:val="47"/>
        </w:rPr>
        <w:t> </w:t>
      </w:r>
      <w:r>
        <w:rPr>
          <w:color w:val="231F20"/>
        </w:rPr>
        <w:t>ne.</w:t>
      </w:r>
      <w:r>
        <w:rPr>
          <w:color w:val="231F20"/>
          <w:spacing w:val="-8"/>
        </w:rPr>
        <w:t> </w:t>
      </w:r>
      <w:r>
        <w:rPr>
          <w:color w:val="231F20"/>
        </w:rPr>
        <w:t>Somit</w:t>
      </w:r>
      <w:r>
        <w:rPr>
          <w:color w:val="231F20"/>
          <w:spacing w:val="2"/>
        </w:rPr>
        <w:t> </w:t>
      </w:r>
      <w:r>
        <w:rPr>
          <w:color w:val="231F20"/>
          <w:spacing w:val="1"/>
        </w:rPr>
        <w:t>hatte</w:t>
      </w:r>
      <w:r>
        <w:rPr>
          <w:color w:val="231F20"/>
          <w:spacing w:val="2"/>
        </w:rPr>
        <w:t> </w:t>
      </w:r>
      <w:r>
        <w:rPr>
          <w:color w:val="231F20"/>
        </w:rPr>
        <w:t>jeder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Bürger</w:t>
      </w:r>
      <w:r>
        <w:rPr>
          <w:color w:val="231F20"/>
          <w:spacing w:val="2"/>
        </w:rPr>
        <w:t> </w:t>
      </w:r>
      <w:r>
        <w:rPr>
          <w:color w:val="231F20"/>
        </w:rPr>
        <w:t>der</w:t>
      </w:r>
      <w:r>
        <w:rPr>
          <w:color w:val="231F20"/>
          <w:spacing w:val="2"/>
        </w:rPr>
        <w:t> </w:t>
      </w:r>
      <w:r>
        <w:rPr>
          <w:color w:val="231F20"/>
        </w:rPr>
        <w:t>Gemeinde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Zweisimmen,</w:t>
      </w:r>
      <w:r>
        <w:rPr>
          <w:color w:val="231F20"/>
          <w:spacing w:val="13"/>
        </w:rPr>
        <w:t> </w:t>
      </w:r>
      <w:r>
        <w:rPr>
          <w:color w:val="231F20"/>
        </w:rPr>
        <w:t>auch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ohne</w:t>
      </w:r>
      <w:r>
        <w:rPr>
          <w:color w:val="231F20"/>
          <w:spacing w:val="24"/>
        </w:rPr>
        <w:t> </w:t>
      </w:r>
      <w:r>
        <w:rPr>
          <w:color w:val="231F20"/>
        </w:rPr>
        <w:t>geeignetes</w:t>
      </w:r>
      <w:r>
        <w:rPr>
          <w:color w:val="231F20"/>
          <w:spacing w:val="23"/>
        </w:rPr>
        <w:t> </w:t>
      </w:r>
      <w:r>
        <w:rPr>
          <w:color w:val="231F20"/>
        </w:rPr>
        <w:t>Dach,</w:t>
      </w:r>
      <w:r>
        <w:rPr>
          <w:color w:val="231F20"/>
          <w:spacing w:val="23"/>
        </w:rPr>
        <w:t> </w:t>
      </w:r>
      <w:r>
        <w:rPr>
          <w:color w:val="231F20"/>
        </w:rPr>
        <w:t>die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Möglichkeit</w:t>
      </w:r>
      <w:r>
        <w:rPr>
          <w:color w:val="231F20"/>
          <w:spacing w:val="12"/>
        </w:rPr>
        <w:t> </w:t>
      </w:r>
      <w:r>
        <w:rPr>
          <w:color w:val="231F20"/>
        </w:rPr>
        <w:t>in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Solarenergie</w:t>
      </w:r>
      <w:r>
        <w:rPr>
          <w:color w:val="231F20"/>
          <w:spacing w:val="12"/>
        </w:rPr>
        <w:t> </w:t>
      </w:r>
      <w:r>
        <w:rPr>
          <w:color w:val="231F20"/>
        </w:rPr>
        <w:t>zu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investie-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ren.</w:t>
      </w:r>
      <w:r>
        <w:rPr/>
      </w:r>
    </w:p>
    <w:p>
      <w:pPr>
        <w:pStyle w:val="BodyText"/>
        <w:spacing w:line="232" w:lineRule="auto"/>
        <w:ind w:right="8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38"/>
        </w:rPr>
        <w:t> </w:t>
      </w:r>
      <w:r>
        <w:rPr>
          <w:color w:val="231F20"/>
        </w:rPr>
        <w:t>ganzflächig</w:t>
      </w:r>
      <w:r>
        <w:rPr>
          <w:color w:val="231F20"/>
          <w:spacing w:val="39"/>
        </w:rPr>
        <w:t> </w:t>
      </w:r>
      <w:r>
        <w:rPr>
          <w:color w:val="231F20"/>
        </w:rPr>
        <w:t>optimal</w:t>
      </w:r>
      <w:r>
        <w:rPr>
          <w:color w:val="231F20"/>
          <w:spacing w:val="38"/>
        </w:rPr>
        <w:t> </w:t>
      </w:r>
      <w:r>
        <w:rPr>
          <w:color w:val="231F20"/>
        </w:rPr>
        <w:t>integrierte</w:t>
      </w:r>
      <w:r>
        <w:rPr>
          <w:color w:val="231F20"/>
          <w:spacing w:val="39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9"/>
        </w:rPr>
        <w:t> </w:t>
      </w:r>
      <w:r>
        <w:rPr>
          <w:color w:val="231F20"/>
        </w:rPr>
        <w:t>ist</w:t>
      </w:r>
      <w:r>
        <w:rPr>
          <w:color w:val="231F20"/>
          <w:spacing w:val="9"/>
        </w:rPr>
        <w:t> </w:t>
      </w:r>
      <w:r>
        <w:rPr>
          <w:color w:val="231F20"/>
        </w:rPr>
        <w:t>leistungsfähig</w:t>
      </w:r>
      <w:r>
        <w:rPr>
          <w:color w:val="231F20"/>
          <w:spacing w:val="9"/>
        </w:rPr>
        <w:t> </w:t>
      </w:r>
      <w:r>
        <w:rPr>
          <w:color w:val="231F20"/>
        </w:rPr>
        <w:t>und</w:t>
      </w:r>
      <w:r>
        <w:rPr>
          <w:color w:val="231F20"/>
          <w:spacing w:val="9"/>
        </w:rPr>
        <w:t> </w:t>
      </w:r>
      <w:r>
        <w:rPr>
          <w:color w:val="231F20"/>
        </w:rPr>
        <w:t>harmoniert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ausgezeichnet</w:t>
      </w:r>
      <w:r>
        <w:rPr>
          <w:color w:val="231F20"/>
          <w:spacing w:val="-10"/>
        </w:rPr>
        <w:t> </w:t>
      </w:r>
      <w:r>
        <w:rPr>
          <w:color w:val="231F20"/>
        </w:rPr>
        <w:t>mit</w:t>
      </w:r>
      <w:r>
        <w:rPr>
          <w:color w:val="231F20"/>
          <w:spacing w:val="-10"/>
        </w:rPr>
        <w:t> </w:t>
      </w:r>
      <w:r>
        <w:rPr>
          <w:color w:val="231F20"/>
        </w:rPr>
        <w:t>der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schlichten</w:t>
      </w:r>
      <w:r>
        <w:rPr>
          <w:color w:val="231F20"/>
          <w:spacing w:val="-10"/>
        </w:rPr>
        <w:t> </w:t>
      </w:r>
      <w:r>
        <w:rPr>
          <w:color w:val="231F20"/>
        </w:rPr>
        <w:t>Holzfassa-</w:t>
      </w:r>
      <w:r>
        <w:rPr>
          <w:color w:val="231F20"/>
          <w:spacing w:val="48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Mehrzweckgebäudes.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4"/>
        </w:rPr>
        <w:t> </w:t>
      </w:r>
      <w:r>
        <w:rPr>
          <w:color w:val="231F20"/>
        </w:rPr>
        <w:t>Simmental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Arena</w:t>
      </w:r>
      <w:r>
        <w:rPr>
          <w:color w:val="231F20"/>
          <w:spacing w:val="-1"/>
        </w:rPr>
        <w:t> </w:t>
      </w:r>
      <w:r>
        <w:rPr>
          <w:color w:val="231F20"/>
        </w:rPr>
        <w:t>fügt</w:t>
      </w:r>
      <w:r>
        <w:rPr>
          <w:color w:val="231F20"/>
          <w:spacing w:val="-1"/>
        </w:rPr>
        <w:t> </w:t>
      </w:r>
      <w:r>
        <w:rPr>
          <w:color w:val="231F20"/>
        </w:rPr>
        <w:t>sich</w:t>
      </w:r>
      <w:r>
        <w:rPr>
          <w:color w:val="231F20"/>
          <w:spacing w:val="-1"/>
        </w:rPr>
        <w:t> </w:t>
      </w:r>
      <w:r>
        <w:rPr>
          <w:color w:val="231F20"/>
        </w:rPr>
        <w:t>auch</w:t>
      </w:r>
      <w:r>
        <w:rPr>
          <w:color w:val="231F20"/>
          <w:spacing w:val="-1"/>
        </w:rPr>
        <w:t> </w:t>
      </w:r>
      <w:r>
        <w:rPr>
          <w:color w:val="231F20"/>
        </w:rPr>
        <w:t>perfekt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das</w:t>
      </w:r>
      <w:r>
        <w:rPr>
          <w:color w:val="231F20"/>
          <w:spacing w:val="-1"/>
        </w:rPr>
        <w:t> </w:t>
      </w:r>
      <w:r>
        <w:rPr>
          <w:color w:val="231F20"/>
          <w:spacing w:val="1"/>
        </w:rPr>
        <w:t>Ortsbild</w:t>
      </w:r>
      <w:r>
        <w:rPr>
          <w:color w:val="231F20"/>
          <w:spacing w:val="27"/>
        </w:rPr>
        <w:t> </w:t>
      </w:r>
      <w:r>
        <w:rPr>
          <w:color w:val="231F20"/>
        </w:rPr>
        <w:t>von </w:t>
      </w:r>
      <w:r>
        <w:rPr>
          <w:color w:val="231F20"/>
          <w:spacing w:val="-1"/>
        </w:rPr>
        <w:t>Zweisimmen</w:t>
      </w:r>
      <w:r>
        <w:rPr>
          <w:color w:val="231F20"/>
        </w:rPr>
        <w:t> ein und wertet es </w:t>
      </w:r>
      <w:r>
        <w:rPr>
          <w:color w:val="231F20"/>
          <w:spacing w:val="-2"/>
        </w:rPr>
        <w:t>auf.</w:t>
      </w:r>
      <w:r>
        <w:rPr/>
      </w:r>
    </w:p>
    <w:p>
      <w:pPr>
        <w:pStyle w:val="BodyText"/>
        <w:spacing w:line="232" w:lineRule="auto"/>
        <w:ind w:right="0" w:firstLine="226"/>
        <w:jc w:val="both"/>
      </w:pPr>
      <w:r>
        <w:rPr>
          <w:color w:val="231F20"/>
          <w:spacing w:val="-1"/>
        </w:rPr>
        <w:t>Dieser</w:t>
      </w:r>
      <w:r>
        <w:rPr>
          <w:color w:val="231F20"/>
          <w:spacing w:val="-7"/>
        </w:rPr>
        <w:t> </w:t>
      </w:r>
      <w:r>
        <w:rPr>
          <w:color w:val="231F20"/>
        </w:rPr>
        <w:t>vorbildliche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PlusEnergieBau</w:t>
      </w:r>
      <w:r>
        <w:rPr>
          <w:color w:val="231F20"/>
          <w:spacing w:val="-7"/>
        </w:rPr>
        <w:t> </w:t>
      </w:r>
      <w:r>
        <w:rPr>
          <w:color w:val="231F20"/>
        </w:rPr>
        <w:t>dient</w:t>
      </w:r>
      <w:r>
        <w:rPr>
          <w:color w:val="231F20"/>
          <w:spacing w:val="35"/>
        </w:rPr>
        <w:t> </w:t>
      </w:r>
      <w:r>
        <w:rPr>
          <w:color w:val="231F20"/>
        </w:rPr>
        <w:t>als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Vorzeigeprojekt</w:t>
      </w:r>
      <w:r>
        <w:rPr>
          <w:color w:val="231F20"/>
          <w:spacing w:val="43"/>
        </w:rPr>
        <w:t> </w:t>
      </w:r>
      <w:r>
        <w:rPr>
          <w:color w:val="231F20"/>
        </w:rPr>
        <w:t>für</w:t>
      </w:r>
      <w:r>
        <w:rPr>
          <w:color w:val="231F20"/>
          <w:spacing w:val="42"/>
        </w:rPr>
        <w:t> </w:t>
      </w:r>
      <w:r>
        <w:rPr>
          <w:color w:val="231F20"/>
        </w:rPr>
        <w:t>die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Energiewende.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PlusEnergie-Arena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5"/>
        </w:rPr>
        <w:t> </w:t>
      </w:r>
      <w:r>
        <w:rPr>
          <w:color w:val="231F20"/>
        </w:rPr>
        <w:t>deshalb</w:t>
      </w:r>
      <w:r>
        <w:rPr>
          <w:color w:val="231F20"/>
          <w:spacing w:val="26"/>
        </w:rPr>
        <w:t> </w:t>
      </w:r>
      <w:r>
        <w:rPr>
          <w:color w:val="231F20"/>
        </w:rPr>
        <w:t>mit</w:t>
      </w:r>
      <w:r>
        <w:rPr>
          <w:color w:val="231F20"/>
          <w:spacing w:val="43"/>
        </w:rPr>
        <w:t> </w:t>
      </w:r>
      <w:r>
        <w:rPr>
          <w:color w:val="231F20"/>
        </w:rPr>
        <w:t>dem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PlusEnergieBau-Solarpreis</w:t>
      </w:r>
      <w:r>
        <w:rPr>
          <w:color w:val="231F20"/>
          <w:spacing w:val="17"/>
        </w:rPr>
        <w:t> </w:t>
      </w:r>
      <w:r>
        <w:rPr>
          <w:color w:val="231F20"/>
        </w:rPr>
        <w:t>2018</w:t>
      </w:r>
      <w:r>
        <w:rPr>
          <w:color w:val="231F20"/>
          <w:spacing w:val="17"/>
        </w:rPr>
        <w:t> </w:t>
      </w:r>
      <w:r>
        <w:rPr>
          <w:color w:val="231F20"/>
        </w:rPr>
        <w:t>aus-</w:t>
      </w:r>
      <w:r>
        <w:rPr>
          <w:color w:val="231F20"/>
          <w:spacing w:val="29"/>
        </w:rPr>
        <w:t> </w:t>
      </w:r>
      <w:r>
        <w:rPr>
          <w:color w:val="231F20"/>
        </w:rPr>
        <w:t>gezeichnet.</w:t>
      </w:r>
      <w:r>
        <w:rPr/>
      </w:r>
    </w:p>
    <w:p>
      <w:pPr>
        <w:spacing w:line="230" w:lineRule="exact" w:before="52"/>
        <w:ind w:left="117" w:right="3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bernoise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Zweisimmen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tou-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jours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objectif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réduire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dépen-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dance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vis-à-vis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sources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fossiles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suprarégionales.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était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donc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clair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Simmental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Arena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allait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être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doté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instal-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PV.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2" w:firstLine="226"/>
        <w:jc w:val="righ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180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kWc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1’011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w w:val="104"/>
          <w:position w:val="6"/>
          <w:sz w:val="10"/>
          <w:szCs w:val="10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intégré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toute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surface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sud.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180’400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kWh/a,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assez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81’100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utilisés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local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pompiers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halle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marchés.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L’excédent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99’300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par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ailleurs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trois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écoles,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salles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gymnastique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salle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réunion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communale.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L’autoproduction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s’élève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ainsi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4" w:lineRule="exact" w:before="9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/>
          <w:i/>
          <w:color w:val="231F20"/>
          <w:spacing w:val="-2"/>
          <w:sz w:val="18"/>
        </w:rPr>
        <w:t>222%.</w:t>
      </w:r>
      <w:r>
        <w:rPr>
          <w:rFonts w:ascii="Theinhardt Regular Italic"/>
          <w:sz w:val="18"/>
        </w:rPr>
      </w:r>
    </w:p>
    <w:p>
      <w:pPr>
        <w:spacing w:line="232" w:lineRule="auto" w:before="1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Construit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grâce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financement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par-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ticipatif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l’association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Oberriedsonne,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PV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Simmental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Arena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a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per-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toute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personne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domiciliée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Zweisim-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d’investir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solaire,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même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approprié.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2" w:lineRule="auto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Parfaitement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intégrée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toiture,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l’installation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efficace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et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s’accorde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façades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Simmental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Arena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fond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outre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harmoni-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eusement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paysage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urbain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Zweisim-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valeur.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2" w:lineRule="auto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/>
          <w:i/>
          <w:color w:val="231F20"/>
          <w:spacing w:val="-1"/>
          <w:sz w:val="18"/>
        </w:rPr>
        <w:t>Ce</w:t>
      </w:r>
      <w:r>
        <w:rPr>
          <w:rFonts w:ascii="Theinhardt Regular Italic" w:hAnsi="Theinhardt Regular Italic"/>
          <w:i/>
          <w:color w:val="231F20"/>
          <w:spacing w:val="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bâtiment</w:t>
      </w:r>
      <w:r>
        <w:rPr>
          <w:rFonts w:ascii="Theinhardt Regular Italic" w:hAnsi="Theinhardt Regular Italic"/>
          <w:i/>
          <w:color w:val="231F20"/>
          <w:spacing w:val="2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à</w:t>
      </w:r>
      <w:r>
        <w:rPr>
          <w:rFonts w:ascii="Theinhardt Regular Italic" w:hAnsi="Theinhardt Regular Italic"/>
          <w:i/>
          <w:color w:val="231F20"/>
          <w:spacing w:val="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4"/>
          <w:sz w:val="18"/>
        </w:rPr>
        <w:t>énergie</w:t>
      </w:r>
      <w:r>
        <w:rPr>
          <w:rFonts w:ascii="Theinhardt Regular Italic" w:hAnsi="Theinhardt Regular Italic"/>
          <w:i/>
          <w:color w:val="231F20"/>
          <w:spacing w:val="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positive</w:t>
      </w:r>
      <w:r>
        <w:rPr>
          <w:rFonts w:ascii="Theinhardt Regular Italic" w:hAnsi="Theinhardt Regular Italic"/>
          <w:i/>
          <w:color w:val="231F20"/>
          <w:spacing w:val="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4"/>
          <w:sz w:val="18"/>
        </w:rPr>
        <w:t>exemplaire</w:t>
      </w:r>
      <w:r>
        <w:rPr>
          <w:rFonts w:ascii="Theinhardt Regular Italic" w:hAnsi="Theinhardt Regular Italic"/>
          <w:i/>
          <w:color w:val="231F20"/>
          <w:spacing w:val="29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sert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de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4"/>
          <w:sz w:val="18"/>
        </w:rPr>
        <w:t>modèle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pour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la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transition</w:t>
      </w:r>
      <w:r>
        <w:rPr>
          <w:rFonts w:ascii="Theinhardt Regular Italic" w:hAnsi="Theinhardt Regular Italic"/>
          <w:i/>
          <w:color w:val="231F20"/>
          <w:spacing w:val="-7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4"/>
          <w:sz w:val="18"/>
        </w:rPr>
        <w:t>énergétique.</w:t>
      </w:r>
      <w:r>
        <w:rPr>
          <w:rFonts w:ascii="Theinhardt Regular Italic" w:hAnsi="Theinhardt Regular Italic"/>
          <w:i/>
          <w:color w:val="231F20"/>
          <w:spacing w:val="35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6"/>
          <w:sz w:val="18"/>
        </w:rPr>
        <w:t>Le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Simmental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Arena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reçoit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le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Prix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Solaire</w:t>
      </w:r>
      <w:r>
        <w:rPr>
          <w:rFonts w:ascii="Theinhardt Regular Italic" w:hAnsi="Theinhardt Regular Italic"/>
          <w:i/>
          <w:color w:val="231F20"/>
          <w:spacing w:val="-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BEP</w:t>
      </w:r>
      <w:r>
        <w:rPr>
          <w:rFonts w:ascii="Theinhardt Regular Italic" w:hAnsi="Theinhardt Regular Italic"/>
          <w:i/>
          <w:color w:val="231F20"/>
          <w:spacing w:val="23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2018.</w:t>
      </w:r>
      <w:r>
        <w:rPr>
          <w:rFonts w:ascii="Theinhardt Regular Italic" w:hAnsi="Theinhardt Regular Italic"/>
          <w:sz w:val="18"/>
        </w:rPr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2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20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z w:val="14"/>
        </w:rPr>
        <w:t>0.20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32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pacing w:val="-2"/>
          <w:sz w:val="14"/>
        </w:rPr>
        <w:t>21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16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0.19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25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  <w:t>40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z w:val="14"/>
        </w:rPr>
        <w:t>0.20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904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Fenster:</w:t>
        <w:tab/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1.30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tbl>
      <w:tblPr>
        <w:tblW w:w="0" w:type="auto"/>
        <w:jc w:val="left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9"/>
        <w:gridCol w:w="753"/>
        <w:gridCol w:w="471"/>
        <w:gridCol w:w="618"/>
      </w:tblGrid>
      <w:tr>
        <w:trPr>
          <w:trHeight w:val="30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EBF:</w:t>
            </w:r>
            <w:r>
              <w:rPr>
                <w:rFonts w:ascii="Theinhardt Regular"/>
                <w:color w:val="231F20"/>
                <w:sz w:val="14"/>
              </w:rPr>
              <w:t> 633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</w:t>
            </w:r>
            <w:r>
              <w:rPr>
                <w:rFonts w:ascii="Theinhardt Regular" w:hAnsi="Theinhardt Regular"/>
                <w:color w:val="231F20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WP: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48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25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187" w:right="0" w:firstLine="38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18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20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/>
              <w:ind w:left="117" w:right="0" w:firstLine="42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8" w:lineRule="exact"/>
              <w:ind w:left="11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15’996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40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103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8</w:t>
            </w:r>
            <w:r>
              <w:rPr>
                <w:rFonts w:ascii="Theinhardt Regular"/>
                <w:color w:val="231F20"/>
                <w:sz w:val="14"/>
              </w:rPr>
              <w:t>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5"/>
                <w:sz w:val="14"/>
                <w:szCs w:val="14"/>
              </w:rPr>
              <w:t>65’119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90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40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3"/>
                <w:sz w:val="14"/>
              </w:rPr>
              <w:t>128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2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4"/>
                <w:sz w:val="14"/>
                <w:szCs w:val="14"/>
              </w:rPr>
              <w:t>81’115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437" w:hRule="exact"/>
        </w:trPr>
        <w:tc>
          <w:tcPr>
            <w:tcW w:w="13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 w:before="14"/>
              <w:ind w:left="55" w:right="31"/>
              <w:jc w:val="both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Energieversorgung</w:t>
            </w: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24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"/>
                <w:sz w:val="14"/>
                <w:szCs w:val="14"/>
              </w:rPr>
              <w:t>Eigen-EV: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33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m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position w:val="5"/>
                <w:sz w:val="8"/>
                <w:szCs w:val="8"/>
              </w:rPr>
              <w:t>2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1"/>
                <w:position w:val="5"/>
                <w:sz w:val="8"/>
                <w:szCs w:val="8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kWp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30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2"/>
                <w:sz w:val="14"/>
                <w:szCs w:val="14"/>
              </w:rPr>
              <w:t>PV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"/>
                <w:sz w:val="14"/>
                <w:szCs w:val="14"/>
              </w:rPr>
              <w:t>Dach: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5"/>
                <w:sz w:val="14"/>
                <w:szCs w:val="14"/>
              </w:rPr>
              <w:t>1’011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34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180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  <w:tc>
          <w:tcPr>
            <w:tcW w:w="7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72" w:lineRule="exact"/>
              <w:ind w:left="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98" w:lineRule="exact"/>
              <w:ind w:left="28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178.5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3"/>
                <w:szCs w:val="13"/>
              </w:rPr>
            </w:pPr>
          </w:p>
          <w:p>
            <w:pPr>
              <w:pStyle w:val="TableParagraph"/>
              <w:spacing w:line="160" w:lineRule="exact"/>
              <w:ind w:left="87" w:right="115" w:firstLine="138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222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72" w:lineRule="exact"/>
              <w:ind w:left="104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98" w:lineRule="exact"/>
              <w:ind w:right="29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180’430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tabs>
          <w:tab w:pos="2408" w:val="left" w:leader="none"/>
          <w:tab w:pos="2834" w:val="left" w:leader="none"/>
        </w:tabs>
        <w:spacing w:line="172" w:lineRule="exact" w:before="121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03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  <w:t>222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180’430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9" w:val="left" w:leader="none"/>
          <w:tab w:pos="281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6"/>
          <w:sz w:val="14"/>
          <w:szCs w:val="14"/>
        </w:rPr>
        <w:t>81’115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10" w:val="left" w:leader="none"/>
          <w:tab w:pos="2781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122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99’315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3"/>
          <w:sz w:val="14"/>
        </w:rPr>
        <w:t>BKW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AG/smart-me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12./13.07.18,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T.</w:t>
      </w:r>
      <w:r>
        <w:rPr>
          <w:rFonts w:ascii="Theinhardt Regular" w:hAnsi="Theinhardt Regular"/>
          <w:color w:val="231F20"/>
          <w:sz w:val="14"/>
        </w:rPr>
        <w:t> Dolder,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058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477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24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71/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S.</w:t>
      </w:r>
      <w:r>
        <w:rPr>
          <w:rFonts w:ascii="Theinhardt Regular"/>
          <w:color w:val="231F20"/>
          <w:sz w:val="14"/>
        </w:rPr>
        <w:t> Fischer,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8"/>
          <w:sz w:val="14"/>
        </w:rPr>
        <w:t>511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09</w:t>
      </w:r>
      <w:r>
        <w:rPr>
          <w:rFonts w:ascii="Theinhardt Regular"/>
          <w:color w:val="231F20"/>
          <w:sz w:val="14"/>
        </w:rPr>
        <w:t> 99</w:t>
      </w:r>
      <w:r>
        <w:rPr>
          <w:rFonts w:ascii="Theinhardt Regular"/>
          <w:sz w:val="14"/>
        </w:rPr>
      </w:r>
    </w:p>
    <w:p>
      <w:pPr>
        <w:spacing w:line="207" w:lineRule="auto" w:before="5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71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können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dem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Solarstrom-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überschuss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jährlich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12’000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km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CO</w:t>
      </w:r>
      <w:r>
        <w:rPr>
          <w:rFonts w:ascii="Theinhardt Regular" w:hAnsi="Theinhardt Regular" w:cs="Theinhardt Regular" w:eastAsia="Theinhardt Regular"/>
          <w:color w:val="231F20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-frei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fahren.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before="116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17" w:right="81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Bauherrschaft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Standort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Einwohnergemeinde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Zweisimmen</w:t>
      </w:r>
      <w:r>
        <w:rPr>
          <w:rFonts w:ascii="Theinhardt Regular"/>
          <w:color w:val="231F20"/>
          <w:spacing w:val="26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Lenkstrasse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21b</w:t>
      </w:r>
      <w:r>
        <w:rPr>
          <w:rFonts w:ascii="Theinhardt Regular"/>
          <w:color w:val="231F20"/>
          <w:sz w:val="14"/>
        </w:rPr>
        <w:t> + </w:t>
      </w:r>
      <w:r>
        <w:rPr>
          <w:rFonts w:ascii="Theinhardt Regular"/>
          <w:color w:val="231F20"/>
          <w:spacing w:val="-3"/>
          <w:sz w:val="14"/>
        </w:rPr>
        <w:t>21c,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3770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Zweisimmen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729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88</w:t>
      </w:r>
      <w:r>
        <w:rPr>
          <w:rFonts w:ascii="Theinhardt Regular"/>
          <w:color w:val="231F20"/>
          <w:sz w:val="14"/>
        </w:rPr>
        <w:t> 60</w:t>
      </w:r>
      <w:hyperlink r:id="rId6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2"/>
            <w:sz w:val="14"/>
          </w:rPr>
          <w:t>www.</w:t>
        </w:r>
      </w:hyperlink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Zweisimmen.ch</w:t>
      </w:r>
      <w:r>
        <w:rPr>
          <w:rFonts w:ascii="Theinhardt Regular"/>
          <w:sz w:val="14"/>
        </w:rPr>
      </w:r>
    </w:p>
    <w:p>
      <w:pPr>
        <w:spacing w:line="172" w:lineRule="exact" w:before="49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Photovoltaikanlage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Verein </w:t>
      </w:r>
      <w:r>
        <w:rPr>
          <w:rFonts w:ascii="Theinhardt Regular"/>
          <w:color w:val="231F20"/>
          <w:spacing w:val="1"/>
          <w:sz w:val="14"/>
        </w:rPr>
        <w:t>Oberriedsonne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Mike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Schletti,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Oberriedstr.</w:t>
      </w:r>
      <w:r>
        <w:rPr>
          <w:rFonts w:ascii="Theinhardt Regular"/>
          <w:color w:val="231F20"/>
          <w:sz w:val="14"/>
        </w:rPr>
        <w:t> 6, </w:t>
      </w:r>
      <w:r>
        <w:rPr>
          <w:rFonts w:ascii="Theinhardt Regular"/>
          <w:color w:val="231F20"/>
          <w:spacing w:val="-1"/>
          <w:sz w:val="14"/>
        </w:rPr>
        <w:t>3770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Zweisimmen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079</w:t>
      </w:r>
      <w:r>
        <w:rPr>
          <w:rFonts w:ascii="Theinhardt Regular"/>
          <w:color w:val="231F20"/>
          <w:sz w:val="14"/>
        </w:rPr>
        <w:t> 360 </w:t>
      </w:r>
      <w:r>
        <w:rPr>
          <w:rFonts w:ascii="Theinhardt Regular"/>
          <w:color w:val="231F20"/>
          <w:spacing w:val="-1"/>
          <w:sz w:val="14"/>
        </w:rPr>
        <w:t>32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32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17" w:right="143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Photovoltaik</w:t>
      </w:r>
      <w:r>
        <w:rPr>
          <w:rFonts w:ascii="Theinhardt Bold"/>
          <w:b/>
          <w:color w:val="231F20"/>
          <w:spacing w:val="3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solarUp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Energie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GmbH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Cheseryplatz</w:t>
      </w:r>
      <w:r>
        <w:rPr>
          <w:rFonts w:ascii="Theinhardt Regular"/>
          <w:color w:val="231F20"/>
          <w:sz w:val="14"/>
        </w:rPr>
        <w:t> 3, </w:t>
      </w:r>
      <w:r>
        <w:rPr>
          <w:rFonts w:ascii="Theinhardt Regular"/>
          <w:color w:val="231F20"/>
          <w:spacing w:val="-1"/>
          <w:sz w:val="14"/>
        </w:rPr>
        <w:t>3780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Gstaad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748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30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www.solarup.ch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5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Architekt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Tom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Moser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Bahnhofstrasse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3778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Schönried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744</w:t>
      </w:r>
      <w:r>
        <w:rPr>
          <w:rFonts w:ascii="Theinhardt Regular"/>
          <w:color w:val="231F20"/>
          <w:sz w:val="14"/>
        </w:rPr>
        <w:t> 63 </w:t>
      </w:r>
      <w:r>
        <w:rPr>
          <w:rFonts w:ascii="Theinhardt Regular"/>
          <w:color w:val="231F20"/>
          <w:spacing w:val="-3"/>
          <w:sz w:val="14"/>
        </w:rPr>
        <w:t>1</w:t>
      </w:r>
      <w:hyperlink r:id="rId8">
        <w:r>
          <w:rPr>
            <w:rFonts w:ascii="Theinhardt Regular"/>
            <w:color w:val="231F20"/>
            <w:spacing w:val="-3"/>
            <w:sz w:val="14"/>
          </w:rPr>
          <w:t>6,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info@germann-architektur.ch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Elektroplanung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6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ogiplan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elektroplanung</w:t>
      </w:r>
      <w:r>
        <w:rPr>
          <w:rFonts w:ascii="Theinhardt Regular"/>
          <w:color w:val="231F20"/>
          <w:sz w:val="14"/>
        </w:rPr>
        <w:t> + </w:t>
      </w:r>
      <w:r>
        <w:rPr>
          <w:rFonts w:ascii="Theinhardt Regular"/>
          <w:color w:val="231F20"/>
          <w:spacing w:val="1"/>
          <w:sz w:val="14"/>
        </w:rPr>
        <w:t>lichtdesign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Christoph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Ogi</w:t>
      </w:r>
      <w:r>
        <w:rPr>
          <w:rFonts w:ascii="Theinhardt Regular"/>
          <w:sz w:val="14"/>
        </w:rPr>
      </w:r>
    </w:p>
    <w:p>
      <w:pPr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Cheseryplatz</w:t>
      </w:r>
      <w:r>
        <w:rPr>
          <w:rFonts w:ascii="Theinhardt Regular"/>
          <w:color w:val="231F20"/>
          <w:sz w:val="14"/>
        </w:rPr>
        <w:t> 3, </w:t>
      </w:r>
      <w:r>
        <w:rPr>
          <w:rFonts w:ascii="Theinhardt Regular"/>
          <w:color w:val="231F20"/>
          <w:spacing w:val="-1"/>
          <w:sz w:val="14"/>
        </w:rPr>
        <w:t>3780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Gstaad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748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</w:t>
      </w:r>
      <w:hyperlink r:id="rId9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info@ogiplan.ch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8"/>
            <w:col w:w="3468" w:space="104"/>
            <w:col w:w="358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38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0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33423" cy="2985039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423" cy="298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56"/>
        <w:ind w:left="11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00" w:lineRule="atLeast"/>
        <w:ind w:left="10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6621399" cy="2610230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1399" cy="26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spacing w:before="7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tabs>
          <w:tab w:pos="5316" w:val="left" w:leader="none"/>
        </w:tabs>
        <w:spacing w:line="200" w:lineRule="atLeast"/>
        <w:ind w:left="112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156800" cy="2051304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800" cy="20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341332" cy="2045208"/>
            <wp:effectExtent l="0" t="0" r="0" b="0"/>
            <wp:docPr id="7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1332" cy="2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301" w:val="left" w:leader="none"/>
        </w:tabs>
        <w:spacing w:before="29"/>
        <w:ind w:left="11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3</w:t>
        <w:tab/>
        <w:t>4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3"/>
          <w:szCs w:val="23"/>
        </w:rPr>
        <w:sectPr>
          <w:pgSz w:w="12250" w:h="17180"/>
          <w:pgMar w:top="1020" w:bottom="280" w:left="920" w:right="620"/>
        </w:sect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94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elegante und </w:t>
      </w:r>
      <w:r>
        <w:rPr>
          <w:rFonts w:ascii="Theinhardt Bold" w:hAnsi="Theinhardt Bold"/>
          <w:b/>
          <w:color w:val="231F20"/>
          <w:spacing w:val="-1"/>
          <w:sz w:val="14"/>
        </w:rPr>
        <w:t>schlicht</w:t>
      </w:r>
      <w:r>
        <w:rPr>
          <w:rFonts w:ascii="Theinhardt Bold" w:hAnsi="Theinhardt Bold"/>
          <w:b/>
          <w:color w:val="231F20"/>
          <w:sz w:val="14"/>
        </w:rPr>
        <w:t> gehaltene Simmental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Arena fügt </w:t>
      </w:r>
      <w:r>
        <w:rPr>
          <w:rFonts w:ascii="Theinhardt Bold" w:hAnsi="Theinhardt Bold"/>
          <w:b/>
          <w:color w:val="231F20"/>
          <w:spacing w:val="-1"/>
          <w:sz w:val="14"/>
        </w:rPr>
        <w:t>sich</w:t>
      </w:r>
      <w:r>
        <w:rPr>
          <w:rFonts w:ascii="Theinhardt Bold" w:hAnsi="Theinhardt Bold"/>
          <w:b/>
          <w:color w:val="231F20"/>
          <w:sz w:val="14"/>
        </w:rPr>
        <w:t> sehr gut in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Umgebung ein.</w:t>
      </w:r>
      <w:r>
        <w:rPr>
          <w:rFonts w:ascii="Theinhardt Bold" w:hAns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12"/>
          <w:szCs w:val="12"/>
        </w:r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Parallel</w:t>
      </w:r>
      <w:r>
        <w:rPr>
          <w:rFonts w:ascii="Theinhardt Bold" w:hAnsi="Theinhardt Bold"/>
          <w:b/>
          <w:color w:val="231F20"/>
          <w:sz w:val="14"/>
        </w:rPr>
        <w:t> zur </w:t>
      </w:r>
      <w:r>
        <w:rPr>
          <w:rFonts w:ascii="Theinhardt Bold" w:hAnsi="Theinhardt Bold"/>
          <w:b/>
          <w:color w:val="231F20"/>
          <w:spacing w:val="-1"/>
          <w:sz w:val="14"/>
        </w:rPr>
        <w:t>südlichen</w:t>
      </w:r>
      <w:r>
        <w:rPr>
          <w:rFonts w:ascii="Theinhardt Bold" w:hAnsi="Theinhardt Bold"/>
          <w:b/>
          <w:color w:val="231F20"/>
          <w:sz w:val="14"/>
        </w:rPr>
        <w:t> 180 kW </w:t>
      </w:r>
      <w:r>
        <w:rPr>
          <w:rFonts w:ascii="Theinhardt Bold" w:hAnsi="Theinhardt Bold"/>
          <w:b/>
          <w:color w:val="231F20"/>
          <w:spacing w:val="-1"/>
          <w:sz w:val="14"/>
        </w:rPr>
        <w:t>starken</w:t>
      </w:r>
      <w:r>
        <w:rPr>
          <w:rFonts w:ascii="Theinhardt Bold" w:hAnsi="Theinhardt Bold"/>
          <w:b/>
          <w:color w:val="231F20"/>
          <w:sz w:val="14"/>
        </w:rPr>
        <w:t> PV-Anlage</w:t>
      </w:r>
      <w:r>
        <w:rPr>
          <w:rFonts w:ascii="Theinhardt Bold" w:hAnsi="Theinhardt Bold"/>
          <w:b/>
          <w:color w:val="231F20"/>
          <w:spacing w:val="31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könnte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Simmental Arena auf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nördlichen</w:t>
      </w:r>
      <w:r>
        <w:rPr>
          <w:rFonts w:ascii="Theinhardt Bold" w:hAnsi="Theinhardt Bold"/>
          <w:b/>
          <w:color w:val="231F20"/>
          <w:spacing w:val="35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Dachhälfte zusätzlich noch gut 320 kW mit</w:t>
      </w:r>
      <w:r>
        <w:rPr>
          <w:rFonts w:ascii="Theinhardt Bold" w:hAnsi="Theinhardt Bold"/>
          <w:sz w:val="14"/>
        </w:rPr>
      </w:r>
    </w:p>
    <w:p>
      <w:pPr>
        <w:spacing w:line="172" w:lineRule="exact" w:before="68"/>
        <w:ind w:left="32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einem Jahresertrag von 324’400 kWh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(total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0"/>
        <w:ind w:left="32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≈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505’000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kWh/a)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Strom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generieren.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0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südseitige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vorbildlich</w:t>
      </w:r>
      <w:r>
        <w:rPr>
          <w:rFonts w:ascii="Theinhardt Bold" w:hAnsi="Theinhardt Bold" w:cs="Theinhardt Bold" w:eastAsia="Theinhardt Bold"/>
          <w:b/>
          <w:bCs/>
          <w:color w:val="231F20"/>
          <w:spacing w:val="4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integriert und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erzeugt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180’400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207" w:lineRule="auto" w:before="86"/>
        <w:ind w:left="327" w:right="21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PEB</w:t>
      </w:r>
      <w:r>
        <w:rPr>
          <w:rFonts w:ascii="Theinhardt Bold" w:hAnsi="Theinhardt Bold"/>
          <w:b/>
          <w:color w:val="231F20"/>
          <w:sz w:val="14"/>
        </w:rPr>
        <w:t> wird für </w:t>
      </w:r>
      <w:r>
        <w:rPr>
          <w:rFonts w:ascii="Theinhardt Bold" w:hAnsi="Theinhardt Bold"/>
          <w:b/>
          <w:color w:val="231F20"/>
          <w:spacing w:val="-1"/>
          <w:sz w:val="14"/>
        </w:rPr>
        <w:t>verschiedene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Zwecke</w:t>
      </w:r>
      <w:r>
        <w:rPr>
          <w:rFonts w:ascii="Theinhardt Bold" w:hAnsi="Theinhardt Bold"/>
          <w:b/>
          <w:color w:val="231F20"/>
          <w:sz w:val="14"/>
        </w:rPr>
        <w:t> verwen-</w:t>
      </w:r>
      <w:r>
        <w:rPr>
          <w:rFonts w:ascii="Theinhardt Bold" w:hAnsi="Theinhardt Bold"/>
          <w:b/>
          <w:color w:val="231F20"/>
          <w:spacing w:val="3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det</w:t>
      </w:r>
      <w:r>
        <w:rPr>
          <w:rFonts w:ascii="Theinhardt Bold" w:hAnsi="Theinhardt Bold"/>
          <w:b/>
          <w:color w:val="231F20"/>
          <w:sz w:val="14"/>
        </w:rPr>
        <w:t> und </w:t>
      </w:r>
      <w:r>
        <w:rPr>
          <w:rFonts w:ascii="Theinhardt Bold" w:hAnsi="Theinhardt Bold"/>
          <w:b/>
          <w:color w:val="231F20"/>
          <w:spacing w:val="-1"/>
          <w:sz w:val="14"/>
        </w:rPr>
        <w:t>versorgt</w:t>
      </w:r>
      <w:r>
        <w:rPr>
          <w:rFonts w:ascii="Theinhardt Bold" w:hAnsi="Theinhardt Bold"/>
          <w:b/>
          <w:color w:val="231F20"/>
          <w:sz w:val="14"/>
        </w:rPr>
        <w:t> dank Netzanschluss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angrenzenden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Schulhäuser,</w:t>
      </w:r>
      <w:r>
        <w:rPr>
          <w:rFonts w:ascii="Theinhardt Bold" w:hAnsi="Theinhardt Bold"/>
          <w:b/>
          <w:color w:val="231F20"/>
          <w:spacing w:val="-12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Turnhallen</w:t>
      </w:r>
      <w:r>
        <w:rPr>
          <w:rFonts w:ascii="Theinhardt Bold" w:hAnsi="Theinhardt Bold"/>
          <w:b/>
          <w:color w:val="231F20"/>
          <w:sz w:val="14"/>
        </w:rPr>
        <w:t> und </w:t>
      </w:r>
      <w:r>
        <w:rPr>
          <w:rFonts w:ascii="Theinhardt Bold" w:hAnsi="Theinhardt Bold"/>
          <w:b/>
          <w:color w:val="231F20"/>
          <w:spacing w:val="-1"/>
          <w:sz w:val="14"/>
        </w:rPr>
        <w:t>den</w:t>
      </w:r>
      <w:r>
        <w:rPr>
          <w:rFonts w:ascii="Theinhardt Bold" w:hAnsi="Theinhardt Bold"/>
          <w:b/>
          <w:color w:val="231F20"/>
          <w:spacing w:val="25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Gemeindesaal mit </w:t>
      </w:r>
      <w:r>
        <w:rPr>
          <w:rFonts w:ascii="Theinhardt Bold" w:hAnsi="Theinhardt Bold"/>
          <w:b/>
          <w:color w:val="231F20"/>
          <w:spacing w:val="-1"/>
          <w:sz w:val="14"/>
        </w:rPr>
        <w:t>CO</w:t>
      </w:r>
      <w:r>
        <w:rPr>
          <w:rFonts w:ascii="Theinhardt Bold" w:hAnsi="Theinhardt Bold"/>
          <w:b/>
          <w:color w:val="231F20"/>
          <w:spacing w:val="-1"/>
          <w:position w:val="-4"/>
          <w:sz w:val="8"/>
        </w:rPr>
        <w:t>2</w:t>
      </w:r>
      <w:r>
        <w:rPr>
          <w:rFonts w:ascii="Theinhardt Bold" w:hAnsi="Theinhardt Bold"/>
          <w:b/>
          <w:color w:val="231F20"/>
          <w:spacing w:val="-1"/>
          <w:sz w:val="14"/>
        </w:rPr>
        <w:t>-freiem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Solarstrom.</w:t>
      </w:r>
      <w:r>
        <w:rPr>
          <w:rFonts w:ascii="Theinhardt Bold" w:hAnsi="Theinhardt Bold"/>
          <w:sz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45" w:space="127"/>
            <w:col w:w="3157" w:space="415"/>
            <w:col w:w="3566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39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3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2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/" TargetMode="External"/><Relationship Id="rId7" Type="http://schemas.openxmlformats.org/officeDocument/2006/relationships/hyperlink" Target="http://www.solarup.ch/" TargetMode="External"/><Relationship Id="rId8" Type="http://schemas.openxmlformats.org/officeDocument/2006/relationships/hyperlink" Target="mailto:info@germann-architektur.ch" TargetMode="External"/><Relationship Id="rId9" Type="http://schemas.openxmlformats.org/officeDocument/2006/relationships/hyperlink" Target="mailto:info@ogiplan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2018-10-02T09:54:56Z</dcterms:created>
  <dcterms:modified xsi:type="dcterms:W3CDTF">2018-10-02T09:54:56Z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