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2"/>
        <w:tabs>
          <w:tab w:pos="2539" w:val="left" w:leader="none"/>
        </w:tabs>
        <w:spacing w:line="230" w:lineRule="exact"/>
        <w:ind w:right="0"/>
        <w:jc w:val="left"/>
        <w:rPr>
          <w:rFonts w:ascii="Theinhardt Black" w:hAnsi="Theinhardt Black" w:cs="Theinhardt Black" w:eastAsia="Theinhardt Black"/>
          <w:b w:val="0"/>
          <w:bCs w:val="0"/>
        </w:rPr>
      </w:pPr>
      <w:r>
        <w:rPr/>
        <w:pict>
          <v:group style="position:absolute;margin-left:51.236198pt;margin-top:14.147209pt;width:.1pt;height:.1pt;mso-position-horizontal-relative:page;mso-position-vertical-relative:paragraph;z-index:-3856" coordorigin="1025,283" coordsize="2,2">
            <v:shape style="position:absolute;left:1025;top:283;width:2;height:2" coordorigin="1025,283" coordsize="0,0" path="m1025,283l1025,283e" filled="false" stroked="true" strokeweight=".425pt" strokecolor="#231f20">
              <v:path arrowok="t"/>
            </v:shape>
            <w10:wrap type="none"/>
          </v:group>
        </w:pict>
      </w:r>
      <w:r>
        <w:rPr/>
        <w:pict>
          <v:group style="position:absolute;margin-left:173.409195pt;margin-top:14.147209pt;width:.1pt;height:.1pt;mso-position-horizontal-relative:page;mso-position-vertical-relative:paragraph;z-index:1120" coordorigin="3468,283" coordsize="2,2">
            <v:shape style="position:absolute;left:3468;top:283;width:2;height:2" coordorigin="3468,283" coordsize="0,0" path="m3468,283l3468,283e" filled="false" stroked="true" strokeweight=".425pt" strokecolor="#231f20">
              <v:path arrowok="t"/>
            </v:shape>
            <w10:wrap type="none"/>
          </v:group>
        </w:pict>
      </w:r>
      <w:r>
        <w:rPr>
          <w:rFonts w:ascii="Theinhardt Black"/>
          <w:b/>
          <w:color w:val="231F20"/>
        </w:rPr>
      </w:r>
      <w:r>
        <w:rPr>
          <w:rFonts w:ascii="Theinhardt Black"/>
          <w:b/>
          <w:color w:val="231F20"/>
          <w:spacing w:val="1"/>
          <w:u w:val="dotted" w:color="231F20"/>
        </w:rPr>
        <w:t>Kategorie</w:t>
      </w:r>
      <w:r>
        <w:rPr>
          <w:rFonts w:ascii="Theinhardt Black"/>
          <w:b/>
          <w:color w:val="231F20"/>
          <w:spacing w:val="-1"/>
          <w:u w:val="dotted" w:color="231F20"/>
        </w:rPr>
        <w:t> </w:t>
      </w:r>
      <w:r>
        <w:rPr>
          <w:rFonts w:ascii="Theinhardt Black"/>
          <w:b/>
          <w:color w:val="231F20"/>
          <w:u w:val="dotted" w:color="231F20"/>
        </w:rPr>
        <w:t>A</w:t>
      </w:r>
      <w:r>
        <w:rPr>
          <w:rFonts w:ascii="Theinhardt Black"/>
          <w:b/>
          <w:color w:val="231F20"/>
          <w:u w:val="dotted" w:color="231F20"/>
        </w:rPr>
        <w:t> </w:t>
        <w:tab/>
      </w:r>
      <w:r>
        <w:rPr>
          <w:rFonts w:ascii="Theinhardt Black"/>
          <w:b/>
          <w:color w:val="231F20"/>
        </w:rPr>
      </w:r>
      <w:r>
        <w:rPr>
          <w:rFonts w:ascii="Theinhardt Black"/>
          <w:b/>
          <w:color w:val="231F20"/>
          <w:spacing w:val="25"/>
        </w:rPr>
        <w:t> </w:t>
      </w:r>
      <w:r>
        <w:rPr>
          <w:rFonts w:ascii="Theinhardt Black"/>
          <w:b/>
          <w:color w:val="231F20"/>
          <w:spacing w:val="1"/>
        </w:rPr>
        <w:t>Institutionen</w:t>
      </w:r>
      <w:r>
        <w:rPr>
          <w:rFonts w:ascii="Theinhardt Black"/>
          <w:b w:val="0"/>
        </w:rPr>
      </w:r>
    </w:p>
    <w:p>
      <w:pPr>
        <w:pStyle w:val="BodyText"/>
        <w:spacing w:line="230" w:lineRule="exact"/>
        <w:ind w:right="227"/>
        <w:jc w:val="left"/>
      </w:pPr>
      <w:r>
        <w:rPr/>
        <w:pict>
          <v:group style="position:absolute;margin-left:51.023701pt;margin-top:.534709pt;width:122.6pt;height:.45pt;mso-position-horizontal-relative:page;mso-position-vertical-relative:paragraph;z-index:-3808" coordorigin="1020,11" coordsize="2452,9">
            <v:group style="position:absolute;left:1042;top:15;width:2418;height:2" coordorigin="1042,15" coordsize="2418,2">
              <v:shape style="position:absolute;left:1042;top:15;width:2418;height:2" coordorigin="1042,15" coordsize="2418,0" path="m1042,15l3460,15e" filled="false" stroked="true" strokeweight=".425pt" strokecolor="#231f20">
                <v:path arrowok="t"/>
                <v:stroke dashstyle="dash"/>
              </v:shape>
            </v:group>
            <v:group style="position:absolute;left:1025;top:15;width:2;height:2" coordorigin="1025,15" coordsize="2,2">
              <v:shape style="position:absolute;left:1025;top:15;width:2;height:2" coordorigin="1025,15" coordsize="0,0" path="m1025,15l1025,15e" filled="false" stroked="true" strokeweight=".425pt" strokecolor="#231f20">
                <v:path arrowok="t"/>
              </v:shape>
            </v:group>
            <v:group style="position:absolute;left:3468;top:15;width:2;height:2" coordorigin="3468,15" coordsize="2,2">
              <v:shape style="position:absolute;left:3468;top:15;width:2;height:2" coordorigin="3468,15" coordsize="0,0" path="m3468,15l3468,15e" filled="false" stroked="true" strokeweight=".425pt" strokecolor="#231f20">
                <v:path arrowok="t"/>
              </v:shape>
            </v:group>
            <w10:wrap type="none"/>
          </v:group>
        </w:pict>
      </w:r>
      <w:r>
        <w:rPr>
          <w:spacing w:val="-1"/>
        </w:rPr>
        <w:t>Schweizer</w:t>
      </w:r>
      <w:r>
        <w:rPr/>
        <w:t> </w:t>
      </w:r>
      <w:r>
        <w:rPr>
          <w:spacing w:val="-1"/>
        </w:rPr>
        <w:t>Solarpreis-Diplom</w:t>
      </w:r>
      <w:r>
        <w:rPr>
          <w:spacing w:val="30"/>
        </w:rPr>
        <w:t> </w:t>
      </w:r>
      <w:r>
        <w:rPr/>
        <w:t>2018</w:t>
      </w:r>
    </w:p>
    <w:p>
      <w:pPr>
        <w:pStyle w:val="Heading2"/>
        <w:spacing w:line="230" w:lineRule="exact"/>
        <w:ind w:right="114"/>
        <w:jc w:val="both"/>
        <w:rPr>
          <w:b w:val="0"/>
          <w:bCs w:val="0"/>
        </w:rPr>
      </w:pPr>
      <w:r>
        <w:rPr>
          <w:b w:val="0"/>
        </w:rPr>
        <w:br w:type="column"/>
      </w:r>
      <w:r>
        <w:rPr>
          <w:color w:val="231F20"/>
        </w:rPr>
        <w:t>Bereits</w:t>
      </w:r>
      <w:r>
        <w:rPr>
          <w:color w:val="231F20"/>
          <w:spacing w:val="16"/>
        </w:rPr>
        <w:t> </w:t>
      </w:r>
      <w:r>
        <w:rPr>
          <w:color w:val="231F20"/>
        </w:rPr>
        <w:t>seit</w:t>
      </w:r>
      <w:r>
        <w:rPr>
          <w:color w:val="231F20"/>
          <w:spacing w:val="16"/>
        </w:rPr>
        <w:t> </w:t>
      </w:r>
      <w:r>
        <w:rPr>
          <w:color w:val="231F20"/>
        </w:rPr>
        <w:t>1999</w:t>
      </w:r>
      <w:r>
        <w:rPr>
          <w:color w:val="231F20"/>
          <w:spacing w:val="16"/>
        </w:rPr>
        <w:t> </w:t>
      </w:r>
      <w:r>
        <w:rPr>
          <w:color w:val="231F20"/>
          <w:spacing w:val="1"/>
        </w:rPr>
        <w:t>setzt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sich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16"/>
        </w:rPr>
        <w:t> </w:t>
      </w:r>
      <w:r>
        <w:rPr>
          <w:color w:val="231F20"/>
        </w:rPr>
        <w:t>Genossenschaft</w:t>
      </w:r>
      <w:r>
        <w:rPr>
          <w:color w:val="231F20"/>
          <w:spacing w:val="16"/>
        </w:rPr>
        <w:t> </w:t>
      </w:r>
      <w:r>
        <w:rPr>
          <w:color w:val="231F20"/>
        </w:rPr>
        <w:t>SpiezSolar</w:t>
      </w:r>
      <w:r>
        <w:rPr>
          <w:color w:val="231F20"/>
          <w:spacing w:val="16"/>
        </w:rPr>
        <w:t> </w:t>
      </w:r>
      <w:r>
        <w:rPr>
          <w:color w:val="231F20"/>
        </w:rPr>
        <w:t>für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16"/>
        </w:rPr>
        <w:t> </w:t>
      </w:r>
      <w:r>
        <w:rPr>
          <w:color w:val="231F20"/>
        </w:rPr>
        <w:t>Nutzung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der</w:t>
      </w:r>
      <w:r>
        <w:rPr>
          <w:color w:val="231F20"/>
          <w:spacing w:val="16"/>
        </w:rPr>
        <w:t> </w:t>
      </w:r>
      <w:r>
        <w:rPr>
          <w:color w:val="231F20"/>
        </w:rPr>
        <w:t>Sonnenener-</w:t>
      </w:r>
      <w:r>
        <w:rPr>
          <w:color w:val="231F20"/>
          <w:spacing w:val="58"/>
        </w:rPr>
        <w:t> </w:t>
      </w:r>
      <w:r>
        <w:rPr>
          <w:color w:val="231F20"/>
          <w:spacing w:val="-1"/>
        </w:rPr>
        <w:t>gie</w:t>
      </w:r>
      <w:r>
        <w:rPr>
          <w:color w:val="231F20"/>
          <w:spacing w:val="-5"/>
        </w:rPr>
        <w:t> </w:t>
      </w:r>
      <w:r>
        <w:rPr>
          <w:color w:val="231F20"/>
        </w:rPr>
        <w:t>ein.</w:t>
      </w:r>
      <w:r>
        <w:rPr>
          <w:color w:val="231F20"/>
          <w:spacing w:val="-12"/>
        </w:rPr>
        <w:t> </w:t>
      </w:r>
      <w:r>
        <w:rPr>
          <w:color w:val="231F20"/>
        </w:rPr>
        <w:t>Sie</w:t>
      </w:r>
      <w:r>
        <w:rPr>
          <w:color w:val="231F20"/>
          <w:spacing w:val="-5"/>
        </w:rPr>
        <w:t> </w:t>
      </w:r>
      <w:r>
        <w:rPr>
          <w:color w:val="231F20"/>
        </w:rPr>
        <w:t>realisierte</w:t>
      </w:r>
      <w:r>
        <w:rPr>
          <w:color w:val="231F20"/>
          <w:spacing w:val="-5"/>
        </w:rPr>
        <w:t> </w:t>
      </w:r>
      <w:r>
        <w:rPr>
          <w:color w:val="231F20"/>
        </w:rPr>
        <w:t>mittels</w:t>
      </w:r>
      <w:r>
        <w:rPr>
          <w:color w:val="231F20"/>
          <w:spacing w:val="-5"/>
        </w:rPr>
        <w:t> </w:t>
      </w:r>
      <w:r>
        <w:rPr>
          <w:color w:val="231F20"/>
        </w:rPr>
        <w:t>Crowdfunding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Installation</w:t>
      </w:r>
      <w:r>
        <w:rPr>
          <w:color w:val="231F20"/>
          <w:spacing w:val="-5"/>
        </w:rPr>
        <w:t> </w:t>
      </w:r>
      <w:r>
        <w:rPr>
          <w:color w:val="231F20"/>
          <w:spacing w:val="-1"/>
        </w:rPr>
        <w:t>mehrerer</w:t>
      </w:r>
      <w:r>
        <w:rPr>
          <w:color w:val="231F20"/>
          <w:spacing w:val="-5"/>
        </w:rPr>
        <w:t> </w:t>
      </w:r>
      <w:r>
        <w:rPr>
          <w:color w:val="231F20"/>
        </w:rPr>
        <w:t>Photovoltaikanlagen.</w:t>
      </w:r>
      <w:r>
        <w:rPr>
          <w:color w:val="231F20"/>
          <w:spacing w:val="-12"/>
        </w:rPr>
        <w:t> </w:t>
      </w:r>
      <w:r>
        <w:rPr>
          <w:color w:val="231F20"/>
        </w:rPr>
        <w:t>Seit</w:t>
      </w:r>
      <w:r>
        <w:rPr>
          <w:color w:val="231F20"/>
          <w:spacing w:val="68"/>
        </w:rPr>
        <w:t> </w:t>
      </w:r>
      <w:r>
        <w:rPr>
          <w:color w:val="231F20"/>
        </w:rPr>
        <w:t>2011</w:t>
      </w:r>
      <w:r>
        <w:rPr>
          <w:color w:val="231F20"/>
          <w:spacing w:val="9"/>
        </w:rPr>
        <w:t> </w:t>
      </w:r>
      <w:r>
        <w:rPr>
          <w:color w:val="231F20"/>
        </w:rPr>
        <w:t>berät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9"/>
        </w:rPr>
        <w:t> </w:t>
      </w:r>
      <w:r>
        <w:rPr>
          <w:color w:val="231F20"/>
        </w:rPr>
        <w:t>Genossenschaft</w:t>
      </w:r>
      <w:r>
        <w:rPr>
          <w:color w:val="231F20"/>
          <w:spacing w:val="9"/>
        </w:rPr>
        <w:t> </w:t>
      </w:r>
      <w:r>
        <w:rPr>
          <w:color w:val="231F20"/>
        </w:rPr>
        <w:t>Interessenten</w:t>
      </w:r>
      <w:r>
        <w:rPr>
          <w:color w:val="231F20"/>
          <w:spacing w:val="9"/>
        </w:rPr>
        <w:t> </w:t>
      </w:r>
      <w:r>
        <w:rPr>
          <w:color w:val="231F20"/>
        </w:rPr>
        <w:t>und</w:t>
      </w:r>
      <w:r>
        <w:rPr>
          <w:color w:val="231F20"/>
          <w:spacing w:val="9"/>
        </w:rPr>
        <w:t> </w:t>
      </w:r>
      <w:r>
        <w:rPr>
          <w:color w:val="231F20"/>
        </w:rPr>
        <w:t>führt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solare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Informationsanlässe</w:t>
      </w:r>
      <w:r>
        <w:rPr>
          <w:color w:val="231F20"/>
          <w:spacing w:val="9"/>
        </w:rPr>
        <w:t> </w:t>
      </w:r>
      <w:r>
        <w:rPr>
          <w:color w:val="231F20"/>
          <w:spacing w:val="-1"/>
        </w:rPr>
        <w:t>durch.</w:t>
      </w:r>
      <w:r>
        <w:rPr>
          <w:color w:val="231F20"/>
          <w:spacing w:val="1"/>
        </w:rPr>
        <w:t> </w:t>
      </w:r>
      <w:r>
        <w:rPr>
          <w:color w:val="231F20"/>
        </w:rPr>
        <w:t>Mit</w:t>
      </w:r>
      <w:r>
        <w:rPr>
          <w:color w:val="231F20"/>
          <w:spacing w:val="74"/>
        </w:rPr>
        <w:t> </w:t>
      </w:r>
      <w:r>
        <w:rPr>
          <w:color w:val="231F20"/>
          <w:spacing w:val="-1"/>
        </w:rPr>
        <w:t>der</w:t>
      </w:r>
      <w:r>
        <w:rPr>
          <w:color w:val="231F20"/>
          <w:spacing w:val="1"/>
        </w:rPr>
        <w:t> </w:t>
      </w:r>
      <w:r>
        <w:rPr>
          <w:rFonts w:ascii="Theinhardt Regular" w:hAnsi="Theinhardt Regular"/>
          <w:b w:val="0"/>
          <w:color w:val="231F20"/>
        </w:rPr>
        <w:t>«</w:t>
      </w:r>
      <w:r>
        <w:rPr>
          <w:color w:val="231F20"/>
        </w:rPr>
        <w:t>Aktion99</w:t>
      </w:r>
      <w:r>
        <w:rPr>
          <w:rFonts w:ascii="Theinhardt Regular" w:hAnsi="Theinhardt Regular"/>
          <w:b w:val="0"/>
          <w:color w:val="231F20"/>
        </w:rPr>
        <w:t>»</w:t>
      </w:r>
      <w:r>
        <w:rPr>
          <w:rFonts w:ascii="Theinhardt Regular" w:hAnsi="Theinhardt Regular"/>
          <w:b w:val="0"/>
          <w:color w:val="231F20"/>
          <w:spacing w:val="-2"/>
        </w:rPr>
        <w:t> </w:t>
      </w:r>
      <w:r>
        <w:rPr>
          <w:color w:val="231F20"/>
        </w:rPr>
        <w:t>stärkte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1"/>
        </w:rPr>
        <w:t> </w:t>
      </w:r>
      <w:r>
        <w:rPr>
          <w:color w:val="231F20"/>
        </w:rPr>
        <w:t>Genossenschaft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1"/>
        </w:rPr>
        <w:t> </w:t>
      </w:r>
      <w:r>
        <w:rPr>
          <w:color w:val="231F20"/>
        </w:rPr>
        <w:t>Zusammenarbeit</w:t>
      </w:r>
      <w:r>
        <w:rPr>
          <w:color w:val="231F20"/>
          <w:spacing w:val="1"/>
        </w:rPr>
        <w:t> </w:t>
      </w:r>
      <w:r>
        <w:rPr>
          <w:color w:val="231F20"/>
        </w:rPr>
        <w:t>mit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dem</w:t>
      </w:r>
      <w:r>
        <w:rPr>
          <w:color w:val="231F20"/>
          <w:spacing w:val="1"/>
        </w:rPr>
        <w:t> </w:t>
      </w:r>
      <w:r>
        <w:rPr>
          <w:color w:val="231F20"/>
          <w:spacing w:val="-1"/>
        </w:rPr>
        <w:t>lokalen</w:t>
      </w:r>
      <w:r>
        <w:rPr>
          <w:color w:val="231F20"/>
          <w:spacing w:val="1"/>
        </w:rPr>
        <w:t> </w:t>
      </w:r>
      <w:r>
        <w:rPr>
          <w:color w:val="231F20"/>
        </w:rPr>
        <w:t>Gewerbe</w:t>
      </w:r>
      <w:r>
        <w:rPr>
          <w:color w:val="231F20"/>
          <w:spacing w:val="1"/>
        </w:rPr>
        <w:t> </w:t>
      </w:r>
      <w:r>
        <w:rPr>
          <w:color w:val="231F20"/>
        </w:rPr>
        <w:t>und</w:t>
      </w:r>
      <w:r>
        <w:rPr>
          <w:color w:val="231F20"/>
          <w:spacing w:val="44"/>
        </w:rPr>
        <w:t> </w:t>
      </w:r>
      <w:r>
        <w:rPr>
          <w:color w:val="231F20"/>
          <w:spacing w:val="-1"/>
        </w:rPr>
        <w:t>förderte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den</w:t>
      </w:r>
      <w:r>
        <w:rPr>
          <w:color w:val="231F20"/>
          <w:spacing w:val="-4"/>
        </w:rPr>
        <w:t> </w:t>
      </w:r>
      <w:r>
        <w:rPr>
          <w:color w:val="231F20"/>
        </w:rPr>
        <w:t>Bau</w:t>
      </w:r>
      <w:r>
        <w:rPr>
          <w:color w:val="231F20"/>
          <w:spacing w:val="-4"/>
        </w:rPr>
        <w:t> </w:t>
      </w:r>
      <w:r>
        <w:rPr>
          <w:color w:val="231F20"/>
        </w:rPr>
        <w:t>von</w:t>
      </w:r>
      <w:r>
        <w:rPr>
          <w:color w:val="231F20"/>
          <w:spacing w:val="-4"/>
        </w:rPr>
        <w:t> </w:t>
      </w:r>
      <w:r>
        <w:rPr>
          <w:color w:val="231F20"/>
        </w:rPr>
        <w:t>bisher</w:t>
      </w:r>
      <w:r>
        <w:rPr>
          <w:color w:val="231F20"/>
          <w:spacing w:val="-4"/>
        </w:rPr>
        <w:t> </w:t>
      </w:r>
      <w:r>
        <w:rPr>
          <w:color w:val="231F20"/>
        </w:rPr>
        <w:t>12</w:t>
      </w:r>
      <w:r>
        <w:rPr>
          <w:color w:val="231F20"/>
          <w:spacing w:val="-4"/>
        </w:rPr>
        <w:t> </w:t>
      </w:r>
      <w:r>
        <w:rPr>
          <w:color w:val="231F20"/>
        </w:rPr>
        <w:t>weiteren</w:t>
      </w:r>
      <w:r>
        <w:rPr>
          <w:color w:val="231F20"/>
          <w:spacing w:val="-4"/>
        </w:rPr>
        <w:t> </w:t>
      </w:r>
      <w:r>
        <w:rPr>
          <w:color w:val="231F20"/>
        </w:rPr>
        <w:t>PV-Anlagen.</w:t>
      </w:r>
      <w:r>
        <w:rPr>
          <w:color w:val="231F20"/>
          <w:spacing w:val="-11"/>
        </w:rPr>
        <w:t> </w:t>
      </w:r>
      <w:r>
        <w:rPr>
          <w:color w:val="231F20"/>
        </w:rPr>
        <w:t>Dank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dem</w:t>
      </w:r>
      <w:r>
        <w:rPr>
          <w:color w:val="231F20"/>
          <w:spacing w:val="-4"/>
        </w:rPr>
        <w:t> </w:t>
      </w:r>
      <w:r>
        <w:rPr>
          <w:color w:val="231F20"/>
        </w:rPr>
        <w:t>auf</w:t>
      </w:r>
      <w:r>
        <w:rPr>
          <w:color w:val="231F20"/>
          <w:spacing w:val="-4"/>
        </w:rPr>
        <w:t> </w:t>
      </w:r>
      <w:r>
        <w:rPr>
          <w:color w:val="231F20"/>
        </w:rPr>
        <w:t>Freiwilligenarbeit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basieren-</w:t>
      </w:r>
      <w:r>
        <w:rPr>
          <w:color w:val="231F20"/>
          <w:spacing w:val="48"/>
        </w:rPr>
        <w:t> </w:t>
      </w:r>
      <w:r>
        <w:rPr>
          <w:color w:val="231F20"/>
          <w:spacing w:val="-1"/>
        </w:rPr>
        <w:t>den</w:t>
      </w:r>
      <w:r>
        <w:rPr>
          <w:color w:val="231F20"/>
        </w:rPr>
        <w:t> Einsatz sind heute über 280 Dächer </w:t>
      </w:r>
      <w:r>
        <w:rPr>
          <w:color w:val="231F20"/>
          <w:spacing w:val="-1"/>
        </w:rPr>
        <w:t>der</w:t>
      </w:r>
      <w:r>
        <w:rPr>
          <w:color w:val="231F20"/>
        </w:rPr>
        <w:t> </w:t>
      </w:r>
      <w:r>
        <w:rPr>
          <w:color w:val="231F20"/>
          <w:spacing w:val="-1"/>
        </w:rPr>
        <w:t>Gemeinde</w:t>
      </w:r>
      <w:r>
        <w:rPr>
          <w:color w:val="231F20"/>
        </w:rPr>
        <w:t> Spiez mit PV-Anlagen ausgerüstet.</w:t>
      </w:r>
      <w:r>
        <w:rPr>
          <w:b w:val="0"/>
        </w:rPr>
      </w:r>
    </w:p>
    <w:p>
      <w:pPr>
        <w:spacing w:after="0" w:line="230" w:lineRule="exact"/>
        <w:jc w:val="both"/>
        <w:sectPr>
          <w:type w:val="continuous"/>
          <w:pgSz w:w="12250" w:h="17180"/>
          <w:pgMar w:top="1000" w:bottom="280" w:left="920" w:right="620"/>
          <w:cols w:num="2" w:equalWidth="0">
            <w:col w:w="2540" w:space="139"/>
            <w:col w:w="8031"/>
          </w:cols>
        </w:sect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0"/>
        <w:rPr>
          <w:rFonts w:ascii="Theinhardt Bold" w:hAnsi="Theinhardt Bold" w:cs="Theinhardt Bold" w:eastAsia="Theinhardt Bold"/>
          <w:b/>
          <w:bCs/>
          <w:sz w:val="20"/>
          <w:szCs w:val="20"/>
        </w:rPr>
      </w:pPr>
    </w:p>
    <w:p>
      <w:pPr>
        <w:spacing w:line="240" w:lineRule="auto" w:before="5"/>
        <w:rPr>
          <w:rFonts w:ascii="Theinhardt Bold" w:hAnsi="Theinhardt Bold" w:cs="Theinhardt Bold" w:eastAsia="Theinhardt Bold"/>
          <w:b/>
          <w:bCs/>
          <w:sz w:val="18"/>
          <w:szCs w:val="18"/>
        </w:rPr>
      </w:pPr>
    </w:p>
    <w:p>
      <w:pPr>
        <w:spacing w:before="5"/>
        <w:ind w:left="100" w:right="0" w:firstLine="0"/>
        <w:jc w:val="left"/>
        <w:rPr>
          <w:rFonts w:ascii="Theinhardt Black" w:hAnsi="Theinhardt Black" w:cs="Theinhardt Black" w:eastAsia="Theinhardt Black"/>
          <w:sz w:val="40"/>
          <w:szCs w:val="40"/>
        </w:rPr>
      </w:pPr>
      <w:r>
        <w:rPr>
          <w:rFonts w:ascii="Theinhardt Black"/>
          <w:b/>
          <w:color w:val="0067B1"/>
          <w:spacing w:val="-10"/>
          <w:sz w:val="40"/>
        </w:rPr>
        <w:t>G</w:t>
      </w:r>
      <w:r>
        <w:rPr>
          <w:rFonts w:ascii="Theinhardt Black"/>
          <w:b/>
          <w:color w:val="0067B1"/>
          <w:spacing w:val="-8"/>
          <w:sz w:val="40"/>
        </w:rPr>
        <w:t>e</w:t>
      </w:r>
      <w:r>
        <w:rPr>
          <w:rFonts w:ascii="Theinhardt Black"/>
          <w:b/>
          <w:color w:val="0067B1"/>
          <w:spacing w:val="-9"/>
          <w:sz w:val="40"/>
        </w:rPr>
        <w:t>n</w:t>
      </w:r>
      <w:r>
        <w:rPr>
          <w:rFonts w:ascii="Theinhardt Black"/>
          <w:b/>
          <w:color w:val="0067B1"/>
          <w:sz w:val="40"/>
        </w:rPr>
        <w:t>o</w:t>
      </w:r>
      <w:r>
        <w:rPr>
          <w:rFonts w:ascii="Theinhardt Black"/>
          <w:b/>
          <w:color w:val="0067B1"/>
          <w:spacing w:val="6"/>
          <w:sz w:val="40"/>
        </w:rPr>
        <w:t>s</w:t>
      </w:r>
      <w:r>
        <w:rPr>
          <w:rFonts w:ascii="Theinhardt Black"/>
          <w:b/>
          <w:color w:val="0067B1"/>
          <w:spacing w:val="-4"/>
          <w:sz w:val="40"/>
        </w:rPr>
        <w:t>s</w:t>
      </w:r>
      <w:r>
        <w:rPr>
          <w:rFonts w:ascii="Theinhardt Black"/>
          <w:b/>
          <w:color w:val="0067B1"/>
          <w:spacing w:val="-8"/>
          <w:sz w:val="40"/>
        </w:rPr>
        <w:t>e</w:t>
      </w:r>
      <w:r>
        <w:rPr>
          <w:rFonts w:ascii="Theinhardt Black"/>
          <w:b/>
          <w:color w:val="0067B1"/>
          <w:spacing w:val="-5"/>
          <w:sz w:val="40"/>
        </w:rPr>
        <w:t>n</w:t>
      </w:r>
      <w:r>
        <w:rPr>
          <w:rFonts w:ascii="Theinhardt Black"/>
          <w:b/>
          <w:color w:val="0067B1"/>
          <w:spacing w:val="-4"/>
          <w:sz w:val="40"/>
        </w:rPr>
        <w:t>sc</w:t>
      </w:r>
      <w:r>
        <w:rPr>
          <w:rFonts w:ascii="Theinhardt Black"/>
          <w:b/>
          <w:color w:val="0067B1"/>
          <w:spacing w:val="-5"/>
          <w:sz w:val="40"/>
        </w:rPr>
        <w:t>h</w:t>
      </w:r>
      <w:r>
        <w:rPr>
          <w:rFonts w:ascii="Theinhardt Black"/>
          <w:b/>
          <w:color w:val="0067B1"/>
          <w:sz w:val="40"/>
        </w:rPr>
        <w:t>a</w:t>
      </w:r>
      <w:r>
        <w:rPr>
          <w:rFonts w:ascii="Theinhardt Black"/>
          <w:b/>
          <w:color w:val="0067B1"/>
          <w:spacing w:val="16"/>
          <w:sz w:val="40"/>
        </w:rPr>
        <w:t>f</w:t>
      </w:r>
      <w:r>
        <w:rPr>
          <w:rFonts w:ascii="Theinhardt Black"/>
          <w:b/>
          <w:color w:val="0067B1"/>
          <w:sz w:val="40"/>
        </w:rPr>
        <w:t>t</w:t>
      </w:r>
      <w:r>
        <w:rPr>
          <w:rFonts w:ascii="Theinhardt Black"/>
          <w:b/>
          <w:color w:val="0067B1"/>
          <w:spacing w:val="-20"/>
          <w:sz w:val="40"/>
        </w:rPr>
        <w:t> </w:t>
      </w:r>
      <w:r>
        <w:rPr>
          <w:rFonts w:ascii="Theinhardt Black"/>
          <w:b/>
          <w:color w:val="0067B1"/>
          <w:spacing w:val="-8"/>
          <w:sz w:val="40"/>
        </w:rPr>
        <w:t>Spi</w:t>
      </w:r>
      <w:r>
        <w:rPr>
          <w:rFonts w:ascii="Theinhardt Black"/>
          <w:b/>
          <w:color w:val="0067B1"/>
          <w:spacing w:val="-6"/>
          <w:sz w:val="40"/>
        </w:rPr>
        <w:t>e</w:t>
      </w:r>
      <w:r>
        <w:rPr>
          <w:rFonts w:ascii="Theinhardt Black"/>
          <w:b/>
          <w:color w:val="0067B1"/>
          <w:spacing w:val="-4"/>
          <w:sz w:val="40"/>
        </w:rPr>
        <w:t>zS</w:t>
      </w:r>
      <w:r>
        <w:rPr>
          <w:rFonts w:ascii="Theinhardt Black"/>
          <w:b/>
          <w:color w:val="0067B1"/>
          <w:spacing w:val="-8"/>
          <w:sz w:val="40"/>
        </w:rPr>
        <w:t>o</w:t>
      </w:r>
      <w:r>
        <w:rPr>
          <w:rFonts w:ascii="Theinhardt Black"/>
          <w:b/>
          <w:color w:val="0067B1"/>
          <w:spacing w:val="-4"/>
          <w:sz w:val="40"/>
        </w:rPr>
        <w:t>l</w:t>
      </w:r>
      <w:r>
        <w:rPr>
          <w:rFonts w:ascii="Theinhardt Black"/>
          <w:b/>
          <w:color w:val="0067B1"/>
          <w:spacing w:val="-6"/>
          <w:sz w:val="40"/>
        </w:rPr>
        <w:t>a</w:t>
      </w:r>
      <w:r>
        <w:rPr>
          <w:rFonts w:ascii="Theinhardt Black"/>
          <w:b/>
          <w:color w:val="0067B1"/>
          <w:spacing w:val="-34"/>
          <w:sz w:val="40"/>
        </w:rPr>
        <w:t>r</w:t>
      </w:r>
      <w:r>
        <w:rPr>
          <w:rFonts w:ascii="Theinhardt Black"/>
          <w:b/>
          <w:color w:val="0067B1"/>
          <w:sz w:val="40"/>
        </w:rPr>
        <w:t>,</w:t>
      </w:r>
      <w:r>
        <w:rPr>
          <w:rFonts w:ascii="Theinhardt Black"/>
          <w:b/>
          <w:color w:val="0067B1"/>
          <w:spacing w:val="-44"/>
          <w:sz w:val="40"/>
        </w:rPr>
        <w:t> </w:t>
      </w:r>
      <w:r>
        <w:rPr>
          <w:rFonts w:ascii="Theinhardt Black"/>
          <w:b/>
          <w:color w:val="0067B1"/>
          <w:spacing w:val="-10"/>
          <w:sz w:val="40"/>
        </w:rPr>
        <w:t>370</w:t>
      </w:r>
      <w:r>
        <w:rPr>
          <w:rFonts w:ascii="Theinhardt Black"/>
          <w:b/>
          <w:color w:val="0067B1"/>
          <w:sz w:val="40"/>
        </w:rPr>
        <w:t>0</w:t>
      </w:r>
      <w:r>
        <w:rPr>
          <w:rFonts w:ascii="Theinhardt Black"/>
          <w:b/>
          <w:color w:val="0067B1"/>
          <w:spacing w:val="-20"/>
          <w:sz w:val="40"/>
        </w:rPr>
        <w:t> </w:t>
      </w:r>
      <w:r>
        <w:rPr>
          <w:rFonts w:ascii="Theinhardt Black"/>
          <w:b/>
          <w:color w:val="0067B1"/>
          <w:spacing w:val="-8"/>
          <w:sz w:val="40"/>
        </w:rPr>
        <w:t>Spi</w:t>
      </w:r>
      <w:r>
        <w:rPr>
          <w:rFonts w:ascii="Theinhardt Black"/>
          <w:b/>
          <w:color w:val="0067B1"/>
          <w:spacing w:val="-6"/>
          <w:sz w:val="40"/>
        </w:rPr>
        <w:t>e</w:t>
      </w:r>
      <w:r>
        <w:rPr>
          <w:rFonts w:ascii="Theinhardt Black"/>
          <w:b/>
          <w:color w:val="0067B1"/>
          <w:spacing w:val="10"/>
          <w:sz w:val="40"/>
        </w:rPr>
        <w:t>z</w:t>
      </w:r>
      <w:r>
        <w:rPr>
          <w:rFonts w:ascii="Theinhardt Black"/>
          <w:b/>
          <w:color w:val="0067B1"/>
          <w:sz w:val="40"/>
        </w:rPr>
        <w:t>/</w:t>
      </w:r>
      <w:r>
        <w:rPr>
          <w:rFonts w:ascii="Theinhardt Black"/>
          <w:b/>
          <w:color w:val="0067B1"/>
          <w:spacing w:val="-12"/>
          <w:sz w:val="40"/>
        </w:rPr>
        <w:t>B</w:t>
      </w:r>
      <w:r>
        <w:rPr>
          <w:rFonts w:ascii="Theinhardt Black"/>
          <w:b/>
          <w:color w:val="0067B1"/>
          <w:sz w:val="40"/>
        </w:rPr>
        <w:t>E</w:t>
      </w:r>
      <w:r>
        <w:rPr>
          <w:rFonts w:ascii="Theinhardt Black"/>
          <w:sz w:val="40"/>
        </w:rPr>
      </w:r>
    </w:p>
    <w:p>
      <w:pPr>
        <w:spacing w:line="240" w:lineRule="auto" w:before="11"/>
        <w:rPr>
          <w:rFonts w:ascii="Theinhardt Black" w:hAnsi="Theinhardt Black" w:cs="Theinhardt Black" w:eastAsia="Theinhardt Black"/>
          <w:b/>
          <w:bCs/>
          <w:sz w:val="23"/>
          <w:szCs w:val="23"/>
        </w:rPr>
      </w:pPr>
    </w:p>
    <w:p>
      <w:pPr>
        <w:spacing w:after="0" w:line="240" w:lineRule="auto"/>
        <w:rPr>
          <w:rFonts w:ascii="Theinhardt Black" w:hAnsi="Theinhardt Black" w:cs="Theinhardt Black" w:eastAsia="Theinhardt Black"/>
          <w:sz w:val="23"/>
          <w:szCs w:val="23"/>
        </w:rPr>
        <w:sectPr>
          <w:type w:val="continuous"/>
          <w:pgSz w:w="12250" w:h="17180"/>
          <w:pgMar w:top="1000" w:bottom="280" w:left="920" w:right="620"/>
        </w:sectPr>
      </w:pPr>
    </w:p>
    <w:p>
      <w:pPr>
        <w:pStyle w:val="BodyText"/>
        <w:spacing w:line="230" w:lineRule="exact" w:before="52"/>
        <w:ind w:right="0"/>
        <w:jc w:val="both"/>
      </w:pPr>
      <w:r>
        <w:rPr>
          <w:color w:val="231F20"/>
        </w:rPr>
        <w:t>Um</w:t>
      </w:r>
      <w:r>
        <w:rPr>
          <w:color w:val="231F20"/>
          <w:spacing w:val="-12"/>
        </w:rPr>
        <w:t> </w:t>
      </w:r>
      <w:r>
        <w:rPr>
          <w:color w:val="231F20"/>
        </w:rPr>
        <w:t>eine</w:t>
      </w:r>
      <w:r>
        <w:rPr>
          <w:color w:val="231F20"/>
          <w:spacing w:val="-12"/>
        </w:rPr>
        <w:t> </w:t>
      </w:r>
      <w:r>
        <w:rPr>
          <w:color w:val="231F20"/>
          <w:spacing w:val="-2"/>
        </w:rPr>
        <w:t>PV-Anlage</w:t>
      </w:r>
      <w:r>
        <w:rPr>
          <w:color w:val="231F20"/>
          <w:spacing w:val="-12"/>
        </w:rPr>
        <w:t> </w:t>
      </w:r>
      <w:r>
        <w:rPr>
          <w:color w:val="231F20"/>
        </w:rPr>
        <w:t>auf</w:t>
      </w:r>
      <w:r>
        <w:rPr>
          <w:color w:val="231F20"/>
          <w:spacing w:val="-12"/>
        </w:rPr>
        <w:t> </w:t>
      </w:r>
      <w:r>
        <w:rPr>
          <w:color w:val="231F20"/>
        </w:rPr>
        <w:t>dem</w:t>
      </w:r>
      <w:r>
        <w:rPr>
          <w:color w:val="231F20"/>
          <w:spacing w:val="-12"/>
        </w:rPr>
        <w:t> </w:t>
      </w:r>
      <w:r>
        <w:rPr>
          <w:color w:val="231F20"/>
        </w:rPr>
        <w:t>Dach</w:t>
      </w:r>
      <w:r>
        <w:rPr>
          <w:color w:val="231F20"/>
          <w:spacing w:val="-12"/>
        </w:rPr>
        <w:t> </w:t>
      </w:r>
      <w:r>
        <w:rPr>
          <w:color w:val="231F20"/>
        </w:rPr>
        <w:t>des</w:t>
      </w:r>
      <w:r>
        <w:rPr>
          <w:color w:val="231F20"/>
          <w:spacing w:val="-12"/>
        </w:rPr>
        <w:t> </w:t>
      </w:r>
      <w:r>
        <w:rPr>
          <w:color w:val="231F20"/>
          <w:spacing w:val="-1"/>
        </w:rPr>
        <w:t>Ober-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stufenschulhauses</w:t>
      </w:r>
      <w:r>
        <w:rPr>
          <w:color w:val="231F20"/>
          <w:spacing w:val="3"/>
        </w:rPr>
        <w:t> </w:t>
      </w:r>
      <w:r>
        <w:rPr>
          <w:color w:val="231F20"/>
          <w:spacing w:val="-1"/>
        </w:rPr>
        <w:t>Längenstein</w:t>
      </w:r>
      <w:r>
        <w:rPr>
          <w:color w:val="231F20"/>
          <w:spacing w:val="3"/>
        </w:rPr>
        <w:t> </w:t>
      </w:r>
      <w:r>
        <w:rPr>
          <w:color w:val="231F20"/>
        </w:rPr>
        <w:t>zu</w:t>
      </w:r>
      <w:r>
        <w:rPr>
          <w:color w:val="231F20"/>
          <w:spacing w:val="3"/>
        </w:rPr>
        <w:t> </w:t>
      </w:r>
      <w:r>
        <w:rPr>
          <w:color w:val="231F20"/>
        </w:rPr>
        <w:t>installie-</w:t>
      </w:r>
      <w:r>
        <w:rPr>
          <w:color w:val="231F20"/>
          <w:spacing w:val="45"/>
        </w:rPr>
        <w:t> </w:t>
      </w:r>
      <w:r>
        <w:rPr>
          <w:color w:val="231F20"/>
          <w:spacing w:val="-2"/>
        </w:rPr>
        <w:t>ren,</w:t>
      </w:r>
      <w:r>
        <w:rPr>
          <w:color w:val="231F20"/>
          <w:spacing w:val="12"/>
        </w:rPr>
        <w:t> </w:t>
      </w:r>
      <w:r>
        <w:rPr>
          <w:color w:val="231F20"/>
          <w:spacing w:val="-2"/>
        </w:rPr>
        <w:t>wurde</w:t>
      </w:r>
      <w:r>
        <w:rPr>
          <w:color w:val="231F20"/>
          <w:spacing w:val="23"/>
        </w:rPr>
        <w:t> </w:t>
      </w:r>
      <w:r>
        <w:rPr>
          <w:color w:val="231F20"/>
        </w:rPr>
        <w:t>die</w:t>
      </w:r>
      <w:r>
        <w:rPr>
          <w:color w:val="231F20"/>
          <w:spacing w:val="23"/>
        </w:rPr>
        <w:t> </w:t>
      </w:r>
      <w:r>
        <w:rPr>
          <w:color w:val="231F20"/>
        </w:rPr>
        <w:t>Genossenschaft</w:t>
      </w:r>
      <w:r>
        <w:rPr>
          <w:color w:val="231F20"/>
          <w:spacing w:val="23"/>
        </w:rPr>
        <w:t> </w:t>
      </w:r>
      <w:r>
        <w:rPr>
          <w:color w:val="231F20"/>
        </w:rPr>
        <w:t>SpiezSolar</w:t>
      </w:r>
      <w:r>
        <w:rPr>
          <w:color w:val="231F20"/>
          <w:spacing w:val="24"/>
        </w:rPr>
        <w:t> </w:t>
      </w:r>
      <w:r>
        <w:rPr>
          <w:color w:val="231F20"/>
        </w:rPr>
        <w:t>im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Jahre</w:t>
      </w:r>
      <w:r>
        <w:rPr>
          <w:color w:val="231F20"/>
          <w:spacing w:val="20"/>
        </w:rPr>
        <w:t> </w:t>
      </w:r>
      <w:r>
        <w:rPr>
          <w:color w:val="231F20"/>
        </w:rPr>
        <w:t>1999</w:t>
      </w:r>
      <w:r>
        <w:rPr>
          <w:color w:val="231F20"/>
          <w:spacing w:val="20"/>
        </w:rPr>
        <w:t> </w:t>
      </w:r>
      <w:r>
        <w:rPr>
          <w:color w:val="231F20"/>
        </w:rPr>
        <w:t>gegründet.</w:t>
      </w:r>
      <w:r>
        <w:rPr>
          <w:color w:val="231F20"/>
          <w:spacing w:val="9"/>
        </w:rPr>
        <w:t> </w:t>
      </w:r>
      <w:r>
        <w:rPr>
          <w:color w:val="231F20"/>
        </w:rPr>
        <w:t>2012</w:t>
      </w:r>
      <w:r>
        <w:rPr>
          <w:color w:val="231F20"/>
          <w:spacing w:val="20"/>
        </w:rPr>
        <w:t> </w:t>
      </w:r>
      <w:r>
        <w:rPr>
          <w:color w:val="231F20"/>
          <w:spacing w:val="-2"/>
        </w:rPr>
        <w:t>wurde</w:t>
      </w:r>
      <w:r>
        <w:rPr>
          <w:color w:val="231F20"/>
          <w:spacing w:val="22"/>
        </w:rPr>
        <w:t> </w:t>
      </w:r>
      <w:r>
        <w:rPr>
          <w:color w:val="231F20"/>
        </w:rPr>
        <w:t>eine</w:t>
      </w:r>
      <w:r>
        <w:rPr>
          <w:color w:val="231F20"/>
          <w:spacing w:val="11"/>
        </w:rPr>
        <w:t> </w:t>
      </w:r>
      <w:r>
        <w:rPr>
          <w:color w:val="231F20"/>
          <w:spacing w:val="-1"/>
        </w:rPr>
        <w:t>weitere</w:t>
      </w:r>
      <w:r>
        <w:rPr>
          <w:color w:val="231F20"/>
          <w:spacing w:val="11"/>
        </w:rPr>
        <w:t> </w:t>
      </w:r>
      <w:r>
        <w:rPr>
          <w:color w:val="231F20"/>
          <w:spacing w:val="-2"/>
        </w:rPr>
        <w:t>PV-Anlage</w:t>
      </w:r>
      <w:r>
        <w:rPr>
          <w:color w:val="231F20"/>
          <w:spacing w:val="11"/>
        </w:rPr>
        <w:t> </w:t>
      </w:r>
      <w:r>
        <w:rPr>
          <w:color w:val="231F20"/>
        </w:rPr>
        <w:t>auf</w:t>
      </w:r>
      <w:r>
        <w:rPr>
          <w:color w:val="231F20"/>
          <w:spacing w:val="11"/>
        </w:rPr>
        <w:t> </w:t>
      </w:r>
      <w:r>
        <w:rPr>
          <w:color w:val="231F20"/>
        </w:rPr>
        <w:t>dem</w:t>
      </w:r>
      <w:r>
        <w:rPr>
          <w:color w:val="231F20"/>
          <w:spacing w:val="11"/>
        </w:rPr>
        <w:t> </w:t>
      </w:r>
      <w:r>
        <w:rPr>
          <w:color w:val="231F20"/>
        </w:rPr>
        <w:t>Indust-</w:t>
      </w:r>
      <w:r>
        <w:rPr>
          <w:color w:val="231F20"/>
          <w:spacing w:val="30"/>
        </w:rPr>
        <w:t> </w:t>
      </w:r>
      <w:r>
        <w:rPr>
          <w:color w:val="231F20"/>
        </w:rPr>
        <w:t>riegebäude</w:t>
      </w:r>
      <w:r>
        <w:rPr>
          <w:color w:val="231F20"/>
          <w:spacing w:val="22"/>
        </w:rPr>
        <w:t> </w:t>
      </w:r>
      <w:r>
        <w:rPr>
          <w:color w:val="231F20"/>
        </w:rPr>
        <w:t>der</w:t>
      </w:r>
      <w:r>
        <w:rPr>
          <w:color w:val="231F20"/>
          <w:spacing w:val="22"/>
        </w:rPr>
        <w:t> </w:t>
      </w:r>
      <w:r>
        <w:rPr>
          <w:color w:val="231F20"/>
          <w:spacing w:val="-1"/>
        </w:rPr>
        <w:t>Garage</w:t>
      </w:r>
      <w:r>
        <w:rPr>
          <w:color w:val="231F20"/>
          <w:spacing w:val="22"/>
        </w:rPr>
        <w:t> </w:t>
      </w:r>
      <w:r>
        <w:rPr>
          <w:color w:val="231F20"/>
        </w:rPr>
        <w:t>Schneiter</w:t>
      </w:r>
      <w:r>
        <w:rPr>
          <w:color w:val="231F20"/>
          <w:spacing w:val="22"/>
        </w:rPr>
        <w:t> </w:t>
      </w:r>
      <w:r>
        <w:rPr>
          <w:color w:val="231F20"/>
        </w:rPr>
        <w:t>in</w:t>
      </w:r>
      <w:r>
        <w:rPr>
          <w:color w:val="231F20"/>
          <w:spacing w:val="22"/>
        </w:rPr>
        <w:t> </w:t>
      </w:r>
      <w:r>
        <w:rPr>
          <w:color w:val="231F20"/>
        </w:rPr>
        <w:t>Spiez</w:t>
      </w:r>
      <w:r>
        <w:rPr>
          <w:color w:val="231F20"/>
          <w:spacing w:val="28"/>
        </w:rPr>
        <w:t> </w:t>
      </w:r>
      <w:r>
        <w:rPr>
          <w:color w:val="231F20"/>
        </w:rPr>
        <w:t>mit</w:t>
      </w:r>
      <w:r>
        <w:rPr>
          <w:color w:val="231F20"/>
          <w:spacing w:val="14"/>
        </w:rPr>
        <w:t> </w:t>
      </w:r>
      <w:r>
        <w:rPr>
          <w:color w:val="231F20"/>
        </w:rPr>
        <w:t>einer</w:t>
      </w:r>
      <w:r>
        <w:rPr>
          <w:color w:val="231F20"/>
          <w:spacing w:val="14"/>
        </w:rPr>
        <w:t> </w:t>
      </w:r>
      <w:r>
        <w:rPr>
          <w:color w:val="231F20"/>
          <w:spacing w:val="-1"/>
        </w:rPr>
        <w:t>Leistung</w:t>
      </w:r>
      <w:r>
        <w:rPr>
          <w:color w:val="231F20"/>
          <w:spacing w:val="14"/>
        </w:rPr>
        <w:t> </w:t>
      </w:r>
      <w:r>
        <w:rPr>
          <w:color w:val="231F20"/>
        </w:rPr>
        <w:t>von</w:t>
      </w:r>
      <w:r>
        <w:rPr>
          <w:color w:val="231F20"/>
          <w:spacing w:val="14"/>
        </w:rPr>
        <w:t> </w:t>
      </w:r>
      <w:r>
        <w:rPr>
          <w:color w:val="231F20"/>
        </w:rPr>
        <w:t>30</w:t>
      </w:r>
      <w:r>
        <w:rPr>
          <w:color w:val="231F20"/>
          <w:spacing w:val="14"/>
        </w:rPr>
        <w:t> </w:t>
      </w:r>
      <w:r>
        <w:rPr>
          <w:color w:val="231F20"/>
        </w:rPr>
        <w:t>kW</w:t>
      </w:r>
      <w:r>
        <w:rPr>
          <w:color w:val="231F20"/>
          <w:spacing w:val="14"/>
        </w:rPr>
        <w:t> </w:t>
      </w:r>
      <w:r>
        <w:rPr>
          <w:color w:val="231F20"/>
        </w:rPr>
        <w:t>realisiert.</w:t>
      </w:r>
      <w:r>
        <w:rPr>
          <w:color w:val="231F20"/>
          <w:spacing w:val="3"/>
        </w:rPr>
        <w:t> </w:t>
      </w:r>
      <w:r>
        <w:rPr>
          <w:color w:val="231F20"/>
        </w:rPr>
        <w:t>Es</w:t>
      </w:r>
      <w:r>
        <w:rPr>
          <w:color w:val="231F20"/>
          <w:spacing w:val="27"/>
        </w:rPr>
        <w:t> </w:t>
      </w:r>
      <w:r>
        <w:rPr>
          <w:color w:val="231F20"/>
          <w:spacing w:val="-1"/>
        </w:rPr>
        <w:t>folgte</w:t>
      </w:r>
      <w:r>
        <w:rPr>
          <w:color w:val="231F20"/>
          <w:spacing w:val="-9"/>
        </w:rPr>
        <w:t> </w:t>
      </w:r>
      <w:r>
        <w:rPr>
          <w:color w:val="231F20"/>
        </w:rPr>
        <w:t>eine</w:t>
      </w:r>
      <w:r>
        <w:rPr>
          <w:color w:val="231F20"/>
          <w:spacing w:val="-8"/>
        </w:rPr>
        <w:t> </w:t>
      </w:r>
      <w:r>
        <w:rPr>
          <w:color w:val="231F20"/>
        </w:rPr>
        <w:t>74</w:t>
      </w:r>
      <w:r>
        <w:rPr>
          <w:color w:val="231F20"/>
          <w:spacing w:val="-8"/>
        </w:rPr>
        <w:t> </w:t>
      </w:r>
      <w:r>
        <w:rPr>
          <w:color w:val="231F20"/>
        </w:rPr>
        <w:t>kW</w:t>
      </w:r>
      <w:r>
        <w:rPr>
          <w:color w:val="231F20"/>
          <w:spacing w:val="-9"/>
        </w:rPr>
        <w:t> </w:t>
      </w:r>
      <w:r>
        <w:rPr>
          <w:color w:val="231F20"/>
          <w:spacing w:val="-1"/>
        </w:rPr>
        <w:t>starke</w:t>
      </w:r>
      <w:r>
        <w:rPr>
          <w:color w:val="231F20"/>
          <w:spacing w:val="-8"/>
        </w:rPr>
        <w:t> </w:t>
      </w:r>
      <w:r>
        <w:rPr>
          <w:color w:val="231F20"/>
          <w:spacing w:val="-1"/>
        </w:rPr>
        <w:t>PV-Dachanlage</w:t>
      </w:r>
      <w:r>
        <w:rPr>
          <w:color w:val="231F20"/>
          <w:spacing w:val="-8"/>
        </w:rPr>
        <w:t> </w:t>
      </w:r>
      <w:r>
        <w:rPr>
          <w:color w:val="231F20"/>
        </w:rPr>
        <w:t>auf</w:t>
      </w:r>
      <w:r>
        <w:rPr>
          <w:color w:val="231F20"/>
          <w:spacing w:val="21"/>
        </w:rPr>
        <w:t> </w:t>
      </w:r>
      <w:r>
        <w:rPr>
          <w:color w:val="231F20"/>
        </w:rPr>
        <w:t>der</w:t>
      </w:r>
      <w:r>
        <w:rPr>
          <w:color w:val="231F20"/>
          <w:spacing w:val="21"/>
        </w:rPr>
        <w:t> </w:t>
      </w:r>
      <w:r>
        <w:rPr>
          <w:color w:val="231F20"/>
        </w:rPr>
        <w:t>neu</w:t>
      </w:r>
      <w:r>
        <w:rPr>
          <w:color w:val="231F20"/>
          <w:spacing w:val="21"/>
        </w:rPr>
        <w:t> </w:t>
      </w:r>
      <w:r>
        <w:rPr>
          <w:color w:val="231F20"/>
        </w:rPr>
        <w:t>gebauten</w:t>
      </w:r>
      <w:r>
        <w:rPr>
          <w:color w:val="231F20"/>
          <w:spacing w:val="21"/>
        </w:rPr>
        <w:t> </w:t>
      </w:r>
      <w:r>
        <w:rPr>
          <w:color w:val="231F20"/>
        </w:rPr>
        <w:t>Bibliothek.</w:t>
      </w:r>
      <w:r>
        <w:rPr>
          <w:color w:val="231F20"/>
          <w:spacing w:val="10"/>
        </w:rPr>
        <w:t> </w:t>
      </w:r>
      <w:r>
        <w:rPr>
          <w:color w:val="231F20"/>
          <w:spacing w:val="-1"/>
        </w:rPr>
        <w:t>Diese</w:t>
      </w:r>
      <w:r>
        <w:rPr>
          <w:color w:val="231F20"/>
          <w:spacing w:val="21"/>
        </w:rPr>
        <w:t> </w:t>
      </w:r>
      <w:r>
        <w:rPr>
          <w:color w:val="231F20"/>
          <w:spacing w:val="-2"/>
        </w:rPr>
        <w:t>wurde</w:t>
      </w:r>
      <w:r>
        <w:rPr>
          <w:color w:val="231F20"/>
          <w:spacing w:val="26"/>
        </w:rPr>
        <w:t> </w:t>
      </w:r>
      <w:r>
        <w:rPr>
          <w:color w:val="231F20"/>
        </w:rPr>
        <w:t>2016</w:t>
      </w:r>
      <w:r>
        <w:rPr>
          <w:color w:val="231F20"/>
          <w:spacing w:val="13"/>
        </w:rPr>
        <w:t> </w:t>
      </w:r>
      <w:r>
        <w:rPr>
          <w:color w:val="231F20"/>
        </w:rPr>
        <w:t>mit</w:t>
      </w:r>
      <w:r>
        <w:rPr>
          <w:color w:val="231F20"/>
          <w:spacing w:val="13"/>
        </w:rPr>
        <w:t> </w:t>
      </w:r>
      <w:r>
        <w:rPr>
          <w:color w:val="231F20"/>
        </w:rPr>
        <w:t>dem</w:t>
      </w:r>
      <w:r>
        <w:rPr>
          <w:color w:val="231F20"/>
          <w:spacing w:val="13"/>
        </w:rPr>
        <w:t> </w:t>
      </w:r>
      <w:r>
        <w:rPr>
          <w:color w:val="231F20"/>
        </w:rPr>
        <w:t>ZURICH</w:t>
      </w:r>
      <w:r>
        <w:rPr>
          <w:color w:val="231F20"/>
          <w:spacing w:val="13"/>
        </w:rPr>
        <w:t> </w:t>
      </w:r>
      <w:r>
        <w:rPr>
          <w:color w:val="231F20"/>
          <w:spacing w:val="-1"/>
        </w:rPr>
        <w:t>Klimapreis–Diplom</w:t>
      </w:r>
      <w:r>
        <w:rPr>
          <w:color w:val="231F20"/>
          <w:spacing w:val="24"/>
        </w:rPr>
        <w:t> </w:t>
      </w:r>
      <w:r>
        <w:rPr>
          <w:color w:val="231F20"/>
        </w:rPr>
        <w:t>ausgezeichnet.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31"/>
        </w:rPr>
        <w:t> </w:t>
      </w:r>
      <w:r>
        <w:rPr>
          <w:color w:val="231F20"/>
        </w:rPr>
        <w:t>im</w:t>
      </w:r>
      <w:r>
        <w:rPr>
          <w:color w:val="231F20"/>
          <w:spacing w:val="32"/>
        </w:rPr>
        <w:t> </w:t>
      </w:r>
      <w:r>
        <w:rPr>
          <w:color w:val="231F20"/>
        </w:rPr>
        <w:t>Jahr</w:t>
      </w:r>
      <w:r>
        <w:rPr>
          <w:color w:val="231F20"/>
          <w:spacing w:val="31"/>
        </w:rPr>
        <w:t> </w:t>
      </w:r>
      <w:r>
        <w:rPr>
          <w:color w:val="231F20"/>
        </w:rPr>
        <w:t>2017</w:t>
      </w:r>
      <w:r>
        <w:rPr>
          <w:color w:val="231F20"/>
          <w:spacing w:val="32"/>
        </w:rPr>
        <w:t> </w:t>
      </w:r>
      <w:r>
        <w:rPr>
          <w:color w:val="231F20"/>
        </w:rPr>
        <w:t>erstellte</w:t>
      </w:r>
      <w:r>
        <w:rPr>
          <w:color w:val="231F20"/>
          <w:spacing w:val="23"/>
        </w:rPr>
        <w:t> </w:t>
      </w:r>
      <w:r>
        <w:rPr>
          <w:color w:val="231F20"/>
          <w:spacing w:val="-2"/>
        </w:rPr>
        <w:t>PV-Anlage</w:t>
      </w:r>
      <w:r>
        <w:rPr>
          <w:color w:val="231F20"/>
          <w:spacing w:val="23"/>
        </w:rPr>
        <w:t> </w:t>
      </w:r>
      <w:r>
        <w:rPr>
          <w:color w:val="231F20"/>
        </w:rPr>
        <w:t>auf</w:t>
      </w:r>
      <w:r>
        <w:rPr>
          <w:color w:val="231F20"/>
          <w:spacing w:val="23"/>
        </w:rPr>
        <w:t> </w:t>
      </w:r>
      <w:r>
        <w:rPr>
          <w:color w:val="231F20"/>
        </w:rPr>
        <w:t>dem</w:t>
      </w:r>
      <w:r>
        <w:rPr>
          <w:color w:val="231F20"/>
          <w:spacing w:val="12"/>
        </w:rPr>
        <w:t> </w:t>
      </w:r>
      <w:r>
        <w:rPr>
          <w:color w:val="231F20"/>
          <w:spacing w:val="-3"/>
        </w:rPr>
        <w:t>Vordach</w:t>
      </w:r>
      <w:r>
        <w:rPr>
          <w:color w:val="231F20"/>
          <w:spacing w:val="23"/>
        </w:rPr>
        <w:t> </w:t>
      </w:r>
      <w:r>
        <w:rPr>
          <w:color w:val="231F20"/>
        </w:rPr>
        <w:t>einer</w:t>
      </w:r>
      <w:r>
        <w:rPr>
          <w:color w:val="231F20"/>
          <w:spacing w:val="9"/>
        </w:rPr>
        <w:t> </w:t>
      </w:r>
      <w:r>
        <w:rPr>
          <w:color w:val="231F20"/>
          <w:spacing w:val="-3"/>
        </w:rPr>
        <w:t>Turnhal-</w:t>
      </w:r>
      <w:r>
        <w:rPr>
          <w:color w:val="231F20"/>
          <w:spacing w:val="31"/>
        </w:rPr>
        <w:t> </w:t>
      </w:r>
      <w:r>
        <w:rPr>
          <w:color w:val="231F20"/>
        </w:rPr>
        <w:t>le</w:t>
      </w:r>
      <w:r>
        <w:rPr>
          <w:color w:val="231F20"/>
          <w:spacing w:val="27"/>
        </w:rPr>
        <w:t> </w:t>
      </w:r>
      <w:r>
        <w:rPr>
          <w:color w:val="231F20"/>
        </w:rPr>
        <w:t>überzeugte</w:t>
      </w:r>
      <w:r>
        <w:rPr>
          <w:color w:val="231F20"/>
          <w:spacing w:val="28"/>
        </w:rPr>
        <w:t> </w:t>
      </w:r>
      <w:r>
        <w:rPr>
          <w:color w:val="231F20"/>
        </w:rPr>
        <w:t>die</w:t>
      </w:r>
      <w:r>
        <w:rPr>
          <w:color w:val="231F20"/>
          <w:spacing w:val="27"/>
        </w:rPr>
        <w:t> </w:t>
      </w:r>
      <w:r>
        <w:rPr>
          <w:color w:val="231F20"/>
        </w:rPr>
        <w:t>Gemeinde</w:t>
      </w:r>
      <w:r>
        <w:rPr>
          <w:color w:val="231F20"/>
          <w:spacing w:val="28"/>
        </w:rPr>
        <w:t> </w:t>
      </w:r>
      <w:r>
        <w:rPr>
          <w:color w:val="231F20"/>
        </w:rPr>
        <w:t>Spiez</w:t>
      </w:r>
      <w:r>
        <w:rPr>
          <w:color w:val="231F20"/>
          <w:spacing w:val="28"/>
        </w:rPr>
        <w:t> </w:t>
      </w:r>
      <w:r>
        <w:rPr>
          <w:color w:val="231F20"/>
        </w:rPr>
        <w:t>derart,</w:t>
      </w:r>
      <w:r>
        <w:rPr>
          <w:color w:val="231F20"/>
          <w:spacing w:val="29"/>
        </w:rPr>
        <w:t> </w:t>
      </w:r>
      <w:r>
        <w:rPr>
          <w:color w:val="231F20"/>
        </w:rPr>
        <w:t>dass</w:t>
      </w:r>
      <w:r>
        <w:rPr>
          <w:color w:val="231F20"/>
          <w:spacing w:val="-2"/>
        </w:rPr>
        <w:t> </w:t>
      </w:r>
      <w:r>
        <w:rPr>
          <w:color w:val="231F20"/>
        </w:rPr>
        <w:t>sie</w:t>
      </w:r>
      <w:r>
        <w:rPr>
          <w:color w:val="231F20"/>
          <w:spacing w:val="-2"/>
        </w:rPr>
        <w:t> </w:t>
      </w:r>
      <w:r>
        <w:rPr>
          <w:color w:val="231F20"/>
        </w:rPr>
        <w:t>die</w:t>
      </w:r>
      <w:r>
        <w:rPr>
          <w:color w:val="231F20"/>
          <w:spacing w:val="-2"/>
        </w:rPr>
        <w:t> PV-Anlage </w:t>
      </w:r>
      <w:r>
        <w:rPr>
          <w:color w:val="231F20"/>
        </w:rPr>
        <w:t>der</w:t>
      </w:r>
      <w:r>
        <w:rPr>
          <w:color w:val="231F20"/>
          <w:spacing w:val="-2"/>
        </w:rPr>
        <w:t> </w:t>
      </w:r>
      <w:r>
        <w:rPr>
          <w:color w:val="231F20"/>
        </w:rPr>
        <w:t>Genossenschaft</w:t>
      </w:r>
      <w:r>
        <w:rPr>
          <w:color w:val="231F20"/>
          <w:spacing w:val="21"/>
        </w:rPr>
        <w:t> </w:t>
      </w:r>
      <w:r>
        <w:rPr>
          <w:color w:val="231F20"/>
        </w:rPr>
        <w:t>abkaufte.</w:t>
      </w:r>
      <w:r>
        <w:rPr/>
      </w:r>
    </w:p>
    <w:p>
      <w:pPr>
        <w:pStyle w:val="BodyText"/>
        <w:spacing w:line="230" w:lineRule="exact"/>
        <w:ind w:right="8" w:firstLine="226"/>
        <w:jc w:val="both"/>
      </w:pPr>
      <w:r>
        <w:rPr>
          <w:color w:val="231F20"/>
        </w:rPr>
        <w:t>Seit</w:t>
      </w:r>
      <w:r>
        <w:rPr>
          <w:color w:val="231F20"/>
          <w:spacing w:val="39"/>
        </w:rPr>
        <w:t> </w:t>
      </w:r>
      <w:r>
        <w:rPr>
          <w:color w:val="231F20"/>
        </w:rPr>
        <w:t>2011</w:t>
      </w:r>
      <w:r>
        <w:rPr>
          <w:color w:val="231F20"/>
          <w:spacing w:val="40"/>
        </w:rPr>
        <w:t> </w:t>
      </w:r>
      <w:r>
        <w:rPr>
          <w:color w:val="231F20"/>
        </w:rPr>
        <w:t>führt</w:t>
      </w:r>
      <w:r>
        <w:rPr>
          <w:color w:val="231F20"/>
          <w:spacing w:val="39"/>
        </w:rPr>
        <w:t> </w:t>
      </w:r>
      <w:r>
        <w:rPr>
          <w:color w:val="231F20"/>
        </w:rPr>
        <w:t>die</w:t>
      </w:r>
      <w:r>
        <w:rPr>
          <w:color w:val="231F20"/>
          <w:spacing w:val="40"/>
        </w:rPr>
        <w:t> </w:t>
      </w:r>
      <w:r>
        <w:rPr>
          <w:color w:val="231F20"/>
        </w:rPr>
        <w:t>Genossenschaft</w:t>
      </w:r>
      <w:r>
        <w:rPr>
          <w:color w:val="231F20"/>
          <w:spacing w:val="20"/>
        </w:rPr>
        <w:t> </w:t>
      </w:r>
      <w:r>
        <w:rPr>
          <w:color w:val="231F20"/>
          <w:spacing w:val="-1"/>
        </w:rPr>
        <w:t>Informationsanlässe</w:t>
      </w:r>
      <w:r>
        <w:rPr>
          <w:color w:val="231F20"/>
          <w:spacing w:val="27"/>
        </w:rPr>
        <w:t> </w:t>
      </w:r>
      <w:r>
        <w:rPr>
          <w:color w:val="231F20"/>
        </w:rPr>
        <w:t>und</w:t>
      </w:r>
      <w:r>
        <w:rPr>
          <w:color w:val="231F20"/>
          <w:spacing w:val="28"/>
        </w:rPr>
        <w:t> </w:t>
      </w:r>
      <w:r>
        <w:rPr>
          <w:color w:val="231F20"/>
        </w:rPr>
        <w:t>Beratungen</w:t>
      </w:r>
      <w:r>
        <w:rPr>
          <w:color w:val="231F20"/>
          <w:spacing w:val="27"/>
        </w:rPr>
        <w:t> </w:t>
      </w:r>
      <w:r>
        <w:rPr>
          <w:color w:val="231F20"/>
        </w:rPr>
        <w:t>bei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Privaten</w:t>
      </w:r>
      <w:r>
        <w:rPr>
          <w:color w:val="231F20"/>
          <w:spacing w:val="16"/>
        </w:rPr>
        <w:t> </w:t>
      </w:r>
      <w:r>
        <w:rPr>
          <w:color w:val="231F20"/>
        </w:rPr>
        <w:t>und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Gewerbebetrieben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durch.</w:t>
      </w:r>
      <w:r>
        <w:rPr>
          <w:color w:val="231F20"/>
          <w:spacing w:val="5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39"/>
        </w:rPr>
        <w:t> </w:t>
      </w:r>
      <w:r>
        <w:rPr>
          <w:color w:val="231F20"/>
        </w:rPr>
        <w:t>188</w:t>
      </w:r>
      <w:r>
        <w:rPr>
          <w:color w:val="231F20"/>
          <w:spacing w:val="36"/>
        </w:rPr>
        <w:t> </w:t>
      </w:r>
      <w:r>
        <w:rPr>
          <w:color w:val="231F20"/>
        </w:rPr>
        <w:t>Genossenschafter</w:t>
      </w:r>
      <w:r>
        <w:rPr>
          <w:color w:val="231F20"/>
          <w:spacing w:val="37"/>
        </w:rPr>
        <w:t> </w:t>
      </w:r>
      <w:r>
        <w:rPr>
          <w:color w:val="231F20"/>
          <w:spacing w:val="-1"/>
        </w:rPr>
        <w:t>werden</w:t>
      </w:r>
      <w:r>
        <w:rPr>
          <w:color w:val="231F20"/>
          <w:spacing w:val="36"/>
        </w:rPr>
        <w:t> </w:t>
      </w:r>
      <w:r>
        <w:rPr>
          <w:color w:val="231F20"/>
        </w:rPr>
        <w:t>mit</w:t>
      </w:r>
      <w:r>
        <w:rPr>
          <w:color w:val="231F20"/>
          <w:spacing w:val="37"/>
        </w:rPr>
        <w:t> </w:t>
      </w:r>
      <w:r>
        <w:rPr>
          <w:color w:val="231F20"/>
        </w:rPr>
        <w:t>einem</w:t>
      </w:r>
      <w:r>
        <w:rPr>
          <w:color w:val="231F20"/>
          <w:spacing w:val="24"/>
        </w:rPr>
        <w:t> </w:t>
      </w:r>
      <w:r>
        <w:rPr>
          <w:color w:val="231F20"/>
        </w:rPr>
        <w:t>vierteljährlich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erscheinenden</w:t>
      </w:r>
      <w:r>
        <w:rPr>
          <w:color w:val="231F20"/>
          <w:spacing w:val="26"/>
        </w:rPr>
        <w:t> </w:t>
      </w:r>
      <w:r>
        <w:rPr>
          <w:color w:val="231F20"/>
          <w:spacing w:val="-1"/>
        </w:rPr>
        <w:t>Newsletter</w:t>
      </w:r>
      <w:r>
        <w:rPr>
          <w:color w:val="231F20"/>
          <w:spacing w:val="52"/>
        </w:rPr>
        <w:t> </w:t>
      </w:r>
      <w:r>
        <w:rPr>
          <w:color w:val="231F20"/>
        </w:rPr>
        <w:t>über </w:t>
      </w:r>
      <w:r>
        <w:rPr>
          <w:color w:val="231F20"/>
          <w:spacing w:val="17"/>
        </w:rPr>
        <w:t> </w:t>
      </w:r>
      <w:r>
        <w:rPr>
          <w:color w:val="231F20"/>
        </w:rPr>
        <w:t>die </w:t>
      </w:r>
      <w:r>
        <w:rPr>
          <w:color w:val="231F20"/>
          <w:spacing w:val="17"/>
        </w:rPr>
        <w:t> </w:t>
      </w:r>
      <w:r>
        <w:rPr>
          <w:color w:val="231F20"/>
        </w:rPr>
        <w:t>Aktivitäten </w:t>
      </w:r>
      <w:r>
        <w:rPr>
          <w:color w:val="231F20"/>
          <w:spacing w:val="17"/>
        </w:rPr>
        <w:t> </w:t>
      </w:r>
      <w:r>
        <w:rPr>
          <w:color w:val="231F20"/>
        </w:rPr>
        <w:t>der </w:t>
      </w:r>
      <w:r>
        <w:rPr>
          <w:color w:val="231F20"/>
          <w:spacing w:val="17"/>
        </w:rPr>
        <w:t> </w:t>
      </w:r>
      <w:r>
        <w:rPr>
          <w:color w:val="231F20"/>
        </w:rPr>
        <w:t>Genossenschaft</w:t>
      </w:r>
      <w:r>
        <w:rPr/>
      </w:r>
    </w:p>
    <w:p>
      <w:pPr>
        <w:pStyle w:val="BodyText"/>
        <w:spacing w:line="230" w:lineRule="exact" w:before="52"/>
        <w:ind w:right="8"/>
        <w:jc w:val="both"/>
      </w:pPr>
      <w:r>
        <w:rPr/>
        <w:br w:type="column"/>
      </w:r>
      <w:r>
        <w:rPr>
          <w:color w:val="231F20"/>
        </w:rPr>
        <w:t>und</w:t>
      </w:r>
      <w:r>
        <w:rPr>
          <w:color w:val="231F20"/>
          <w:spacing w:val="8"/>
        </w:rPr>
        <w:t> </w:t>
      </w:r>
      <w:r>
        <w:rPr>
          <w:color w:val="231F20"/>
          <w:spacing w:val="-2"/>
        </w:rPr>
        <w:t>Veränderungen</w:t>
      </w:r>
      <w:r>
        <w:rPr>
          <w:color w:val="231F20"/>
          <w:spacing w:val="19"/>
        </w:rPr>
        <w:t> </w:t>
      </w:r>
      <w:r>
        <w:rPr>
          <w:color w:val="231F20"/>
        </w:rPr>
        <w:t>in</w:t>
      </w:r>
      <w:r>
        <w:rPr>
          <w:color w:val="231F20"/>
          <w:spacing w:val="19"/>
        </w:rPr>
        <w:t> </w:t>
      </w:r>
      <w:r>
        <w:rPr>
          <w:color w:val="231F20"/>
        </w:rPr>
        <w:t>der</w:t>
      </w:r>
      <w:r>
        <w:rPr>
          <w:color w:val="231F20"/>
          <w:spacing w:val="19"/>
        </w:rPr>
        <w:t> </w:t>
      </w:r>
      <w:r>
        <w:rPr>
          <w:color w:val="231F20"/>
          <w:spacing w:val="-1"/>
        </w:rPr>
        <w:t>Solarbranc</w:t>
      </w:r>
      <w:r>
        <w:rPr>
          <w:color w:val="0C1C23"/>
          <w:spacing w:val="-1"/>
        </w:rPr>
        <w:t>he</w:t>
      </w:r>
      <w:r>
        <w:rPr>
          <w:color w:val="0C1C23"/>
          <w:spacing w:val="41"/>
        </w:rPr>
        <w:t> </w:t>
      </w:r>
      <w:r>
        <w:rPr>
          <w:color w:val="231F20"/>
        </w:rPr>
        <w:t>informiert.</w:t>
      </w:r>
      <w:r>
        <w:rPr>
          <w:color w:val="231F20"/>
          <w:spacing w:val="8"/>
        </w:rPr>
        <w:t> </w:t>
      </w:r>
      <w:r>
        <w:rPr>
          <w:color w:val="231F20"/>
        </w:rPr>
        <w:t>Mit</w:t>
      </w:r>
      <w:r>
        <w:rPr>
          <w:color w:val="231F20"/>
          <w:spacing w:val="19"/>
        </w:rPr>
        <w:t> </w:t>
      </w:r>
      <w:r>
        <w:rPr>
          <w:color w:val="231F20"/>
        </w:rPr>
        <w:t>der</w:t>
      </w:r>
      <w:r>
        <w:rPr>
          <w:color w:val="231F20"/>
          <w:spacing w:val="19"/>
        </w:rPr>
        <w:t> </w:t>
      </w:r>
      <w:r>
        <w:rPr>
          <w:color w:val="231F20"/>
        </w:rPr>
        <w:t>«Aktion99»,</w:t>
      </w:r>
      <w:r>
        <w:rPr>
          <w:color w:val="231F20"/>
          <w:spacing w:val="8"/>
        </w:rPr>
        <w:t> </w:t>
      </w:r>
      <w:r>
        <w:rPr>
          <w:color w:val="231F20"/>
        </w:rPr>
        <w:t>bei</w:t>
      </w:r>
      <w:r>
        <w:rPr>
          <w:color w:val="231F20"/>
          <w:spacing w:val="19"/>
        </w:rPr>
        <w:t> </w:t>
      </w:r>
      <w:r>
        <w:rPr>
          <w:color w:val="231F20"/>
        </w:rPr>
        <w:t>der</w:t>
      </w:r>
      <w:r>
        <w:rPr>
          <w:color w:val="231F20"/>
          <w:spacing w:val="19"/>
        </w:rPr>
        <w:t> </w:t>
      </w:r>
      <w:r>
        <w:rPr>
          <w:color w:val="231F20"/>
          <w:spacing w:val="-3"/>
        </w:rPr>
        <w:t>PV-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Anlagen</w:t>
      </w:r>
      <w:r>
        <w:rPr>
          <w:color w:val="231F20"/>
          <w:spacing w:val="45"/>
        </w:rPr>
        <w:t> </w:t>
      </w:r>
      <w:r>
        <w:rPr>
          <w:color w:val="231F20"/>
        </w:rPr>
        <w:t>und</w:t>
      </w:r>
      <w:r>
        <w:rPr>
          <w:color w:val="231F20"/>
          <w:spacing w:val="46"/>
        </w:rPr>
        <w:t> </w:t>
      </w:r>
      <w:r>
        <w:rPr>
          <w:color w:val="231F20"/>
        </w:rPr>
        <w:t>Solarzellen</w:t>
      </w:r>
      <w:r>
        <w:rPr>
          <w:color w:val="231F20"/>
          <w:spacing w:val="45"/>
        </w:rPr>
        <w:t> </w:t>
      </w:r>
      <w:r>
        <w:rPr>
          <w:color w:val="231F20"/>
        </w:rPr>
        <w:t>zu</w:t>
      </w:r>
      <w:r>
        <w:rPr>
          <w:color w:val="231F20"/>
          <w:spacing w:val="46"/>
        </w:rPr>
        <w:t> </w:t>
      </w:r>
      <w:r>
        <w:rPr>
          <w:color w:val="231F20"/>
          <w:spacing w:val="-1"/>
        </w:rPr>
        <w:t>fixen</w:t>
      </w:r>
      <w:r>
        <w:rPr>
          <w:color w:val="231F20"/>
          <w:spacing w:val="46"/>
        </w:rPr>
        <w:t> </w:t>
      </w:r>
      <w:r>
        <w:rPr>
          <w:color w:val="231F20"/>
          <w:spacing w:val="-2"/>
        </w:rPr>
        <w:t>Preisen</w:t>
      </w:r>
      <w:r>
        <w:rPr>
          <w:color w:val="231F20"/>
          <w:spacing w:val="25"/>
        </w:rPr>
        <w:t> </w:t>
      </w:r>
      <w:r>
        <w:rPr>
          <w:color w:val="231F20"/>
          <w:spacing w:val="-1"/>
        </w:rPr>
        <w:t>angeboten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wurden,</w:t>
      </w:r>
      <w:r>
        <w:rPr>
          <w:color w:val="231F20"/>
          <w:spacing w:val="19"/>
        </w:rPr>
        <w:t> </w:t>
      </w:r>
      <w:r>
        <w:rPr>
          <w:color w:val="231F20"/>
        </w:rPr>
        <w:t>stärkte</w:t>
      </w:r>
      <w:r>
        <w:rPr>
          <w:color w:val="231F20"/>
          <w:spacing w:val="30"/>
        </w:rPr>
        <w:t> </w:t>
      </w:r>
      <w:r>
        <w:rPr>
          <w:color w:val="231F20"/>
        </w:rPr>
        <w:t>die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Genossen-</w:t>
      </w:r>
      <w:r>
        <w:rPr>
          <w:color w:val="231F20"/>
          <w:spacing w:val="38"/>
        </w:rPr>
        <w:t> </w:t>
      </w:r>
      <w:r>
        <w:rPr>
          <w:color w:val="231F20"/>
        </w:rPr>
        <w:t>schaft</w:t>
      </w:r>
      <w:r>
        <w:rPr>
          <w:color w:val="231F20"/>
          <w:spacing w:val="28"/>
        </w:rPr>
        <w:t> </w:t>
      </w:r>
      <w:r>
        <w:rPr>
          <w:color w:val="231F20"/>
        </w:rPr>
        <w:t>die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Zusammenarbeit</w:t>
      </w:r>
      <w:r>
        <w:rPr>
          <w:color w:val="231F20"/>
          <w:spacing w:val="28"/>
        </w:rPr>
        <w:t> </w:t>
      </w:r>
      <w:r>
        <w:rPr>
          <w:color w:val="231F20"/>
        </w:rPr>
        <w:t>mit</w:t>
      </w:r>
      <w:r>
        <w:rPr>
          <w:color w:val="231F20"/>
          <w:spacing w:val="29"/>
        </w:rPr>
        <w:t> </w:t>
      </w:r>
      <w:r>
        <w:rPr>
          <w:color w:val="231F20"/>
        </w:rPr>
        <w:t>dem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loka-</w:t>
      </w:r>
      <w:r>
        <w:rPr>
          <w:color w:val="231F20"/>
          <w:spacing w:val="44"/>
        </w:rPr>
        <w:t> </w:t>
      </w:r>
      <w:r>
        <w:rPr>
          <w:color w:val="231F20"/>
        </w:rPr>
        <w:t>len</w:t>
      </w:r>
      <w:r>
        <w:rPr>
          <w:color w:val="231F20"/>
          <w:spacing w:val="16"/>
        </w:rPr>
        <w:t> </w:t>
      </w:r>
      <w:r>
        <w:rPr>
          <w:color w:val="231F20"/>
        </w:rPr>
        <w:t>Solar-</w:t>
      </w:r>
      <w:r>
        <w:rPr>
          <w:color w:val="231F20"/>
          <w:spacing w:val="16"/>
        </w:rPr>
        <w:t> </w:t>
      </w:r>
      <w:r>
        <w:rPr>
          <w:color w:val="231F20"/>
        </w:rPr>
        <w:t>und</w:t>
      </w:r>
      <w:r>
        <w:rPr>
          <w:color w:val="231F20"/>
          <w:spacing w:val="16"/>
        </w:rPr>
        <w:t> </w:t>
      </w:r>
      <w:r>
        <w:rPr>
          <w:color w:val="231F20"/>
          <w:spacing w:val="-1"/>
        </w:rPr>
        <w:t>Energiegewerbe.</w:t>
      </w:r>
      <w:r>
        <w:rPr>
          <w:color w:val="231F20"/>
          <w:spacing w:val="5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16"/>
        </w:rPr>
        <w:t> </w:t>
      </w:r>
      <w:r>
        <w:rPr>
          <w:color w:val="231F20"/>
        </w:rPr>
        <w:t>Aktion</w:t>
      </w:r>
      <w:r>
        <w:rPr>
          <w:color w:val="231F20"/>
          <w:spacing w:val="26"/>
        </w:rPr>
        <w:t> </w:t>
      </w:r>
      <w:r>
        <w:rPr>
          <w:color w:val="231F20"/>
        </w:rPr>
        <w:t>führte</w:t>
      </w:r>
      <w:r>
        <w:rPr>
          <w:color w:val="231F20"/>
          <w:spacing w:val="4"/>
        </w:rPr>
        <w:t> </w:t>
      </w:r>
      <w:r>
        <w:rPr>
          <w:color w:val="231F20"/>
        </w:rPr>
        <w:t>bisher</w:t>
      </w:r>
      <w:r>
        <w:rPr>
          <w:color w:val="231F20"/>
          <w:spacing w:val="4"/>
        </w:rPr>
        <w:t> </w:t>
      </w:r>
      <w:r>
        <w:rPr>
          <w:color w:val="231F20"/>
        </w:rPr>
        <w:t>zum</w:t>
      </w:r>
      <w:r>
        <w:rPr>
          <w:color w:val="231F20"/>
          <w:spacing w:val="4"/>
        </w:rPr>
        <w:t> </w:t>
      </w:r>
      <w:r>
        <w:rPr>
          <w:color w:val="231F20"/>
          <w:spacing w:val="1"/>
        </w:rPr>
        <w:t>Bau</w:t>
      </w:r>
      <w:r>
        <w:rPr>
          <w:color w:val="231F20"/>
          <w:spacing w:val="4"/>
        </w:rPr>
        <w:t> </w:t>
      </w:r>
      <w:r>
        <w:rPr>
          <w:color w:val="231F20"/>
        </w:rPr>
        <w:t>von</w:t>
      </w:r>
      <w:r>
        <w:rPr>
          <w:color w:val="231F20"/>
          <w:spacing w:val="4"/>
        </w:rPr>
        <w:t> </w:t>
      </w:r>
      <w:r>
        <w:rPr>
          <w:color w:val="231F20"/>
        </w:rPr>
        <w:t>12</w:t>
      </w:r>
      <w:r>
        <w:rPr>
          <w:color w:val="231F20"/>
          <w:spacing w:val="4"/>
        </w:rPr>
        <w:t> </w:t>
      </w:r>
      <w:r>
        <w:rPr>
          <w:color w:val="231F20"/>
          <w:spacing w:val="-1"/>
        </w:rPr>
        <w:t>weiteren</w:t>
      </w:r>
      <w:r>
        <w:rPr>
          <w:color w:val="231F20"/>
          <w:spacing w:val="4"/>
        </w:rPr>
        <w:t> </w:t>
      </w:r>
      <w:r>
        <w:rPr>
          <w:color w:val="231F20"/>
          <w:spacing w:val="-3"/>
        </w:rPr>
        <w:t>PV-</w:t>
      </w:r>
      <w:r>
        <w:rPr>
          <w:color w:val="231F20"/>
          <w:spacing w:val="23"/>
        </w:rPr>
        <w:t> </w:t>
      </w:r>
      <w:r>
        <w:rPr>
          <w:color w:val="231F20"/>
          <w:spacing w:val="-1"/>
        </w:rPr>
        <w:t>Anlagen.</w:t>
      </w:r>
      <w:r>
        <w:rPr/>
      </w:r>
    </w:p>
    <w:p>
      <w:pPr>
        <w:pStyle w:val="BodyText"/>
        <w:spacing w:line="230" w:lineRule="exact"/>
        <w:ind w:right="0" w:firstLine="226"/>
        <w:jc w:val="both"/>
      </w:pPr>
      <w:r>
        <w:rPr>
          <w:color w:val="231F20"/>
        </w:rPr>
        <w:t>Über</w:t>
      </w:r>
      <w:r>
        <w:rPr>
          <w:color w:val="231F20"/>
          <w:spacing w:val="30"/>
        </w:rPr>
        <w:t> </w:t>
      </w:r>
      <w:r>
        <w:rPr>
          <w:color w:val="231F20"/>
        </w:rPr>
        <w:t>280</w:t>
      </w:r>
      <w:r>
        <w:rPr>
          <w:color w:val="231F20"/>
          <w:spacing w:val="31"/>
        </w:rPr>
        <w:t> </w:t>
      </w:r>
      <w:r>
        <w:rPr>
          <w:color w:val="231F20"/>
        </w:rPr>
        <w:t>Dächer</w:t>
      </w:r>
      <w:r>
        <w:rPr>
          <w:color w:val="231F20"/>
          <w:spacing w:val="30"/>
        </w:rPr>
        <w:t> </w:t>
      </w:r>
      <w:r>
        <w:rPr>
          <w:color w:val="231F20"/>
        </w:rPr>
        <w:t>der</w:t>
      </w:r>
      <w:r>
        <w:rPr>
          <w:color w:val="231F20"/>
          <w:spacing w:val="31"/>
        </w:rPr>
        <w:t> </w:t>
      </w:r>
      <w:r>
        <w:rPr>
          <w:color w:val="231F20"/>
        </w:rPr>
        <w:t>Gemeinde</w:t>
      </w:r>
      <w:r>
        <w:rPr>
          <w:color w:val="231F20"/>
          <w:spacing w:val="31"/>
        </w:rPr>
        <w:t> </w:t>
      </w:r>
      <w:r>
        <w:rPr>
          <w:color w:val="231F20"/>
        </w:rPr>
        <w:t>Spiez</w:t>
      </w:r>
      <w:r>
        <w:rPr>
          <w:color w:val="231F20"/>
          <w:spacing w:val="25"/>
        </w:rPr>
        <w:t> </w:t>
      </w:r>
      <w:r>
        <w:rPr>
          <w:color w:val="231F20"/>
        </w:rPr>
        <w:t>sind</w:t>
      </w:r>
      <w:r>
        <w:rPr>
          <w:color w:val="231F20"/>
          <w:spacing w:val="29"/>
        </w:rPr>
        <w:t> </w:t>
      </w:r>
      <w:r>
        <w:rPr>
          <w:color w:val="231F20"/>
        </w:rPr>
        <w:t>heute</w:t>
      </w:r>
      <w:r>
        <w:rPr>
          <w:color w:val="231F20"/>
          <w:spacing w:val="30"/>
        </w:rPr>
        <w:t> </w:t>
      </w:r>
      <w:r>
        <w:rPr>
          <w:color w:val="231F20"/>
        </w:rPr>
        <w:t>mit</w:t>
      </w:r>
      <w:r>
        <w:rPr>
          <w:color w:val="231F20"/>
          <w:spacing w:val="29"/>
        </w:rPr>
        <w:t> </w:t>
      </w:r>
      <w:r>
        <w:rPr>
          <w:color w:val="231F20"/>
          <w:spacing w:val="-2"/>
        </w:rPr>
        <w:t>PV-Anlagen</w:t>
      </w:r>
      <w:r>
        <w:rPr>
          <w:color w:val="231F20"/>
          <w:spacing w:val="30"/>
        </w:rPr>
        <w:t> </w:t>
      </w:r>
      <w:r>
        <w:rPr>
          <w:color w:val="231F20"/>
        </w:rPr>
        <w:t>ausgerüstet.</w:t>
      </w:r>
      <w:r>
        <w:rPr>
          <w:color w:val="231F20"/>
          <w:spacing w:val="21"/>
        </w:rPr>
        <w:t> </w:t>
      </w:r>
      <w:r>
        <w:rPr>
          <w:color w:val="231F20"/>
        </w:rPr>
        <w:t>Den</w:t>
      </w:r>
      <w:r>
        <w:rPr>
          <w:color w:val="231F20"/>
          <w:spacing w:val="-4"/>
        </w:rPr>
        <w:t> </w:t>
      </w:r>
      <w:r>
        <w:rPr>
          <w:color w:val="231F20"/>
          <w:spacing w:val="-1"/>
        </w:rPr>
        <w:t>Solarstromanteil</w:t>
      </w:r>
      <w:r>
        <w:rPr>
          <w:color w:val="231F20"/>
          <w:spacing w:val="-4"/>
        </w:rPr>
        <w:t> </w:t>
      </w:r>
      <w:r>
        <w:rPr>
          <w:color w:val="231F20"/>
        </w:rPr>
        <w:t>der</w:t>
      </w:r>
      <w:r>
        <w:rPr>
          <w:color w:val="231F20"/>
          <w:spacing w:val="-4"/>
        </w:rPr>
        <w:t> </w:t>
      </w:r>
      <w:r>
        <w:rPr>
          <w:color w:val="231F20"/>
        </w:rPr>
        <w:t>Gemeinde</w:t>
      </w:r>
      <w:r>
        <w:rPr>
          <w:color w:val="231F20"/>
          <w:spacing w:val="-4"/>
        </w:rPr>
        <w:t> </w:t>
      </w:r>
      <w:r>
        <w:rPr>
          <w:color w:val="231F20"/>
          <w:spacing w:val="1"/>
        </w:rPr>
        <w:t>schätzt</w:t>
      </w:r>
      <w:r>
        <w:rPr>
          <w:color w:val="231F20"/>
          <w:spacing w:val="26"/>
        </w:rPr>
        <w:t> </w:t>
      </w:r>
      <w:r>
        <w:rPr>
          <w:color w:val="231F20"/>
        </w:rPr>
        <w:t>SpiezSolar</w:t>
      </w:r>
      <w:r>
        <w:rPr>
          <w:color w:val="231F20"/>
          <w:spacing w:val="7"/>
        </w:rPr>
        <w:t> </w:t>
      </w:r>
      <w:r>
        <w:rPr>
          <w:color w:val="231F20"/>
        </w:rPr>
        <w:t>auf</w:t>
      </w:r>
      <w:r>
        <w:rPr>
          <w:color w:val="231F20"/>
          <w:spacing w:val="7"/>
        </w:rPr>
        <w:t> </w:t>
      </w:r>
      <w:r>
        <w:rPr>
          <w:color w:val="231F20"/>
        </w:rPr>
        <w:t>etwa</w:t>
      </w:r>
      <w:r>
        <w:rPr>
          <w:color w:val="231F20"/>
          <w:spacing w:val="7"/>
        </w:rPr>
        <w:t> </w:t>
      </w:r>
      <w:r>
        <w:rPr>
          <w:color w:val="231F20"/>
        </w:rPr>
        <w:t>7%.</w:t>
      </w:r>
      <w:r>
        <w:rPr>
          <w:color w:val="231F20"/>
          <w:spacing w:val="44"/>
        </w:rPr>
        <w:t> </w:t>
      </w:r>
      <w:r>
        <w:rPr>
          <w:color w:val="231F20"/>
          <w:spacing w:val="-1"/>
        </w:rPr>
        <w:t>Die</w:t>
      </w:r>
      <w:r>
        <w:rPr>
          <w:color w:val="231F20"/>
          <w:spacing w:val="7"/>
        </w:rPr>
        <w:t> </w:t>
      </w:r>
      <w:r>
        <w:rPr>
          <w:color w:val="231F20"/>
          <w:spacing w:val="-1"/>
        </w:rPr>
        <w:t>Genossen-</w:t>
      </w:r>
      <w:r>
        <w:rPr>
          <w:color w:val="231F20"/>
          <w:spacing w:val="24"/>
        </w:rPr>
        <w:t> </w:t>
      </w:r>
      <w:r>
        <w:rPr>
          <w:color w:val="231F20"/>
        </w:rPr>
        <w:t>schaft</w:t>
      </w:r>
      <w:r>
        <w:rPr>
          <w:color w:val="231F20"/>
          <w:spacing w:val="5"/>
        </w:rPr>
        <w:t> </w:t>
      </w:r>
      <w:r>
        <w:rPr>
          <w:color w:val="231F20"/>
          <w:spacing w:val="-1"/>
        </w:rPr>
        <w:t>strebt</w:t>
      </w:r>
      <w:r>
        <w:rPr>
          <w:color w:val="231F20"/>
          <w:spacing w:val="5"/>
        </w:rPr>
        <w:t> </w:t>
      </w:r>
      <w:r>
        <w:rPr>
          <w:color w:val="231F20"/>
          <w:spacing w:val="-1"/>
        </w:rPr>
        <w:t>nun</w:t>
      </w:r>
      <w:r>
        <w:rPr>
          <w:color w:val="231F20"/>
          <w:spacing w:val="5"/>
        </w:rPr>
        <w:t> </w:t>
      </w:r>
      <w:r>
        <w:rPr>
          <w:color w:val="231F20"/>
          <w:spacing w:val="-1"/>
        </w:rPr>
        <w:t>an,</w:t>
      </w:r>
      <w:r>
        <w:rPr>
          <w:color w:val="231F20"/>
          <w:spacing w:val="42"/>
        </w:rPr>
        <w:t> </w:t>
      </w:r>
      <w:r>
        <w:rPr>
          <w:color w:val="231F20"/>
        </w:rPr>
        <w:t>die</w:t>
      </w:r>
      <w:r>
        <w:rPr>
          <w:color w:val="231F20"/>
          <w:spacing w:val="5"/>
        </w:rPr>
        <w:t> </w:t>
      </w:r>
      <w:r>
        <w:rPr>
          <w:color w:val="231F20"/>
        </w:rPr>
        <w:t>10%</w:t>
      </w:r>
      <w:r>
        <w:rPr>
          <w:color w:val="231F20"/>
          <w:spacing w:val="5"/>
        </w:rPr>
        <w:t> </w:t>
      </w:r>
      <w:r>
        <w:rPr>
          <w:color w:val="231F20"/>
          <w:spacing w:val="-1"/>
        </w:rPr>
        <w:t>Schwelle</w:t>
      </w:r>
      <w:r>
        <w:rPr>
          <w:color w:val="231F20"/>
          <w:spacing w:val="28"/>
        </w:rPr>
        <w:t> </w:t>
      </w:r>
      <w:r>
        <w:rPr>
          <w:color w:val="231F20"/>
        </w:rPr>
        <w:t>möglichst</w:t>
      </w:r>
      <w:r>
        <w:rPr>
          <w:color w:val="231F20"/>
          <w:spacing w:val="24"/>
        </w:rPr>
        <w:t> </w:t>
      </w:r>
      <w:r>
        <w:rPr>
          <w:color w:val="231F20"/>
        </w:rPr>
        <w:t>bald</w:t>
      </w:r>
      <w:r>
        <w:rPr>
          <w:color w:val="231F20"/>
          <w:spacing w:val="24"/>
        </w:rPr>
        <w:t> </w:t>
      </w:r>
      <w:r>
        <w:rPr>
          <w:color w:val="231F20"/>
        </w:rPr>
        <w:t>zu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erreichen.</w:t>
      </w:r>
      <w:r>
        <w:rPr>
          <w:color w:val="231F20"/>
          <w:spacing w:val="13"/>
        </w:rPr>
        <w:t> </w:t>
      </w:r>
      <w:r>
        <w:rPr>
          <w:color w:val="231F20"/>
          <w:spacing w:val="-2"/>
        </w:rPr>
        <w:t>Für</w:t>
      </w:r>
      <w:r>
        <w:rPr>
          <w:color w:val="231F20"/>
          <w:spacing w:val="24"/>
        </w:rPr>
        <w:t> </w:t>
      </w:r>
      <w:r>
        <w:rPr>
          <w:color w:val="231F20"/>
          <w:spacing w:val="-2"/>
        </w:rPr>
        <w:t>ihren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eh-</w:t>
      </w:r>
      <w:r>
        <w:rPr>
          <w:color w:val="231F20"/>
          <w:spacing w:val="24"/>
        </w:rPr>
        <w:t> </w:t>
      </w:r>
      <w:r>
        <w:rPr>
          <w:color w:val="231F20"/>
          <w:spacing w:val="-1"/>
        </w:rPr>
        <w:t>renamtlichen</w:t>
      </w:r>
      <w:r>
        <w:rPr>
          <w:color w:val="231F20"/>
          <w:spacing w:val="45"/>
        </w:rPr>
        <w:t> </w:t>
      </w:r>
      <w:r>
        <w:rPr>
          <w:color w:val="231F20"/>
        </w:rPr>
        <w:t>Einsatz</w:t>
      </w:r>
      <w:r>
        <w:rPr>
          <w:color w:val="231F20"/>
          <w:spacing w:val="46"/>
        </w:rPr>
        <w:t> </w:t>
      </w:r>
      <w:r>
        <w:rPr>
          <w:color w:val="231F20"/>
          <w:spacing w:val="-1"/>
        </w:rPr>
        <w:t>verdient</w:t>
      </w:r>
      <w:r>
        <w:rPr>
          <w:color w:val="231F20"/>
          <w:spacing w:val="45"/>
        </w:rPr>
        <w:t> </w:t>
      </w:r>
      <w:r>
        <w:rPr>
          <w:color w:val="231F20"/>
        </w:rPr>
        <w:t>die</w:t>
      </w:r>
      <w:r>
        <w:rPr>
          <w:color w:val="231F20"/>
          <w:spacing w:val="46"/>
        </w:rPr>
        <w:t> </w:t>
      </w:r>
      <w:r>
        <w:rPr>
          <w:color w:val="231F20"/>
        </w:rPr>
        <w:t>Genos-</w:t>
      </w:r>
      <w:r>
        <w:rPr>
          <w:color w:val="231F20"/>
          <w:spacing w:val="32"/>
        </w:rPr>
        <w:t> </w:t>
      </w:r>
      <w:r>
        <w:rPr>
          <w:color w:val="231F20"/>
        </w:rPr>
        <w:t>senschaft</w:t>
      </w:r>
      <w:r>
        <w:rPr>
          <w:color w:val="231F20"/>
          <w:spacing w:val="19"/>
        </w:rPr>
        <w:t> </w:t>
      </w:r>
      <w:r>
        <w:rPr>
          <w:color w:val="231F20"/>
        </w:rPr>
        <w:t>SpiezSolar</w:t>
      </w:r>
      <w:r>
        <w:rPr>
          <w:color w:val="231F20"/>
          <w:spacing w:val="19"/>
        </w:rPr>
        <w:t> </w:t>
      </w:r>
      <w:r>
        <w:rPr>
          <w:color w:val="231F20"/>
        </w:rPr>
        <w:t>das</w:t>
      </w:r>
      <w:r>
        <w:rPr>
          <w:color w:val="231F20"/>
          <w:spacing w:val="19"/>
        </w:rPr>
        <w:t> </w:t>
      </w:r>
      <w:r>
        <w:rPr>
          <w:color w:val="231F20"/>
          <w:spacing w:val="-1"/>
        </w:rPr>
        <w:t>Schweizer</w:t>
      </w:r>
      <w:r>
        <w:rPr>
          <w:color w:val="231F20"/>
          <w:spacing w:val="19"/>
        </w:rPr>
        <w:t> </w:t>
      </w:r>
      <w:r>
        <w:rPr>
          <w:color w:val="231F20"/>
        </w:rPr>
        <w:t>Solar-</w:t>
      </w:r>
      <w:r>
        <w:rPr>
          <w:color w:val="231F20"/>
          <w:spacing w:val="29"/>
        </w:rPr>
        <w:t> </w:t>
      </w:r>
      <w:r>
        <w:rPr>
          <w:color w:val="231F20"/>
          <w:spacing w:val="-1"/>
        </w:rPr>
        <w:t>preis-Diplom</w:t>
      </w:r>
      <w:r>
        <w:rPr>
          <w:color w:val="231F20"/>
        </w:rPr>
        <w:t> 2018.</w:t>
      </w:r>
      <w:r>
        <w:rPr/>
      </w:r>
    </w:p>
    <w:p>
      <w:pPr>
        <w:spacing w:before="87"/>
        <w:ind w:left="10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/>
        <w:br w:type="column"/>
      </w:r>
      <w:r>
        <w:rPr>
          <w:rFonts w:ascii="Theinhardt Black"/>
          <w:b/>
          <w:color w:val="231F20"/>
          <w:sz w:val="14"/>
        </w:rPr>
        <w:t>Zur </w:t>
      </w:r>
      <w:r>
        <w:rPr>
          <w:rFonts w:ascii="Theinhardt Black"/>
          <w:b/>
          <w:color w:val="231F20"/>
          <w:spacing w:val="2"/>
          <w:sz w:val="14"/>
        </w:rPr>
        <w:t>Genossenschaft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0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before="46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1999</w:t>
      </w:r>
      <w:r>
        <w:rPr>
          <w:rFonts w:ascii="Theinhardt Regular" w:hAnsi="Theinhardt Regular"/>
          <w:color w:val="231F20"/>
          <w:sz w:val="14"/>
        </w:rPr>
        <w:t>:</w:t>
      </w:r>
      <w:r>
        <w:rPr>
          <w:rFonts w:ascii="Theinhardt Regular" w:hAnsi="Theinhardt Regular"/>
          <w:color w:val="231F20"/>
          <w:spacing w:val="-3"/>
          <w:sz w:val="14"/>
        </w:rPr>
        <w:t> </w:t>
      </w:r>
      <w:r>
        <w:rPr>
          <w:rFonts w:ascii="Theinhardt Bold" w:hAnsi="Theinhardt Bold"/>
          <w:b/>
          <w:color w:val="231F20"/>
          <w:spacing w:val="1"/>
          <w:sz w:val="14"/>
        </w:rPr>
        <w:t>Gründung</w:t>
      </w:r>
      <w:r>
        <w:rPr>
          <w:rFonts w:ascii="Theinhardt Bold" w:hAnsi="Theinhardt Bold"/>
          <w:sz w:val="14"/>
        </w:rPr>
      </w:r>
    </w:p>
    <w:p>
      <w:pPr>
        <w:spacing w:before="32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1999</w:t>
      </w:r>
      <w:r>
        <w:rPr>
          <w:rFonts w:ascii="Theinhardt Regular"/>
          <w:color w:val="231F20"/>
          <w:sz w:val="14"/>
        </w:rPr>
        <w:t>: </w:t>
      </w:r>
      <w:r>
        <w:rPr>
          <w:rFonts w:ascii="Theinhardt Regular"/>
          <w:color w:val="231F20"/>
          <w:spacing w:val="1"/>
          <w:sz w:val="14"/>
        </w:rPr>
        <w:t>7.6-kWp-PV-Anlage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auf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Oberstufenzentrum</w:t>
      </w:r>
      <w:r>
        <w:rPr>
          <w:rFonts w:ascii="Theinhardt Regular"/>
          <w:sz w:val="14"/>
        </w:rPr>
      </w:r>
    </w:p>
    <w:p>
      <w:pPr>
        <w:spacing w:line="160" w:lineRule="exact" w:before="39"/>
        <w:ind w:left="100" w:right="125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-2"/>
          <w:sz w:val="14"/>
        </w:rPr>
        <w:t>2011-2013</w:t>
      </w:r>
      <w:r>
        <w:rPr>
          <w:rFonts w:ascii="Theinhardt Regular" w:hAnsi="Theinhardt Regular"/>
          <w:color w:val="231F20"/>
          <w:spacing w:val="-2"/>
          <w:sz w:val="14"/>
        </w:rPr>
        <w:t>:</w:t>
      </w:r>
      <w:r>
        <w:rPr>
          <w:rFonts w:ascii="Theinhardt Regular" w:hAnsi="Theinhardt Regular"/>
          <w:color w:val="231F20"/>
          <w:sz w:val="14"/>
        </w:rPr>
        <w:t> 3 </w:t>
      </w:r>
      <w:r>
        <w:rPr>
          <w:rFonts w:ascii="Theinhardt Regular" w:hAnsi="Theinhardt Regular"/>
          <w:color w:val="231F20"/>
          <w:spacing w:val="2"/>
          <w:sz w:val="14"/>
        </w:rPr>
        <w:t>Informationsanlässe,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-7"/>
          <w:sz w:val="14"/>
        </w:rPr>
        <w:t>110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unentgeltiche</w:t>
      </w:r>
      <w:r>
        <w:rPr>
          <w:rFonts w:ascii="Theinhardt Regular" w:hAnsi="Theinhardt Regular"/>
          <w:color w:val="231F20"/>
          <w:spacing w:val="44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Beratungen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und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Dachabklärungen</w:t>
      </w:r>
      <w:r>
        <w:rPr>
          <w:rFonts w:ascii="Theinhardt Regular" w:hAnsi="Theinhardt Regular"/>
          <w:sz w:val="14"/>
        </w:rPr>
      </w:r>
    </w:p>
    <w:p>
      <w:pPr>
        <w:spacing w:before="49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pacing w:val="-1"/>
          <w:sz w:val="14"/>
        </w:rPr>
        <w:t>2012</w:t>
      </w:r>
      <w:r>
        <w:rPr>
          <w:rFonts w:ascii="Theinhardt Regular"/>
          <w:color w:val="231F20"/>
          <w:spacing w:val="-1"/>
          <w:sz w:val="14"/>
        </w:rPr>
        <w:t>: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30-kWp-PV-Anlage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auf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der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Garage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Schneiter</w:t>
      </w:r>
      <w:r>
        <w:rPr>
          <w:rFonts w:ascii="Theinhardt Regular"/>
          <w:sz w:val="14"/>
        </w:rPr>
      </w:r>
    </w:p>
    <w:p>
      <w:pPr>
        <w:spacing w:before="32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/>
          <w:b/>
          <w:color w:val="231F20"/>
          <w:spacing w:val="-1"/>
          <w:sz w:val="14"/>
        </w:rPr>
        <w:t>2014</w:t>
      </w:r>
      <w:r>
        <w:rPr>
          <w:rFonts w:ascii="Theinhardt Regular"/>
          <w:color w:val="231F20"/>
          <w:spacing w:val="-1"/>
          <w:sz w:val="14"/>
        </w:rPr>
        <w:t>: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74-kWp-PV-Anlage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auf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der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Bibliothek</w:t>
      </w:r>
      <w:r>
        <w:rPr>
          <w:rFonts w:ascii="Theinhardt Regular"/>
          <w:sz w:val="14"/>
        </w:rPr>
      </w:r>
    </w:p>
    <w:p>
      <w:pPr>
        <w:spacing w:line="160" w:lineRule="exact" w:before="39"/>
        <w:ind w:left="100" w:right="91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-2"/>
          <w:sz w:val="14"/>
        </w:rPr>
        <w:t>2017</w:t>
      </w:r>
      <w:r>
        <w:rPr>
          <w:rFonts w:ascii="Theinhardt Regular" w:hAnsi="Theinhardt Regular"/>
          <w:color w:val="231F20"/>
          <w:spacing w:val="-2"/>
          <w:sz w:val="14"/>
        </w:rPr>
        <w:t>: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29.9-kWp-PV-Anlage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auf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dem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Vordach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der</w:t>
      </w:r>
      <w:r>
        <w:rPr>
          <w:rFonts w:ascii="Theinhardt Regular" w:hAnsi="Theinhardt Regular"/>
          <w:color w:val="231F20"/>
          <w:spacing w:val="30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Turnhalle </w:t>
      </w:r>
      <w:r>
        <w:rPr>
          <w:rFonts w:ascii="Theinhardt Regular" w:hAnsi="Theinhardt Regular"/>
          <w:color w:val="231F20"/>
          <w:spacing w:val="1"/>
          <w:sz w:val="14"/>
        </w:rPr>
        <w:t>Dürrenbühl</w:t>
      </w:r>
      <w:r>
        <w:rPr>
          <w:rFonts w:ascii="Theinhardt Regular" w:hAnsi="Theinhardt Regular"/>
          <w:sz w:val="14"/>
        </w:rPr>
      </w:r>
    </w:p>
    <w:p>
      <w:pPr>
        <w:spacing w:before="49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-2"/>
          <w:sz w:val="14"/>
        </w:rPr>
        <w:t>2017</w:t>
      </w:r>
      <w:r>
        <w:rPr>
          <w:rFonts w:ascii="Theinhardt Regular" w:hAnsi="Theinhardt Regular"/>
          <w:color w:val="231F20"/>
          <w:spacing w:val="-2"/>
          <w:sz w:val="14"/>
        </w:rPr>
        <w:t>: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Anlass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«Energiewende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als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Chance»</w:t>
      </w:r>
      <w:r>
        <w:rPr>
          <w:rFonts w:ascii="Theinhardt Regular" w:hAnsi="Theinhardt Regular"/>
          <w:sz w:val="14"/>
        </w:rPr>
      </w:r>
    </w:p>
    <w:p>
      <w:pPr>
        <w:spacing w:line="160" w:lineRule="exact" w:before="39"/>
        <w:ind w:left="100" w:right="91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-2"/>
          <w:sz w:val="14"/>
        </w:rPr>
        <w:t>2017/2018</w:t>
      </w:r>
      <w:r>
        <w:rPr>
          <w:rFonts w:ascii="Theinhardt Regular" w:hAnsi="Theinhardt Regular"/>
          <w:color w:val="231F20"/>
          <w:spacing w:val="-2"/>
          <w:sz w:val="14"/>
        </w:rPr>
        <w:t>: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«Aktion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99»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(Förderung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der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2"/>
          <w:sz w:val="14"/>
        </w:rPr>
        <w:t>Solarenergie</w:t>
      </w:r>
      <w:r>
        <w:rPr>
          <w:rFonts w:ascii="Theinhardt Regular" w:hAnsi="Theinhardt Regular"/>
          <w:color w:val="231F20"/>
          <w:spacing w:val="38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in </w:t>
      </w:r>
      <w:r>
        <w:rPr>
          <w:rFonts w:ascii="Theinhardt Regular" w:hAnsi="Theinhardt Regular"/>
          <w:color w:val="231F20"/>
          <w:spacing w:val="2"/>
          <w:sz w:val="14"/>
        </w:rPr>
        <w:t>Zusammenarbeit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mit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lokalem</w:t>
      </w:r>
      <w:r>
        <w:rPr>
          <w:rFonts w:ascii="Theinhardt Regular" w:hAnsi="Theinhardt Regular"/>
          <w:color w:val="231F20"/>
          <w:sz w:val="14"/>
        </w:rPr>
        <w:t> </w:t>
      </w:r>
      <w:r>
        <w:rPr>
          <w:rFonts w:ascii="Theinhardt Regular" w:hAnsi="Theinhardt Regular"/>
          <w:color w:val="231F20"/>
          <w:spacing w:val="1"/>
          <w:sz w:val="14"/>
        </w:rPr>
        <w:t>Gewerbe)</w:t>
      </w:r>
      <w:r>
        <w:rPr>
          <w:rFonts w:ascii="Theinhardt Regular" w:hAnsi="Theinhardt Regular"/>
          <w:sz w:val="14"/>
        </w:rPr>
      </w:r>
    </w:p>
    <w:p>
      <w:pPr>
        <w:spacing w:before="49"/>
        <w:ind w:left="100" w:right="0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Ca.</w:t>
      </w:r>
      <w:r>
        <w:rPr>
          <w:rFonts w:ascii="Theinhardt Regular"/>
          <w:color w:val="231F20"/>
          <w:sz w:val="14"/>
        </w:rPr>
        <w:t> 2 </w:t>
      </w:r>
      <w:r>
        <w:rPr>
          <w:rFonts w:ascii="Theinhardt Regular"/>
          <w:color w:val="231F20"/>
          <w:spacing w:val="2"/>
          <w:sz w:val="14"/>
        </w:rPr>
        <w:t>Beratungen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vor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3"/>
          <w:sz w:val="14"/>
        </w:rPr>
        <w:t>Ort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pro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Monat</w:t>
      </w:r>
      <w:r>
        <w:rPr>
          <w:rFonts w:ascii="Theinhardt Regular"/>
          <w:sz w:val="14"/>
        </w:rPr>
      </w:r>
    </w:p>
    <w:p>
      <w:pPr>
        <w:spacing w:line="160" w:lineRule="exact" w:before="39"/>
        <w:ind w:left="100" w:right="928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1"/>
          <w:sz w:val="14"/>
        </w:rPr>
        <w:t>Genossenschafter/-innen: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2"/>
          <w:sz w:val="14"/>
        </w:rPr>
        <w:t>188</w:t>
      </w:r>
      <w:r>
        <w:rPr>
          <w:rFonts w:ascii="Theinhardt Regular"/>
          <w:color w:val="231F20"/>
          <w:spacing w:val="24"/>
          <w:sz w:val="14"/>
        </w:rPr>
        <w:t> </w:t>
      </w:r>
      <w:r>
        <w:rPr>
          <w:rFonts w:ascii="Theinhardt Regular"/>
          <w:color w:val="231F20"/>
          <w:spacing w:val="1"/>
          <w:sz w:val="14"/>
        </w:rPr>
        <w:t>Verwaltung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SpiezSolar: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3"/>
          <w:sz w:val="14"/>
        </w:rPr>
        <w:t>10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Personen</w:t>
      </w:r>
      <w:r>
        <w:rPr>
          <w:rFonts w:ascii="Theinhardt Regular"/>
          <w:sz w:val="14"/>
        </w:rPr>
      </w:r>
    </w:p>
    <w:p>
      <w:pPr>
        <w:spacing w:line="240" w:lineRule="auto" w:before="4"/>
        <w:rPr>
          <w:rFonts w:ascii="Theinhardt Regular" w:hAnsi="Theinhardt Regular" w:cs="Theinhardt Regular" w:eastAsia="Theinhardt Regular"/>
          <w:sz w:val="17"/>
          <w:szCs w:val="17"/>
        </w:rPr>
      </w:pPr>
    </w:p>
    <w:p>
      <w:pPr>
        <w:spacing w:before="0"/>
        <w:ind w:left="100" w:right="0" w:firstLine="0"/>
        <w:jc w:val="left"/>
        <w:rPr>
          <w:rFonts w:ascii="Theinhardt Black" w:hAnsi="Theinhardt Black" w:cs="Theinhardt Black" w:eastAsia="Theinhardt Black"/>
          <w:sz w:val="14"/>
          <w:szCs w:val="14"/>
        </w:rPr>
      </w:pPr>
      <w:r>
        <w:rPr>
          <w:rFonts w:ascii="Theinhardt Black"/>
          <w:b/>
          <w:color w:val="231F20"/>
          <w:spacing w:val="1"/>
          <w:sz w:val="14"/>
        </w:rPr>
        <w:t>Kontakt</w:t>
      </w:r>
      <w:r>
        <w:rPr>
          <w:rFonts w:ascii="Theinhardt Black"/>
          <w:sz w:val="14"/>
        </w:rPr>
      </w:r>
    </w:p>
    <w:p>
      <w:pPr>
        <w:spacing w:line="240" w:lineRule="auto" w:before="10"/>
        <w:rPr>
          <w:rFonts w:ascii="Theinhardt Black" w:hAnsi="Theinhardt Black" w:cs="Theinhardt Black" w:eastAsia="Theinhardt Black"/>
          <w:b/>
          <w:bCs/>
          <w:sz w:val="2"/>
          <w:szCs w:val="2"/>
        </w:rPr>
      </w:pPr>
    </w:p>
    <w:p>
      <w:pPr>
        <w:spacing w:line="20" w:lineRule="atLeast"/>
        <w:ind w:left="100" w:right="0" w:firstLine="0"/>
        <w:rPr>
          <w:rFonts w:ascii="Theinhardt Black" w:hAnsi="Theinhardt Black" w:cs="Theinhardt Black" w:eastAsia="Theinhardt Black"/>
          <w:sz w:val="2"/>
          <w:szCs w:val="2"/>
        </w:rPr>
      </w:pPr>
      <w:r>
        <w:rPr>
          <w:rFonts w:ascii="Theinhardt Black" w:hAnsi="Theinhardt Black" w:cs="Theinhardt Black" w:eastAsia="Theinhardt Black"/>
          <w:sz w:val="2"/>
          <w:szCs w:val="2"/>
        </w:rPr>
        <w:pict>
          <v:group style="width:167.25pt;height:.45pt;mso-position-horizontal-relative:char;mso-position-vertical-relative:line" coordorigin="0,0" coordsize="3345,9">
            <v:group style="position:absolute;left:21;top:4;width:3311;height:2" coordorigin="21,4" coordsize="3311,2">
              <v:shape style="position:absolute;left:21;top:4;width:3311;height:2" coordorigin="21,4" coordsize="3311,0" path="m21,4l3332,4e" filled="false" stroked="true" strokeweight=".425pt" strokecolor="#231f20">
                <v:path arrowok="t"/>
                <v:stroke dashstyle="dash"/>
              </v:shape>
            </v:group>
            <v:group style="position:absolute;left:4;top:4;width:2;height:2" coordorigin="4,4" coordsize="2,2">
              <v:shape style="position:absolute;left:4;top:4;width:2;height:2" coordorigin="4,4" coordsize="0,0" path="m4,4l4,4e" filled="false" stroked="true" strokeweight=".425pt" strokecolor="#231f20">
                <v:path arrowok="t"/>
              </v:shape>
            </v:group>
            <v:group style="position:absolute;left:3341;top:4;width:2;height:2" coordorigin="3341,4" coordsize="2,2">
              <v:shape style="position:absolute;left:3341;top:4;width:2;height:2" coordorigin="3341,4" coordsize="0,0" path="m3341,4l3341,4e" filled="false" stroked="true" strokeweight=".425pt" strokecolor="#231f20">
                <v:path arrowok="t"/>
              </v:shape>
            </v:group>
          </v:group>
        </w:pict>
      </w:r>
      <w:r>
        <w:rPr>
          <w:rFonts w:ascii="Theinhardt Black" w:hAnsi="Theinhardt Black" w:cs="Theinhardt Black" w:eastAsia="Theinhardt Black"/>
          <w:sz w:val="2"/>
          <w:szCs w:val="2"/>
        </w:rPr>
      </w:r>
    </w:p>
    <w:p>
      <w:pPr>
        <w:spacing w:line="160" w:lineRule="exact" w:before="74"/>
        <w:ind w:left="100" w:right="1263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Regular"/>
          <w:color w:val="231F20"/>
          <w:spacing w:val="2"/>
          <w:sz w:val="14"/>
        </w:rPr>
        <w:t>Genossenschaft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SpiezSolar</w:t>
      </w:r>
      <w:r>
        <w:rPr>
          <w:rFonts w:ascii="Theinhardt Regular"/>
          <w:color w:val="231F20"/>
          <w:spacing w:val="28"/>
          <w:sz w:val="14"/>
        </w:rPr>
        <w:t> </w:t>
      </w:r>
      <w:r>
        <w:rPr>
          <w:rFonts w:ascii="Theinhardt Regular"/>
          <w:color w:val="231F20"/>
          <w:spacing w:val="2"/>
          <w:sz w:val="14"/>
        </w:rPr>
        <w:t>Postfach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7"/>
          <w:sz w:val="14"/>
        </w:rPr>
        <w:t>311,</w:t>
      </w:r>
      <w:r>
        <w:rPr>
          <w:rFonts w:ascii="Theinhardt Regular"/>
          <w:color w:val="231F20"/>
          <w:sz w:val="14"/>
        </w:rPr>
        <w:t> 3700 </w:t>
      </w:r>
      <w:r>
        <w:rPr>
          <w:rFonts w:ascii="Theinhardt Regular"/>
          <w:color w:val="231F20"/>
          <w:spacing w:val="1"/>
          <w:sz w:val="14"/>
        </w:rPr>
        <w:t>Spiez</w:t>
      </w:r>
      <w:r>
        <w:rPr>
          <w:rFonts w:ascii="Theinhardt Regular"/>
          <w:sz w:val="14"/>
        </w:rPr>
      </w:r>
    </w:p>
    <w:p>
      <w:pPr>
        <w:spacing w:line="160" w:lineRule="exact" w:before="0"/>
        <w:ind w:left="100" w:right="91" w:firstLine="0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/>
        <w:pict>
          <v:group style="position:absolute;margin-left:408.189087pt;margin-top:18.652103pt;width:167.25pt;height:.45pt;mso-position-horizontal-relative:page;mso-position-vertical-relative:paragraph;z-index:1072" coordorigin="8164,373" coordsize="3345,9">
            <v:group style="position:absolute;left:8185;top:377;width:3311;height:2" coordorigin="8185,377" coordsize="3311,2">
              <v:shape style="position:absolute;left:8185;top:377;width:3311;height:2" coordorigin="8185,377" coordsize="3311,0" path="m8185,377l11496,377e" filled="false" stroked="true" strokeweight=".425pt" strokecolor="#231f20">
                <v:path arrowok="t"/>
                <v:stroke dashstyle="dash"/>
              </v:shape>
            </v:group>
            <v:group style="position:absolute;left:8168;top:377;width:2;height:2" coordorigin="8168,377" coordsize="2,2">
              <v:shape style="position:absolute;left:8168;top:377;width:2;height:2" coordorigin="8168,377" coordsize="0,0" path="m8168,377l8168,377e" filled="false" stroked="true" strokeweight=".425pt" strokecolor="#231f20">
                <v:path arrowok="t"/>
              </v:shape>
            </v:group>
            <v:group style="position:absolute;left:11504;top:377;width:2;height:2" coordorigin="11504,377" coordsize="2,2">
              <v:shape style="position:absolute;left:11504;top:377;width:2;height:2" coordorigin="11504,377" coordsize="0,0" path="m11504,377l11504,377e" filled="false" stroked="true" strokeweight=".425pt" strokecolor="#231f20">
                <v:path arrowok="t"/>
              </v:shape>
            </v:group>
            <w10:wrap type="none"/>
          </v:group>
        </w:pict>
      </w:r>
      <w:r>
        <w:rPr>
          <w:rFonts w:ascii="Theinhardt Regular"/>
          <w:color w:val="231F20"/>
          <w:spacing w:val="-2"/>
          <w:sz w:val="14"/>
        </w:rPr>
        <w:t>Tel.</w:t>
      </w:r>
      <w:r>
        <w:rPr>
          <w:rFonts w:ascii="Theinhardt Regular"/>
          <w:color w:val="231F20"/>
          <w:sz w:val="14"/>
        </w:rPr>
        <w:t> 077 </w:t>
      </w:r>
      <w:r>
        <w:rPr>
          <w:rFonts w:ascii="Theinhardt Regular"/>
          <w:color w:val="231F20"/>
          <w:spacing w:val="1"/>
          <w:sz w:val="14"/>
        </w:rPr>
        <w:t>446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22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7"/>
          <w:sz w:val="14"/>
        </w:rPr>
        <w:t>17</w:t>
      </w:r>
      <w:hyperlink r:id="rId5">
        <w:r>
          <w:rPr>
            <w:rFonts w:ascii="Theinhardt Regular"/>
            <w:color w:val="231F20"/>
            <w:spacing w:val="-7"/>
            <w:sz w:val="14"/>
          </w:rPr>
          <w:t>,</w:t>
        </w:r>
        <w:r>
          <w:rPr>
            <w:rFonts w:ascii="Theinhardt Regular"/>
            <w:color w:val="231F20"/>
            <w:sz w:val="14"/>
          </w:rPr>
          <w:t> </w:t>
        </w:r>
        <w:r>
          <w:rPr>
            <w:rFonts w:ascii="Theinhardt Regular"/>
            <w:color w:val="231F20"/>
            <w:spacing w:val="1"/>
            <w:sz w:val="14"/>
          </w:rPr>
          <w:t>info@spiezsolar.ch</w:t>
        </w:r>
      </w:hyperlink>
      <w:r>
        <w:rPr>
          <w:rFonts w:ascii="Theinhardt Regular"/>
          <w:color w:val="231F20"/>
          <w:spacing w:val="32"/>
          <w:sz w:val="14"/>
        </w:rPr>
        <w:t> </w:t>
      </w:r>
      <w:hyperlink r:id="rId6">
        <w:r>
          <w:rPr>
            <w:rFonts w:ascii="Theinhardt Regular"/>
            <w:color w:val="231F20"/>
            <w:spacing w:val="1"/>
            <w:sz w:val="14"/>
          </w:rPr>
          <w:t>www.spiezsolar.ch</w:t>
        </w:r>
        <w:r>
          <w:rPr>
            <w:rFonts w:ascii="Theinhardt Regular"/>
            <w:sz w:val="14"/>
          </w:rPr>
        </w:r>
      </w:hyperlink>
    </w:p>
    <w:p>
      <w:pPr>
        <w:spacing w:after="0" w:line="160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920" w:right="620"/>
          <w:cols w:num="3" w:equalWidth="0">
            <w:col w:w="3456" w:space="115"/>
            <w:col w:w="3457" w:space="115"/>
            <w:col w:w="3567"/>
          </w:cols>
        </w:sectPr>
      </w:pPr>
    </w:p>
    <w:p>
      <w:pPr>
        <w:spacing w:line="240" w:lineRule="auto" w:before="0"/>
        <w:rPr>
          <w:rFonts w:ascii="Theinhardt Regular" w:hAnsi="Theinhardt Regular" w:cs="Theinhardt Regular" w:eastAsia="Theinhardt Regular"/>
          <w:sz w:val="20"/>
          <w:szCs w:val="20"/>
        </w:rPr>
      </w:pPr>
    </w:p>
    <w:p>
      <w:pPr>
        <w:spacing w:line="240" w:lineRule="auto" w:before="7"/>
        <w:rPr>
          <w:rFonts w:ascii="Theinhardt Regular" w:hAnsi="Theinhardt Regular" w:cs="Theinhardt Regular" w:eastAsia="Theinhardt Regular"/>
          <w:sz w:val="11"/>
          <w:szCs w:val="11"/>
        </w:rPr>
      </w:pPr>
    </w:p>
    <w:p>
      <w:pPr>
        <w:pStyle w:val="Heading1"/>
        <w:tabs>
          <w:tab w:pos="3686" w:val="left" w:leader="none"/>
        </w:tabs>
        <w:spacing w:line="200" w:lineRule="atLeast"/>
        <w:ind w:right="0"/>
        <w:jc w:val="left"/>
      </w:pPr>
      <w:r>
        <w:rPr>
          <w:position w:val="1"/>
        </w:rPr>
        <w:drawing>
          <wp:inline distT="0" distB="0" distL="0" distR="0">
            <wp:extent cx="2131904" cy="1246632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1904" cy="1246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position w:val="1"/>
        </w:rPr>
        <w:tab/>
      </w:r>
      <w:r>
        <w:rPr/>
        <w:drawing>
          <wp:inline distT="0" distB="0" distL="0" distR="0">
            <wp:extent cx="2118149" cy="1261872"/>
            <wp:effectExtent l="0" t="0" r="0" b="0"/>
            <wp:docPr id="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8149" cy="126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tabs>
          <w:tab w:pos="3672" w:val="left" w:leader="none"/>
        </w:tabs>
        <w:spacing w:line="191" w:lineRule="exact" w:before="0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position w:val="1"/>
          <w:sz w:val="14"/>
        </w:rPr>
        <w:t>1</w:t>
        <w:tab/>
      </w:r>
      <w:r>
        <w:rPr>
          <w:rFonts w:ascii="Theinhardt Bold"/>
          <w:b/>
          <w:color w:val="231F20"/>
          <w:sz w:val="14"/>
        </w:rPr>
        <w:t>3</w:t>
      </w:r>
      <w:r>
        <w:rPr>
          <w:rFonts w:ascii="Theinhardt Bold"/>
          <w:sz w:val="14"/>
        </w:rPr>
      </w:r>
    </w:p>
    <w:p>
      <w:pPr>
        <w:spacing w:line="240" w:lineRule="auto" w:before="7"/>
        <w:rPr>
          <w:rFonts w:ascii="Theinhardt Bold" w:hAnsi="Theinhardt Bold" w:cs="Theinhardt Bold" w:eastAsia="Theinhardt Bold"/>
          <w:b/>
          <w:bCs/>
          <w:sz w:val="3"/>
          <w:szCs w:val="3"/>
        </w:rPr>
      </w:pPr>
    </w:p>
    <w:p>
      <w:pPr>
        <w:pStyle w:val="Heading1"/>
        <w:tabs>
          <w:tab w:pos="3672" w:val="left" w:leader="none"/>
        </w:tabs>
        <w:spacing w:line="200" w:lineRule="atLeast"/>
        <w:ind w:left="114" w:right="0"/>
        <w:jc w:val="left"/>
        <w:rPr>
          <w:rFonts w:ascii="Theinhardt Bold" w:hAnsi="Theinhardt Bold" w:cs="Theinhardt Bold" w:eastAsia="Theinhardt Bold"/>
        </w:rPr>
      </w:pPr>
      <w:r>
        <w:rPr>
          <w:rFonts w:ascii="Theinhardt Bold"/>
          <w:position w:val="2"/>
        </w:rPr>
        <w:drawing>
          <wp:inline distT="0" distB="0" distL="0" distR="0">
            <wp:extent cx="2119007" cy="1298448"/>
            <wp:effectExtent l="0" t="0" r="0" b="0"/>
            <wp:docPr id="5" name="image3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19007" cy="1298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/>
          <w:position w:val="2"/>
        </w:rPr>
      </w:r>
      <w:r>
        <w:rPr>
          <w:rFonts w:ascii="Theinhardt Bold"/>
          <w:position w:val="2"/>
        </w:rPr>
        <w:tab/>
      </w:r>
      <w:r>
        <w:rPr>
          <w:rFonts w:ascii="Theinhardt Bold"/>
        </w:rPr>
        <w:drawing>
          <wp:inline distT="0" distB="0" distL="0" distR="0">
            <wp:extent cx="2121571" cy="1304544"/>
            <wp:effectExtent l="0" t="0" r="0" b="0"/>
            <wp:docPr id="7" name="image4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1571" cy="1304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/>
        </w:rPr>
      </w:r>
    </w:p>
    <w:p>
      <w:pPr>
        <w:tabs>
          <w:tab w:pos="3672" w:val="left" w:leader="none"/>
        </w:tabs>
        <w:spacing w:before="3"/>
        <w:ind w:left="100" w:right="0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2</w:t>
        <w:tab/>
        <w:t>4</w:t>
      </w:r>
      <w:r>
        <w:rPr>
          <w:rFonts w:ascii="Theinhardt Bold"/>
          <w:sz w:val="14"/>
        </w:rPr>
      </w:r>
    </w:p>
    <w:p>
      <w:pPr>
        <w:spacing w:line="240" w:lineRule="auto" w:before="13"/>
        <w:rPr>
          <w:rFonts w:ascii="Theinhardt Bold" w:hAnsi="Theinhardt Bold" w:cs="Theinhardt Bold" w:eastAsia="Theinhardt Bold"/>
          <w:b/>
          <w:bCs/>
          <w:sz w:val="8"/>
          <w:szCs w:val="8"/>
        </w:rPr>
      </w:pPr>
    </w:p>
    <w:p>
      <w:pPr>
        <w:spacing w:after="0" w:line="240" w:lineRule="auto"/>
        <w:rPr>
          <w:rFonts w:ascii="Theinhardt Bold" w:hAnsi="Theinhardt Bold" w:cs="Theinhardt Bold" w:eastAsia="Theinhardt Bold"/>
          <w:sz w:val="8"/>
          <w:szCs w:val="8"/>
        </w:rPr>
        <w:sectPr>
          <w:type w:val="continuous"/>
          <w:pgSz w:w="12250" w:h="17180"/>
          <w:pgMar w:top="1000" w:bottom="280" w:left="920" w:right="620"/>
        </w:sectPr>
      </w:pPr>
    </w:p>
    <w:p>
      <w:pPr>
        <w:numPr>
          <w:ilvl w:val="0"/>
          <w:numId w:val="1"/>
        </w:numPr>
        <w:tabs>
          <w:tab w:pos="342" w:val="left" w:leader="none"/>
        </w:tabs>
        <w:spacing w:line="172" w:lineRule="exact" w:before="68"/>
        <w:ind w:left="341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pacing w:val="-1"/>
          <w:sz w:val="14"/>
        </w:rPr>
        <w:t>74-kWp-PV-Anlage</w:t>
      </w:r>
      <w:r>
        <w:rPr>
          <w:rFonts w:ascii="Theinhardt Bold"/>
          <w:b/>
          <w:color w:val="231F20"/>
          <w:sz w:val="14"/>
        </w:rPr>
        <w:t> auf </w:t>
      </w:r>
      <w:r>
        <w:rPr>
          <w:rFonts w:ascii="Theinhardt Bold"/>
          <w:b/>
          <w:color w:val="231F20"/>
          <w:spacing w:val="-1"/>
          <w:sz w:val="14"/>
        </w:rPr>
        <w:t>dem</w:t>
      </w:r>
      <w:r>
        <w:rPr>
          <w:rFonts w:ascii="Theinhardt Bold"/>
          <w:b/>
          <w:color w:val="231F20"/>
          <w:sz w:val="14"/>
        </w:rPr>
        <w:t> Dach </w:t>
      </w:r>
      <w:r>
        <w:rPr>
          <w:rFonts w:ascii="Theinhardt Bold"/>
          <w:b/>
          <w:color w:val="231F20"/>
          <w:spacing w:val="-1"/>
          <w:sz w:val="14"/>
        </w:rPr>
        <w:t>der</w:t>
      </w:r>
      <w:r>
        <w:rPr>
          <w:rFonts w:ascii="Theinhardt Bold"/>
          <w:b/>
          <w:color w:val="231F20"/>
          <w:sz w:val="14"/>
        </w:rPr>
        <w:t> Bibliothek</w:t>
      </w:r>
      <w:r>
        <w:rPr>
          <w:rFonts w:ascii="Theinhardt Bold"/>
          <w:sz w:val="14"/>
        </w:rPr>
      </w:r>
    </w:p>
    <w:p>
      <w:pPr>
        <w:numPr>
          <w:ilvl w:val="0"/>
          <w:numId w:val="1"/>
        </w:numPr>
        <w:tabs>
          <w:tab w:pos="342" w:val="left" w:leader="none"/>
        </w:tabs>
        <w:spacing w:line="160" w:lineRule="exact" w:before="0"/>
        <w:ind w:left="341" w:right="0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t>Die von </w:t>
      </w:r>
      <w:r>
        <w:rPr>
          <w:rFonts w:ascii="Theinhardt Bold"/>
          <w:b/>
          <w:color w:val="231F20"/>
          <w:spacing w:val="-1"/>
          <w:sz w:val="14"/>
        </w:rPr>
        <w:t>der</w:t>
      </w:r>
      <w:r>
        <w:rPr>
          <w:rFonts w:ascii="Theinhardt Bold"/>
          <w:b/>
          <w:color w:val="231F20"/>
          <w:sz w:val="14"/>
        </w:rPr>
        <w:t> Genossenschaft SpiezSolar </w:t>
      </w:r>
      <w:r>
        <w:rPr>
          <w:rFonts w:ascii="Theinhardt Bold"/>
          <w:b/>
          <w:color w:val="231F20"/>
          <w:spacing w:val="-1"/>
          <w:sz w:val="14"/>
        </w:rPr>
        <w:t>erstellte</w:t>
      </w:r>
      <w:r>
        <w:rPr>
          <w:rFonts w:ascii="Theinhardt Bold"/>
          <w:sz w:val="14"/>
        </w:rPr>
      </w:r>
    </w:p>
    <w:p>
      <w:pPr>
        <w:spacing w:line="207" w:lineRule="auto" w:before="5"/>
        <w:ind w:left="341" w:right="56" w:firstLine="0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 w:hAnsi="Theinhardt Bold"/>
          <w:b/>
          <w:color w:val="231F20"/>
          <w:sz w:val="14"/>
        </w:rPr>
        <w:t>29.9 kW </w:t>
      </w:r>
      <w:r>
        <w:rPr>
          <w:rFonts w:ascii="Theinhardt Bold" w:hAnsi="Theinhardt Bold"/>
          <w:b/>
          <w:color w:val="231F20"/>
          <w:spacing w:val="-1"/>
          <w:sz w:val="14"/>
        </w:rPr>
        <w:t>starke</w:t>
      </w:r>
      <w:r>
        <w:rPr>
          <w:rFonts w:ascii="Theinhardt Bold" w:hAnsi="Theinhardt Bold"/>
          <w:b/>
          <w:color w:val="231F20"/>
          <w:sz w:val="14"/>
        </w:rPr>
        <w:t> PV-Anlage auf </w:t>
      </w:r>
      <w:r>
        <w:rPr>
          <w:rFonts w:ascii="Theinhardt Bold" w:hAnsi="Theinhardt Bold"/>
          <w:b/>
          <w:color w:val="231F20"/>
          <w:spacing w:val="-1"/>
          <w:sz w:val="14"/>
        </w:rPr>
        <w:t>dem</w:t>
      </w:r>
      <w:r>
        <w:rPr>
          <w:rFonts w:ascii="Theinhardt Bold" w:hAnsi="Theinhardt Bold"/>
          <w:b/>
          <w:color w:val="231F20"/>
          <w:spacing w:val="-6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Vordach</w:t>
      </w:r>
      <w:r>
        <w:rPr>
          <w:rFonts w:ascii="Theinhardt Bold" w:hAnsi="Theinhardt Bold"/>
          <w:b/>
          <w:color w:val="231F20"/>
          <w:sz w:val="14"/>
        </w:rPr>
        <w:t> </w:t>
      </w:r>
      <w:r>
        <w:rPr>
          <w:rFonts w:ascii="Theinhardt Bold" w:hAnsi="Theinhardt Bold"/>
          <w:b/>
          <w:color w:val="231F20"/>
          <w:spacing w:val="-1"/>
          <w:sz w:val="14"/>
        </w:rPr>
        <w:t>der</w:t>
      </w:r>
      <w:r>
        <w:rPr>
          <w:rFonts w:ascii="Theinhardt Bold" w:hAnsi="Theinhardt Bold"/>
          <w:b/>
          <w:color w:val="231F20"/>
          <w:spacing w:val="27"/>
          <w:sz w:val="14"/>
        </w:rPr>
        <w:t> </w:t>
      </w:r>
      <w:r>
        <w:rPr>
          <w:rFonts w:ascii="Theinhardt Bold" w:hAnsi="Theinhardt Bold"/>
          <w:b/>
          <w:color w:val="231F20"/>
          <w:spacing w:val="-2"/>
          <w:sz w:val="14"/>
        </w:rPr>
        <w:t>Turnhalle</w:t>
      </w:r>
      <w:r>
        <w:rPr>
          <w:rFonts w:ascii="Theinhardt Bold" w:hAnsi="Theinhardt Bold"/>
          <w:b/>
          <w:color w:val="231F20"/>
          <w:sz w:val="14"/>
        </w:rPr>
        <w:t> Dürrenbühl</w:t>
      </w:r>
      <w:r>
        <w:rPr>
          <w:rFonts w:ascii="Theinhardt Bold" w:hAnsi="Theinhardt Bold"/>
          <w:sz w:val="14"/>
        </w:rPr>
      </w:r>
    </w:p>
    <w:p>
      <w:pPr>
        <w:numPr>
          <w:ilvl w:val="0"/>
          <w:numId w:val="1"/>
        </w:numPr>
        <w:tabs>
          <w:tab w:pos="342" w:val="left" w:leader="none"/>
        </w:tabs>
        <w:spacing w:line="160" w:lineRule="exact" w:before="76"/>
        <w:ind w:left="341" w:right="4026" w:hanging="227"/>
        <w:jc w:val="left"/>
        <w:rPr>
          <w:rFonts w:ascii="Theinhardt Bold" w:hAnsi="Theinhardt Bold" w:cs="Theinhardt Bold" w:eastAsia="Theinhardt Bold"/>
          <w:sz w:val="14"/>
          <w:szCs w:val="14"/>
        </w:rPr>
      </w:pPr>
      <w:r>
        <w:rPr>
          <w:rFonts w:ascii="Theinhardt Bold"/>
          <w:b/>
          <w:color w:val="231F20"/>
          <w:sz w:val="14"/>
        </w:rPr>
        <w:br w:type="column"/>
      </w:r>
      <w:r>
        <w:rPr>
          <w:rFonts w:ascii="Theinhardt Bold"/>
          <w:b/>
          <w:color w:val="231F20"/>
          <w:spacing w:val="-1"/>
          <w:sz w:val="14"/>
        </w:rPr>
        <w:t>Verwaltungsmitglieder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-1"/>
          <w:sz w:val="14"/>
        </w:rPr>
        <w:t>der</w:t>
      </w:r>
      <w:r>
        <w:rPr>
          <w:rFonts w:ascii="Theinhardt Bold"/>
          <w:b/>
          <w:color w:val="231F20"/>
          <w:sz w:val="14"/>
        </w:rPr>
        <w:t> Genossenschaft</w:t>
      </w:r>
      <w:r>
        <w:rPr>
          <w:rFonts w:ascii="Theinhardt Bold"/>
          <w:b/>
          <w:color w:val="231F20"/>
          <w:spacing w:val="38"/>
          <w:sz w:val="14"/>
        </w:rPr>
        <w:t> </w:t>
      </w:r>
      <w:r>
        <w:rPr>
          <w:rFonts w:ascii="Theinhardt Bold"/>
          <w:b/>
          <w:color w:val="231F20"/>
          <w:sz w:val="14"/>
        </w:rPr>
        <w:t>SpiezSolar (es </w:t>
      </w:r>
      <w:r>
        <w:rPr>
          <w:rFonts w:ascii="Theinhardt Bold"/>
          <w:b/>
          <w:color w:val="231F20"/>
          <w:spacing w:val="-1"/>
          <w:sz w:val="14"/>
        </w:rPr>
        <w:t>fehlen</w:t>
      </w:r>
      <w:r>
        <w:rPr>
          <w:rFonts w:ascii="Theinhardt Bold"/>
          <w:b/>
          <w:color w:val="231F20"/>
          <w:sz w:val="14"/>
        </w:rPr>
        <w:t> </w:t>
      </w:r>
      <w:r>
        <w:rPr>
          <w:rFonts w:ascii="Theinhardt Bold"/>
          <w:b/>
          <w:color w:val="231F20"/>
          <w:spacing w:val="-1"/>
          <w:sz w:val="14"/>
        </w:rPr>
        <w:t>drei</w:t>
      </w:r>
      <w:r>
        <w:rPr>
          <w:rFonts w:ascii="Theinhardt Bold"/>
          <w:b/>
          <w:color w:val="231F20"/>
          <w:sz w:val="14"/>
        </w:rPr>
        <w:t> Mitglieder)</w:t>
      </w:r>
      <w:r>
        <w:rPr>
          <w:rFonts w:ascii="Theinhardt Bold"/>
          <w:sz w:val="14"/>
        </w:rPr>
      </w:r>
    </w:p>
    <w:p>
      <w:pPr>
        <w:numPr>
          <w:ilvl w:val="0"/>
          <w:numId w:val="1"/>
        </w:numPr>
        <w:tabs>
          <w:tab w:pos="342" w:val="left" w:leader="none"/>
        </w:tabs>
        <w:spacing w:line="177" w:lineRule="exact" w:before="0"/>
        <w:ind w:left="341" w:right="0" w:hanging="227"/>
        <w:jc w:val="left"/>
        <w:rPr>
          <w:rFonts w:ascii="Theinhardt Regular" w:hAnsi="Theinhardt Regular" w:cs="Theinhardt Regular" w:eastAsia="Theinhardt Regular"/>
          <w:sz w:val="14"/>
          <w:szCs w:val="14"/>
        </w:rPr>
      </w:pPr>
      <w:r>
        <w:rPr>
          <w:rFonts w:ascii="Theinhardt Bold" w:hAnsi="Theinhardt Bold"/>
          <w:b/>
          <w:color w:val="231F20"/>
          <w:spacing w:val="-1"/>
          <w:sz w:val="14"/>
        </w:rPr>
        <w:t>Informationsveranstaltung</w:t>
      </w:r>
      <w:r>
        <w:rPr>
          <w:rFonts w:ascii="Theinhardt Bold" w:hAnsi="Theinhardt Bold"/>
          <w:b/>
          <w:color w:val="231F20"/>
          <w:sz w:val="14"/>
        </w:rPr>
        <w:t> zur</w:t>
      </w:r>
      <w:r>
        <w:rPr>
          <w:rFonts w:ascii="Theinhardt Bold" w:hAnsi="Theinhardt Bold"/>
          <w:b/>
          <w:color w:val="231F20"/>
          <w:spacing w:val="-1"/>
          <w:sz w:val="14"/>
        </w:rPr>
        <w:t> </w:t>
      </w:r>
      <w:r>
        <w:rPr>
          <w:rFonts w:ascii="Theinhardt Regular" w:hAnsi="Theinhardt Regular"/>
          <w:color w:val="231F20"/>
          <w:sz w:val="14"/>
        </w:rPr>
        <w:t>«</w:t>
      </w:r>
      <w:r>
        <w:rPr>
          <w:rFonts w:ascii="Theinhardt Bold" w:hAnsi="Theinhardt Bold"/>
          <w:b/>
          <w:color w:val="231F20"/>
          <w:sz w:val="14"/>
        </w:rPr>
        <w:t>Aktion99</w:t>
      </w:r>
      <w:r>
        <w:rPr>
          <w:rFonts w:ascii="Theinhardt Regular" w:hAnsi="Theinhardt Regular"/>
          <w:color w:val="231F20"/>
          <w:sz w:val="14"/>
        </w:rPr>
        <w:t>»</w:t>
      </w:r>
      <w:r>
        <w:rPr>
          <w:rFonts w:ascii="Theinhardt Regular" w:hAnsi="Theinhardt Regular"/>
          <w:sz w:val="14"/>
        </w:rPr>
      </w:r>
    </w:p>
    <w:p>
      <w:pPr>
        <w:spacing w:after="0" w:line="177" w:lineRule="exact"/>
        <w:jc w:val="left"/>
        <w:rPr>
          <w:rFonts w:ascii="Theinhardt Regular" w:hAnsi="Theinhardt Regular" w:cs="Theinhardt Regular" w:eastAsia="Theinhardt Regular"/>
          <w:sz w:val="14"/>
          <w:szCs w:val="14"/>
        </w:rPr>
        <w:sectPr>
          <w:type w:val="continuous"/>
          <w:pgSz w:w="12250" w:h="17180"/>
          <w:pgMar w:top="1000" w:bottom="280" w:left="920" w:right="620"/>
          <w:cols w:num="2" w:equalWidth="0">
            <w:col w:w="3425" w:space="139"/>
            <w:col w:w="7146"/>
          </w:cols>
        </w:sectPr>
      </w:pPr>
    </w:p>
    <w:p>
      <w:pPr>
        <w:spacing w:line="240" w:lineRule="auto" w:before="2"/>
        <w:rPr>
          <w:rFonts w:ascii="Theinhardt Regular" w:hAnsi="Theinhardt Regular" w:cs="Theinhardt Regular" w:eastAsia="Theinhardt Regular"/>
          <w:sz w:val="22"/>
          <w:szCs w:val="22"/>
        </w:rPr>
      </w:pPr>
    </w:p>
    <w:p>
      <w:pPr>
        <w:spacing w:before="70"/>
        <w:ind w:left="6656" w:right="0" w:firstLine="0"/>
        <w:jc w:val="left"/>
        <w:rPr>
          <w:rFonts w:ascii="Theinhardt Heavy" w:hAnsi="Theinhardt Heavy" w:cs="Theinhardt Heavy" w:eastAsia="Theinhardt Heavy"/>
          <w:sz w:val="14"/>
          <w:szCs w:val="14"/>
        </w:rPr>
      </w:pPr>
      <w:r>
        <w:rPr>
          <w:rFonts w:ascii="Theinhardt Regular"/>
          <w:color w:val="231F20"/>
          <w:spacing w:val="-1"/>
          <w:sz w:val="14"/>
        </w:rPr>
        <w:t>Schweizer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Solarpreis</w:t>
      </w:r>
      <w:r>
        <w:rPr>
          <w:rFonts w:ascii="Theinhardt Regular"/>
          <w:color w:val="231F20"/>
          <w:sz w:val="14"/>
        </w:rPr>
        <w:t> 2018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Prix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Solaire</w:t>
      </w:r>
      <w:r>
        <w:rPr>
          <w:rFonts w:ascii="Theinhardt Regular"/>
          <w:color w:val="231F20"/>
          <w:sz w:val="14"/>
        </w:rPr>
        <w:t> </w:t>
      </w:r>
      <w:r>
        <w:rPr>
          <w:rFonts w:ascii="Theinhardt Regular"/>
          <w:color w:val="231F20"/>
          <w:spacing w:val="-1"/>
          <w:sz w:val="14"/>
        </w:rPr>
        <w:t>Suisse</w:t>
      </w:r>
      <w:r>
        <w:rPr>
          <w:rFonts w:ascii="Theinhardt Regular"/>
          <w:color w:val="231F20"/>
          <w:sz w:val="14"/>
        </w:rPr>
        <w:t> 2018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Regular"/>
          <w:color w:val="231F20"/>
          <w:sz w:val="14"/>
        </w:rPr>
        <w:t>|   </w:t>
      </w:r>
      <w:r>
        <w:rPr>
          <w:rFonts w:ascii="Theinhardt Regular"/>
          <w:color w:val="231F20"/>
          <w:spacing w:val="14"/>
          <w:sz w:val="14"/>
        </w:rPr>
        <w:t> </w:t>
      </w:r>
      <w:r>
        <w:rPr>
          <w:rFonts w:ascii="Theinhardt Heavy"/>
          <w:b/>
          <w:color w:val="231F20"/>
          <w:sz w:val="14"/>
        </w:rPr>
        <w:t>19</w:t>
      </w:r>
      <w:r>
        <w:rPr>
          <w:rFonts w:ascii="Theinhardt Heavy"/>
          <w:sz w:val="14"/>
        </w:rPr>
      </w:r>
    </w:p>
    <w:sectPr>
      <w:type w:val="continuous"/>
      <w:pgSz w:w="12250" w:h="17180"/>
      <w:pgMar w:top="1000" w:bottom="280" w:left="920" w:right="6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heinhardt Heavy">
    <w:altName w:val="Theinhardt Heavy"/>
    <w:charset w:val="0"/>
    <w:family w:val="swiss"/>
    <w:pitch w:val="variable"/>
  </w:font>
  <w:font w:name="Theinhardt Regular">
    <w:altName w:val="Theinhardt Regular"/>
    <w:charset w:val="0"/>
    <w:family w:val="swiss"/>
    <w:pitch w:val="variable"/>
  </w:font>
  <w:font w:name="Theinhardt Bold">
    <w:altName w:val="Theinhardt Bold"/>
    <w:charset w:val="0"/>
    <w:family w:val="swiss"/>
    <w:pitch w:val="variable"/>
  </w:font>
  <w:font w:name="Theinhardt Black">
    <w:altName w:val="Theinhardt Black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"/>
      <w:lvlJc w:val="left"/>
      <w:pPr>
        <w:ind w:left="341" w:hanging="227"/>
        <w:jc w:val="left"/>
      </w:pPr>
      <w:rPr>
        <w:rFonts w:hint="default" w:ascii="Theinhardt Bold" w:hAnsi="Theinhardt Bold" w:eastAsia="Theinhardt Bold"/>
        <w:b/>
        <w:bCs/>
        <w:color w:val="231F20"/>
        <w:sz w:val="14"/>
        <w:szCs w:val="14"/>
      </w:rPr>
    </w:lvl>
    <w:lvl w:ilvl="1">
      <w:start w:val="1"/>
      <w:numFmt w:val="bullet"/>
      <w:lvlText w:val="•"/>
      <w:lvlJc w:val="left"/>
      <w:pPr>
        <w:ind w:left="649" w:hanging="227"/>
      </w:pPr>
      <w:rPr>
        <w:rFonts w:hint="default"/>
      </w:rPr>
    </w:lvl>
    <w:lvl w:ilvl="2">
      <w:start w:val="1"/>
      <w:numFmt w:val="bullet"/>
      <w:lvlText w:val="•"/>
      <w:lvlJc w:val="left"/>
      <w:pPr>
        <w:ind w:left="958" w:hanging="227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266" w:hanging="22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574" w:hanging="227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883" w:hanging="227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191" w:hanging="22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499" w:hanging="227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808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ind w:left="100"/>
    </w:pPr>
    <w:rPr>
      <w:rFonts w:ascii="Theinhardt Regular" w:hAnsi="Theinhardt Regular" w:eastAsia="Theinhardt Regular"/>
      <w:sz w:val="18"/>
      <w:szCs w:val="18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Theinhardt Regular" w:hAnsi="Theinhardt Regular" w:eastAsia="Theinhardt Regular"/>
      <w:sz w:val="20"/>
      <w:szCs w:val="20"/>
    </w:rPr>
  </w:style>
  <w:style w:styleId="Heading2" w:type="paragraph">
    <w:name w:val="Heading 2"/>
    <w:basedOn w:val="Normal"/>
    <w:uiPriority w:val="1"/>
    <w:qFormat/>
    <w:pPr>
      <w:spacing w:before="38"/>
      <w:ind w:left="100"/>
      <w:outlineLvl w:val="2"/>
    </w:pPr>
    <w:rPr>
      <w:rFonts w:ascii="Theinhardt Bold" w:hAnsi="Theinhardt Bold" w:eastAsia="Theinhardt Bold"/>
      <w:b/>
      <w:bCs/>
      <w:sz w:val="18"/>
      <w:szCs w:val="18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info@spiezsolar.ch" TargetMode="External"/><Relationship Id="rId6" Type="http://schemas.openxmlformats.org/officeDocument/2006/relationships/hyperlink" Target="http://www.spiezsolar.ch/" TargetMode="External"/><Relationship Id="rId7" Type="http://schemas.openxmlformats.org/officeDocument/2006/relationships/image" Target="media/image1.jpeg"/><Relationship Id="rId8" Type="http://schemas.openxmlformats.org/officeDocument/2006/relationships/image" Target="media/image2.jpeg"/><Relationship Id="rId9" Type="http://schemas.openxmlformats.org/officeDocument/2006/relationships/image" Target="media/image3.jpeg"/><Relationship Id="rId10" Type="http://schemas.openxmlformats.org/officeDocument/2006/relationships/image" Target="media/image4.jpeg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2018-10-02T10:45:19Z</dcterms:created>
  <dcterms:modified xsi:type="dcterms:W3CDTF">2018-10-02T10:45:19Z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2018-10-01T00:00:00Z</vt:filetime>
  </property>
  <property fmtid="{D5CDD505-2E9C-101B-9397-08002B2CF9AE}" pid="3" name="LastSaved">
    <vt:filetime>2018-10-02T00:00:00Z</vt:filetime>
  </property>
</Properties>
</file>