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core.xml" ContentType="application/vnd.openxmlformats-package.core-properties+xml"/>
  <Default Extension="jpeg" ContentType="image/jpeg"/>
  <Override PartName="/docProps/custom.xml" ContentType="application/vnd.openxmlformats-officedocument.custom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1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3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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a="http://schemas.openxmlformats.org/drawingml/2006/main" xmlns:pic="http://schemas.openxmlformats.org/drawingml/2006/picture" xml:space="preserve">
  <w:body>
    <w:p>
      <w:pPr>
        <w:tabs>
          <w:tab w:pos="2606" w:val="left" w:leader="none"/>
        </w:tabs>
        <w:spacing w:line="230" w:lineRule="exact" w:before="32"/>
        <w:ind w:left="166" w:right="0" w:firstLine="0"/>
        <w:jc w:val="both"/>
        <w:rPr>
          <w:rFonts w:ascii="Theinhardt Regular" w:hAnsi="Theinhardt Regular" w:cs="Theinhardt Regular" w:eastAsia="Theinhardt Regular"/>
          <w:sz w:val="18"/>
          <w:szCs w:val="18"/>
        </w:rPr>
      </w:pPr>
      <w:r>
        <w:rPr/>
        <w:pict>
          <v:group style="position:absolute;margin-left:28.559pt;margin-top:13.847289pt;width:.1pt;height:.1pt;mso-position-horizontal-relative:page;mso-position-vertical-relative:paragraph;z-index:-5992" coordorigin="571,277" coordsize="2,2">
            <v:shape style="position:absolute;left:571;top:277;width:2;height:2" coordorigin="571,277" coordsize="0,0" path="m571,277l571,277e" filled="false" stroked="true" strokeweight=".425pt" strokecolor="#000000">
              <v:path arrowok="t"/>
            </v:shape>
            <w10:wrap type="none"/>
          </v:group>
        </w:pict>
      </w:r>
      <w:r>
        <w:rPr/>
        <w:pict>
          <v:group style="position:absolute;margin-left:150.731995pt;margin-top:13.847289pt;width:.1pt;height:.1pt;mso-position-horizontal-relative:page;mso-position-vertical-relative:paragraph;z-index:1120" coordorigin="3015,277" coordsize="2,2">
            <v:shape style="position:absolute;left:3015;top:277;width:2;height:2" coordorigin="3015,277" coordsize="0,0" path="m3015,277l3015,277e" filled="false" stroked="true" strokeweight=".425pt" strokecolor="#000000">
              <v:path arrowok="t"/>
            </v:shape>
            <w10:wrap type="none"/>
          </v:group>
        </w:pict>
      </w:r>
      <w:r>
        <w:rPr/>
        <w:pict>
          <v:group style="position:absolute;margin-left:28.559pt;margin-top:25.34729pt;width:.1pt;height:.1pt;mso-position-horizontal-relative:page;mso-position-vertical-relative:paragraph;z-index:-5944" coordorigin="571,507" coordsize="2,2">
            <v:shape style="position:absolute;left:571;top:507;width:2;height:2" coordorigin="571,507" coordsize="0,0" path="m571,507l571,507e" filled="false" stroked="true" strokeweight=".425pt" strokecolor="#000000">
              <v:path arrowok="t"/>
            </v:shape>
            <w10:wrap type="none"/>
          </v:group>
        </w:pict>
      </w:r>
      <w:r>
        <w:rPr/>
        <w:pict>
          <v:group style="position:absolute;margin-left:150.731995pt;margin-top:25.34729pt;width:.1pt;height:.1pt;mso-position-horizontal-relative:page;mso-position-vertical-relative:paragraph;z-index:1168" coordorigin="3015,507" coordsize="2,2">
            <v:shape style="position:absolute;left:3015;top:507;width:2;height:2" coordorigin="3015,507" coordsize="0,0" path="m3015,507l3015,507e" filled="false" stroked="true" strokeweight=".425pt" strokecolor="#000000">
              <v:path arrowok="t"/>
            </v:shape>
            <w10:wrap type="none"/>
          </v:group>
        </w:pict>
      </w:r>
      <w:r>
        <w:rPr>
          <w:rFonts w:ascii="Theinhardt Black" w:hAnsi="Theinhardt Black"/>
          <w:b/>
          <w:sz w:val="18"/>
        </w:rPr>
      </w:r>
      <w:r>
        <w:rPr>
          <w:rFonts w:ascii="Theinhardt Black" w:hAnsi="Theinhardt Black"/>
          <w:b/>
          <w:spacing w:val="1"/>
          <w:sz w:val="18"/>
          <w:u w:val="dotted" w:color="000000"/>
        </w:rPr>
        <w:t>Kategorie</w:t>
      </w:r>
      <w:r>
        <w:rPr>
          <w:rFonts w:ascii="Theinhardt Black" w:hAnsi="Theinhardt Black"/>
          <w:b/>
          <w:sz w:val="18"/>
          <w:u w:val="dotted" w:color="000000"/>
        </w:rPr>
        <w:t>               </w:t>
      </w:r>
      <w:r>
        <w:rPr>
          <w:rFonts w:ascii="Theinhardt Black" w:hAnsi="Theinhardt Black"/>
          <w:b/>
          <w:spacing w:val="17"/>
          <w:sz w:val="18"/>
          <w:u w:val="dotted" w:color="000000"/>
        </w:rPr>
        <w:t> </w:t>
      </w:r>
      <w:r>
        <w:rPr>
          <w:rFonts w:ascii="Theinhardt Black" w:hAnsi="Theinhardt Black"/>
          <w:b/>
          <w:sz w:val="18"/>
          <w:u w:val="dotted" w:color="000000"/>
        </w:rPr>
        <w:t>B</w:t>
      </w:r>
      <w:r>
        <w:rPr>
          <w:rFonts w:ascii="Theinhardt Black" w:hAnsi="Theinhardt Black"/>
          <w:b/>
          <w:sz w:val="18"/>
          <w:u w:val="dotted" w:color="000000"/>
        </w:rPr>
        <w:t> </w:t>
        <w:tab/>
      </w:r>
      <w:r>
        <w:rPr>
          <w:rFonts w:ascii="Theinhardt Black" w:hAnsi="Theinhardt Black"/>
          <w:b/>
          <w:sz w:val="18"/>
        </w:rPr>
      </w:r>
      <w:r>
        <w:rPr>
          <w:rFonts w:ascii="Theinhardt Black" w:hAnsi="Theinhardt Black"/>
          <w:b/>
          <w:spacing w:val="25"/>
          <w:sz w:val="18"/>
        </w:rPr>
        <w:t> </w:t>
      </w:r>
      <w:r>
        <w:rPr>
          <w:rFonts w:ascii="Theinhardt Black" w:hAnsi="Theinhardt Black"/>
          <w:b/>
          <w:w w:val="95"/>
          <w:sz w:val="18"/>
          <w:u w:val="dotted" w:color="000000"/>
        </w:rPr>
        <w:t>Gebäude: </w:t>
      </w:r>
      <w:r>
        <w:rPr>
          <w:rFonts w:ascii="Theinhardt Black" w:hAnsi="Theinhardt Black"/>
          <w:b/>
          <w:spacing w:val="4"/>
          <w:w w:val="95"/>
          <w:sz w:val="18"/>
          <w:u w:val="dotted" w:color="000000"/>
        </w:rPr>
        <w:t> </w:t>
      </w:r>
      <w:r>
        <w:rPr>
          <w:rFonts w:ascii="Theinhardt Black" w:hAnsi="Theinhardt Black"/>
          <w:b/>
          <w:spacing w:val="1"/>
          <w:sz w:val="18"/>
          <w:u w:val="dotted" w:color="000000"/>
        </w:rPr>
        <w:t>Neubauten</w:t>
      </w:r>
      <w:r>
        <w:rPr>
          <w:rFonts w:ascii="Theinhardt Black" w:hAnsi="Theinhardt Black"/>
          <w:b/>
          <w:sz w:val="18"/>
          <w:u w:val="dotted" w:color="000000"/>
        </w:rPr>
        <w:t> </w:t>
        <w:tab/>
      </w:r>
      <w:r>
        <w:rPr>
          <w:rFonts w:ascii="Theinhardt Black" w:hAnsi="Theinhardt Black"/>
          <w:b/>
          <w:sz w:val="18"/>
        </w:rPr>
      </w:r>
      <w:r>
        <w:rPr>
          <w:rFonts w:ascii="Theinhardt Black" w:hAnsi="Theinhardt Black"/>
          <w:b/>
          <w:spacing w:val="26"/>
          <w:sz w:val="18"/>
        </w:rPr>
        <w:t> </w:t>
      </w:r>
      <w:r>
        <w:rPr>
          <w:rFonts w:ascii="Theinhardt Regular" w:hAnsi="Theinhardt Regular"/>
          <w:spacing w:val="-1"/>
          <w:sz w:val="18"/>
        </w:rPr>
        <w:t>Schweizer</w:t>
      </w:r>
      <w:r>
        <w:rPr>
          <w:rFonts w:ascii="Theinhardt Regular" w:hAnsi="Theinhardt Regular"/>
          <w:sz w:val="18"/>
        </w:rPr>
        <w:t> </w:t>
      </w:r>
      <w:r>
        <w:rPr>
          <w:rFonts w:ascii="Theinhardt Regular" w:hAnsi="Theinhardt Regular"/>
          <w:spacing w:val="-1"/>
          <w:sz w:val="18"/>
        </w:rPr>
        <w:t>Solarpreis</w:t>
      </w:r>
      <w:r>
        <w:rPr>
          <w:rFonts w:ascii="Theinhardt Regular" w:hAnsi="Theinhardt Regular"/>
          <w:sz w:val="18"/>
        </w:rPr>
        <w:t> 2016</w:t>
      </w:r>
    </w:p>
    <w:p>
      <w:pPr>
        <w:spacing w:line="230" w:lineRule="exact" w:before="32"/>
        <w:ind w:left="166" w:right="102" w:firstLine="0"/>
        <w:jc w:val="both"/>
        <w:rPr>
          <w:rFonts w:ascii="Theinhardt Bold" w:hAnsi="Theinhardt Bold" w:cs="Theinhardt Bold" w:eastAsia="Theinhardt Bold"/>
          <w:sz w:val="18"/>
          <w:szCs w:val="18"/>
        </w:rPr>
      </w:pPr>
      <w:r>
        <w:rPr/>
        <w:br w:type="column"/>
      </w:r>
      <w:r>
        <w:rPr>
          <w:rFonts w:ascii="Theinhardt Bold" w:hAnsi="Theinhardt Bold" w:cs="Theinhardt Bold" w:eastAsia="Theinhardt Bold"/>
          <w:b/>
          <w:bCs/>
          <w:spacing w:val="-1"/>
          <w:sz w:val="18"/>
          <w:szCs w:val="18"/>
        </w:rPr>
        <w:t>Das</w:t>
      </w:r>
      <w:r>
        <w:rPr>
          <w:rFonts w:ascii="Theinhardt Bold" w:hAnsi="Theinhardt Bold" w:cs="Theinhardt Bold" w:eastAsia="Theinhardt Bold"/>
          <w:b/>
          <w:bCs/>
          <w:spacing w:val="9"/>
          <w:sz w:val="18"/>
          <w:szCs w:val="18"/>
        </w:rPr>
        <w:t> </w:t>
      </w:r>
      <w:r>
        <w:rPr>
          <w:rFonts w:ascii="Theinhardt Bold" w:hAnsi="Theinhardt Bold" w:cs="Theinhardt Bold" w:eastAsia="Theinhardt Bold"/>
          <w:b/>
          <w:bCs/>
          <w:spacing w:val="-1"/>
          <w:sz w:val="18"/>
          <w:szCs w:val="18"/>
        </w:rPr>
        <w:t>2015</w:t>
      </w:r>
      <w:r>
        <w:rPr>
          <w:rFonts w:ascii="Theinhardt Bold" w:hAnsi="Theinhardt Bold" w:cs="Theinhardt Bold" w:eastAsia="Theinhardt Bold"/>
          <w:b/>
          <w:bCs/>
          <w:spacing w:val="9"/>
          <w:sz w:val="18"/>
          <w:szCs w:val="18"/>
        </w:rPr>
        <w:t> </w:t>
      </w:r>
      <w:r>
        <w:rPr>
          <w:rFonts w:ascii="Theinhardt Bold" w:hAnsi="Theinhardt Bold" w:cs="Theinhardt Bold" w:eastAsia="Theinhardt Bold"/>
          <w:b/>
          <w:bCs/>
          <w:spacing w:val="-1"/>
          <w:sz w:val="18"/>
          <w:szCs w:val="18"/>
        </w:rPr>
        <w:t>erbaute</w:t>
      </w:r>
      <w:r>
        <w:rPr>
          <w:rFonts w:ascii="Theinhardt Bold" w:hAnsi="Theinhardt Bold" w:cs="Theinhardt Bold" w:eastAsia="Theinhardt Bold"/>
          <w:b/>
          <w:bCs/>
          <w:spacing w:val="9"/>
          <w:sz w:val="18"/>
          <w:szCs w:val="18"/>
        </w:rPr>
        <w:t> </w:t>
      </w:r>
      <w:r>
        <w:rPr>
          <w:rFonts w:ascii="Theinhardt Bold" w:hAnsi="Theinhardt Bold" w:cs="Theinhardt Bold" w:eastAsia="Theinhardt Bold"/>
          <w:b/>
          <w:bCs/>
          <w:spacing w:val="-1"/>
          <w:sz w:val="18"/>
          <w:szCs w:val="18"/>
        </w:rPr>
        <w:t>Siebenfamilienhaus</w:t>
      </w:r>
      <w:r>
        <w:rPr>
          <w:rFonts w:ascii="Theinhardt Bold" w:hAnsi="Theinhardt Bold" w:cs="Theinhardt Bold" w:eastAsia="Theinhardt Bold"/>
          <w:b/>
          <w:bCs/>
          <w:spacing w:val="9"/>
          <w:sz w:val="18"/>
          <w:szCs w:val="18"/>
        </w:rPr>
        <w:t> </w:t>
      </w:r>
      <w:r>
        <w:rPr>
          <w:rFonts w:ascii="Theinhardt Bold" w:hAnsi="Theinhardt Bold" w:cs="Theinhardt Bold" w:eastAsia="Theinhardt Bold"/>
          <w:b/>
          <w:bCs/>
          <w:spacing w:val="-1"/>
          <w:sz w:val="18"/>
          <w:szCs w:val="18"/>
        </w:rPr>
        <w:t>in</w:t>
      </w:r>
      <w:r>
        <w:rPr>
          <w:rFonts w:ascii="Theinhardt Bold" w:hAnsi="Theinhardt Bold" w:cs="Theinhardt Bold" w:eastAsia="Theinhardt Bold"/>
          <w:b/>
          <w:bCs/>
          <w:spacing w:val="9"/>
          <w:sz w:val="18"/>
          <w:szCs w:val="18"/>
        </w:rPr>
        <w:t> </w:t>
      </w:r>
      <w:r>
        <w:rPr>
          <w:rFonts w:ascii="Theinhardt Bold" w:hAnsi="Theinhardt Bold" w:cs="Theinhardt Bold" w:eastAsia="Theinhardt Bold"/>
          <w:b/>
          <w:bCs/>
          <w:spacing w:val="-1"/>
          <w:sz w:val="18"/>
          <w:szCs w:val="18"/>
        </w:rPr>
        <w:t>Basel-Stadt</w:t>
      </w:r>
      <w:r>
        <w:rPr>
          <w:rFonts w:ascii="Theinhardt Bold" w:hAnsi="Theinhardt Bold" w:cs="Theinhardt Bold" w:eastAsia="Theinhardt Bold"/>
          <w:b/>
          <w:bCs/>
          <w:spacing w:val="9"/>
          <w:sz w:val="18"/>
          <w:szCs w:val="18"/>
        </w:rPr>
        <w:t> </w:t>
      </w:r>
      <w:r>
        <w:rPr>
          <w:rFonts w:ascii="Theinhardt Bold" w:hAnsi="Theinhardt Bold" w:cs="Theinhardt Bold" w:eastAsia="Theinhardt Bold"/>
          <w:b/>
          <w:bCs/>
          <w:spacing w:val="-1"/>
          <w:sz w:val="18"/>
          <w:szCs w:val="18"/>
        </w:rPr>
        <w:t>steht</w:t>
      </w:r>
      <w:r>
        <w:rPr>
          <w:rFonts w:ascii="Theinhardt Bold" w:hAnsi="Theinhardt Bold" w:cs="Theinhardt Bold" w:eastAsia="Theinhardt Bold"/>
          <w:b/>
          <w:bCs/>
          <w:spacing w:val="9"/>
          <w:sz w:val="18"/>
          <w:szCs w:val="18"/>
        </w:rPr>
        <w:t> </w:t>
      </w:r>
      <w:r>
        <w:rPr>
          <w:rFonts w:ascii="Theinhardt Bold" w:hAnsi="Theinhardt Bold" w:cs="Theinhardt Bold" w:eastAsia="Theinhardt Bold"/>
          <w:b/>
          <w:bCs/>
          <w:spacing w:val="-1"/>
          <w:sz w:val="18"/>
          <w:szCs w:val="18"/>
        </w:rPr>
        <w:t>in</w:t>
      </w:r>
      <w:r>
        <w:rPr>
          <w:rFonts w:ascii="Theinhardt Bold" w:hAnsi="Theinhardt Bold" w:cs="Theinhardt Bold" w:eastAsia="Theinhardt Bold"/>
          <w:b/>
          <w:bCs/>
          <w:spacing w:val="9"/>
          <w:sz w:val="18"/>
          <w:szCs w:val="18"/>
        </w:rPr>
        <w:t> </w:t>
      </w:r>
      <w:r>
        <w:rPr>
          <w:rFonts w:ascii="Theinhardt Bold" w:hAnsi="Theinhardt Bold" w:cs="Theinhardt Bold" w:eastAsia="Theinhardt Bold"/>
          <w:b/>
          <w:bCs/>
          <w:spacing w:val="-1"/>
          <w:sz w:val="18"/>
          <w:szCs w:val="18"/>
        </w:rPr>
        <w:t>einer</w:t>
      </w:r>
      <w:r>
        <w:rPr>
          <w:rFonts w:ascii="Theinhardt Bold" w:hAnsi="Theinhardt Bold" w:cs="Theinhardt Bold" w:eastAsia="Theinhardt Bold"/>
          <w:b/>
          <w:bCs/>
          <w:spacing w:val="9"/>
          <w:sz w:val="18"/>
          <w:szCs w:val="18"/>
        </w:rPr>
        <w:t> </w:t>
      </w:r>
      <w:r>
        <w:rPr>
          <w:rFonts w:ascii="Theinhardt Bold" w:hAnsi="Theinhardt Bold" w:cs="Theinhardt Bold" w:eastAsia="Theinhardt Bold"/>
          <w:b/>
          <w:bCs/>
          <w:spacing w:val="-1"/>
          <w:sz w:val="18"/>
          <w:szCs w:val="18"/>
        </w:rPr>
        <w:t>gefragten</w:t>
      </w:r>
      <w:r>
        <w:rPr>
          <w:rFonts w:ascii="Theinhardt Bold" w:hAnsi="Theinhardt Bold" w:cs="Theinhardt Bold" w:eastAsia="Theinhardt Bold"/>
          <w:b/>
          <w:bCs/>
          <w:spacing w:val="9"/>
          <w:sz w:val="18"/>
          <w:szCs w:val="18"/>
        </w:rPr>
        <w:t> </w:t>
      </w:r>
      <w:r>
        <w:rPr>
          <w:rFonts w:ascii="Theinhardt Bold" w:hAnsi="Theinhardt Bold" w:cs="Theinhardt Bold" w:eastAsia="Theinhardt Bold"/>
          <w:b/>
          <w:bCs/>
          <w:spacing w:val="-2"/>
          <w:sz w:val="18"/>
          <w:szCs w:val="18"/>
        </w:rPr>
        <w:t>Wohngegend.</w:t>
      </w:r>
      <w:r>
        <w:rPr>
          <w:rFonts w:ascii="Theinhardt Bold" w:hAnsi="Theinhardt Bold" w:cs="Theinhardt Bold" w:eastAsia="Theinhardt Bold"/>
          <w:b/>
          <w:bCs/>
          <w:spacing w:val="2"/>
          <w:sz w:val="18"/>
          <w:szCs w:val="18"/>
        </w:rPr>
        <w:t> </w:t>
      </w:r>
      <w:r>
        <w:rPr>
          <w:rFonts w:ascii="Theinhardt Bold" w:hAnsi="Theinhardt Bold" w:cs="Theinhardt Bold" w:eastAsia="Theinhardt Bold"/>
          <w:b/>
          <w:bCs/>
          <w:sz w:val="18"/>
          <w:szCs w:val="18"/>
        </w:rPr>
        <w:t>Es</w:t>
      </w:r>
      <w:r>
        <w:rPr>
          <w:rFonts w:ascii="Theinhardt Bold" w:hAnsi="Theinhardt Bold" w:cs="Theinhardt Bold" w:eastAsia="Theinhardt Bold"/>
          <w:b/>
          <w:bCs/>
          <w:spacing w:val="59"/>
          <w:sz w:val="18"/>
          <w:szCs w:val="18"/>
        </w:rPr>
        <w:t> </w:t>
      </w:r>
      <w:r>
        <w:rPr>
          <w:rFonts w:ascii="Theinhardt Bold" w:hAnsi="Theinhardt Bold" w:cs="Theinhardt Bold" w:eastAsia="Theinhardt Bold"/>
          <w:b/>
          <w:bCs/>
          <w:spacing w:val="-1"/>
          <w:sz w:val="18"/>
          <w:szCs w:val="18"/>
        </w:rPr>
        <w:t>konsumiert</w:t>
      </w:r>
      <w:r>
        <w:rPr>
          <w:rFonts w:ascii="Theinhardt Bold" w:hAnsi="Theinhardt Bold" w:cs="Theinhardt Bold" w:eastAsia="Theinhardt Bold"/>
          <w:b/>
          <w:bCs/>
          <w:spacing w:val="-2"/>
          <w:sz w:val="18"/>
          <w:szCs w:val="18"/>
        </w:rPr>
        <w:t> </w:t>
      </w:r>
      <w:r>
        <w:rPr>
          <w:rFonts w:ascii="Theinhardt Bold" w:hAnsi="Theinhardt Bold" w:cs="Theinhardt Bold" w:eastAsia="Theinhardt Bold"/>
          <w:b/>
          <w:bCs/>
          <w:spacing w:val="-1"/>
          <w:sz w:val="18"/>
          <w:szCs w:val="18"/>
        </w:rPr>
        <w:t>jährlich 23’500 kWh und</w:t>
      </w:r>
      <w:r>
        <w:rPr>
          <w:rFonts w:ascii="Theinhardt Bold" w:hAnsi="Theinhardt Bold" w:cs="Theinhardt Bold" w:eastAsia="Theinhardt Bold"/>
          <w:b/>
          <w:bCs/>
          <w:spacing w:val="-2"/>
          <w:sz w:val="18"/>
          <w:szCs w:val="18"/>
        </w:rPr>
        <w:t> </w:t>
      </w:r>
      <w:r>
        <w:rPr>
          <w:rFonts w:ascii="Theinhardt Bold" w:hAnsi="Theinhardt Bold" w:cs="Theinhardt Bold" w:eastAsia="Theinhardt Bold"/>
          <w:b/>
          <w:bCs/>
          <w:spacing w:val="-1"/>
          <w:sz w:val="18"/>
          <w:szCs w:val="18"/>
        </w:rPr>
        <w:t>produziert mit monokristallinen Solarzellen und</w:t>
      </w:r>
      <w:r>
        <w:rPr>
          <w:rFonts w:ascii="Theinhardt Bold" w:hAnsi="Theinhardt Bold" w:cs="Theinhardt Bold" w:eastAsia="Theinhardt Bold"/>
          <w:b/>
          <w:bCs/>
          <w:spacing w:val="-2"/>
          <w:sz w:val="18"/>
          <w:szCs w:val="18"/>
        </w:rPr>
        <w:t> </w:t>
      </w:r>
      <w:r>
        <w:rPr>
          <w:rFonts w:ascii="Theinhardt Bold" w:hAnsi="Theinhardt Bold" w:cs="Theinhardt Bold" w:eastAsia="Theinhardt Bold"/>
          <w:b/>
          <w:bCs/>
          <w:spacing w:val="-1"/>
          <w:sz w:val="18"/>
          <w:szCs w:val="18"/>
        </w:rPr>
        <w:t>vollflächig</w:t>
      </w:r>
      <w:r>
        <w:rPr>
          <w:rFonts w:ascii="Theinhardt Bold" w:hAnsi="Theinhardt Bold" w:cs="Theinhardt Bold" w:eastAsia="Theinhardt Bold"/>
          <w:b/>
          <w:bCs/>
          <w:spacing w:val="57"/>
          <w:sz w:val="18"/>
          <w:szCs w:val="18"/>
        </w:rPr>
        <w:t> </w:t>
      </w:r>
      <w:r>
        <w:rPr>
          <w:rFonts w:ascii="Theinhardt Bold" w:hAnsi="Theinhardt Bold" w:cs="Theinhardt Bold" w:eastAsia="Theinhardt Bold"/>
          <w:b/>
          <w:bCs/>
          <w:spacing w:val="-1"/>
          <w:sz w:val="18"/>
          <w:szCs w:val="18"/>
        </w:rPr>
        <w:t>integrierter</w:t>
      </w:r>
      <w:r>
        <w:rPr>
          <w:rFonts w:ascii="Theinhardt Bold" w:hAnsi="Theinhardt Bold" w:cs="Theinhardt Bold" w:eastAsia="Theinhardt Bold"/>
          <w:b/>
          <w:bCs/>
          <w:spacing w:val="22"/>
          <w:sz w:val="18"/>
          <w:szCs w:val="18"/>
        </w:rPr>
        <w:t> </w:t>
      </w:r>
      <w:r>
        <w:rPr>
          <w:rFonts w:ascii="Theinhardt Bold" w:hAnsi="Theinhardt Bold" w:cs="Theinhardt Bold" w:eastAsia="Theinhardt Bold"/>
          <w:b/>
          <w:bCs/>
          <w:spacing w:val="-1"/>
          <w:sz w:val="18"/>
          <w:szCs w:val="18"/>
        </w:rPr>
        <w:t>PV-Dachanlage</w:t>
      </w:r>
      <w:r>
        <w:rPr>
          <w:rFonts w:ascii="Theinhardt Bold" w:hAnsi="Theinhardt Bold" w:cs="Theinhardt Bold" w:eastAsia="Theinhardt Bold"/>
          <w:b/>
          <w:bCs/>
          <w:spacing w:val="22"/>
          <w:sz w:val="18"/>
          <w:szCs w:val="18"/>
        </w:rPr>
        <w:t> </w:t>
      </w:r>
      <w:r>
        <w:rPr>
          <w:rFonts w:ascii="Theinhardt Bold" w:hAnsi="Theinhardt Bold" w:cs="Theinhardt Bold" w:eastAsia="Theinhardt Bold"/>
          <w:b/>
          <w:bCs/>
          <w:spacing w:val="-1"/>
          <w:sz w:val="18"/>
          <w:szCs w:val="18"/>
        </w:rPr>
        <w:t>13’700</w:t>
      </w:r>
      <w:r>
        <w:rPr>
          <w:rFonts w:ascii="Theinhardt Bold" w:hAnsi="Theinhardt Bold" w:cs="Theinhardt Bold" w:eastAsia="Theinhardt Bold"/>
          <w:b/>
          <w:bCs/>
          <w:spacing w:val="22"/>
          <w:sz w:val="18"/>
          <w:szCs w:val="18"/>
        </w:rPr>
        <w:t> </w:t>
      </w:r>
      <w:r>
        <w:rPr>
          <w:rFonts w:ascii="Theinhardt Bold" w:hAnsi="Theinhardt Bold" w:cs="Theinhardt Bold" w:eastAsia="Theinhardt Bold"/>
          <w:b/>
          <w:bCs/>
          <w:spacing w:val="-3"/>
          <w:sz w:val="18"/>
          <w:szCs w:val="18"/>
        </w:rPr>
        <w:t>kWh/a.</w:t>
      </w:r>
      <w:r>
        <w:rPr>
          <w:rFonts w:ascii="Theinhardt Bold" w:hAnsi="Theinhardt Bold" w:cs="Theinhardt Bold" w:eastAsia="Theinhardt Bold"/>
          <w:b/>
          <w:bCs/>
          <w:spacing w:val="15"/>
          <w:sz w:val="18"/>
          <w:szCs w:val="18"/>
        </w:rPr>
        <w:t> </w:t>
      </w:r>
      <w:r>
        <w:rPr>
          <w:rFonts w:ascii="Theinhardt Bold" w:hAnsi="Theinhardt Bold" w:cs="Theinhardt Bold" w:eastAsia="Theinhardt Bold"/>
          <w:b/>
          <w:bCs/>
          <w:sz w:val="18"/>
          <w:szCs w:val="18"/>
        </w:rPr>
        <w:t>Der</w:t>
      </w:r>
      <w:r>
        <w:rPr>
          <w:rFonts w:ascii="Theinhardt Bold" w:hAnsi="Theinhardt Bold" w:cs="Theinhardt Bold" w:eastAsia="Theinhardt Bold"/>
          <w:b/>
          <w:bCs/>
          <w:spacing w:val="22"/>
          <w:sz w:val="18"/>
          <w:szCs w:val="18"/>
        </w:rPr>
        <w:t> </w:t>
      </w:r>
      <w:r>
        <w:rPr>
          <w:rFonts w:ascii="Theinhardt Bold" w:hAnsi="Theinhardt Bold" w:cs="Theinhardt Bold" w:eastAsia="Theinhardt Bold"/>
          <w:b/>
          <w:bCs/>
          <w:spacing w:val="-1"/>
          <w:sz w:val="18"/>
          <w:szCs w:val="18"/>
        </w:rPr>
        <w:t>Neubau</w:t>
      </w:r>
      <w:r>
        <w:rPr>
          <w:rFonts w:ascii="Theinhardt Bold" w:hAnsi="Theinhardt Bold" w:cs="Theinhardt Bold" w:eastAsia="Theinhardt Bold"/>
          <w:b/>
          <w:bCs/>
          <w:spacing w:val="22"/>
          <w:sz w:val="18"/>
          <w:szCs w:val="18"/>
        </w:rPr>
        <w:t> </w:t>
      </w:r>
      <w:r>
        <w:rPr>
          <w:rFonts w:ascii="Theinhardt Bold" w:hAnsi="Theinhardt Bold" w:cs="Theinhardt Bold" w:eastAsia="Theinhardt Bold"/>
          <w:b/>
          <w:bCs/>
          <w:spacing w:val="-1"/>
          <w:sz w:val="18"/>
          <w:szCs w:val="18"/>
        </w:rPr>
        <w:t>erreicht</w:t>
      </w:r>
      <w:r>
        <w:rPr>
          <w:rFonts w:ascii="Theinhardt Bold" w:hAnsi="Theinhardt Bold" w:cs="Theinhardt Bold" w:eastAsia="Theinhardt Bold"/>
          <w:b/>
          <w:bCs/>
          <w:spacing w:val="22"/>
          <w:sz w:val="18"/>
          <w:szCs w:val="18"/>
        </w:rPr>
        <w:t> </w:t>
      </w:r>
      <w:r>
        <w:rPr>
          <w:rFonts w:ascii="Theinhardt Bold" w:hAnsi="Theinhardt Bold" w:cs="Theinhardt Bold" w:eastAsia="Theinhardt Bold"/>
          <w:b/>
          <w:bCs/>
          <w:spacing w:val="-1"/>
          <w:sz w:val="18"/>
          <w:szCs w:val="18"/>
        </w:rPr>
        <w:t>dank</w:t>
      </w:r>
      <w:r>
        <w:rPr>
          <w:rFonts w:ascii="Theinhardt Bold" w:hAnsi="Theinhardt Bold" w:cs="Theinhardt Bold" w:eastAsia="Theinhardt Bold"/>
          <w:b/>
          <w:bCs/>
          <w:spacing w:val="22"/>
          <w:sz w:val="18"/>
          <w:szCs w:val="18"/>
        </w:rPr>
        <w:t> </w:t>
      </w:r>
      <w:r>
        <w:rPr>
          <w:rFonts w:ascii="Theinhardt Bold" w:hAnsi="Theinhardt Bold" w:cs="Theinhardt Bold" w:eastAsia="Theinhardt Bold"/>
          <w:b/>
          <w:bCs/>
          <w:spacing w:val="-1"/>
          <w:sz w:val="18"/>
          <w:szCs w:val="18"/>
        </w:rPr>
        <w:t>guter</w:t>
      </w:r>
      <w:r>
        <w:rPr>
          <w:rFonts w:ascii="Theinhardt Bold" w:hAnsi="Theinhardt Bold" w:cs="Theinhardt Bold" w:eastAsia="Theinhardt Bold"/>
          <w:b/>
          <w:bCs/>
          <w:spacing w:val="22"/>
          <w:sz w:val="18"/>
          <w:szCs w:val="18"/>
        </w:rPr>
        <w:t> </w:t>
      </w:r>
      <w:r>
        <w:rPr>
          <w:rFonts w:ascii="Theinhardt Bold" w:hAnsi="Theinhardt Bold" w:cs="Theinhardt Bold" w:eastAsia="Theinhardt Bold"/>
          <w:b/>
          <w:bCs/>
          <w:spacing w:val="-1"/>
          <w:sz w:val="18"/>
          <w:szCs w:val="18"/>
        </w:rPr>
        <w:t>Wärmedämmung,</w:t>
      </w:r>
      <w:r>
        <w:rPr>
          <w:rFonts w:ascii="Theinhardt Bold" w:hAnsi="Theinhardt Bold" w:cs="Theinhardt Bold" w:eastAsia="Theinhardt Bold"/>
          <w:b/>
          <w:bCs/>
          <w:spacing w:val="60"/>
          <w:sz w:val="18"/>
          <w:szCs w:val="18"/>
        </w:rPr>
        <w:t> </w:t>
      </w:r>
      <w:r>
        <w:rPr>
          <w:rFonts w:ascii="Theinhardt Bold" w:hAnsi="Theinhardt Bold" w:cs="Theinhardt Bold" w:eastAsia="Theinhardt Bold"/>
          <w:b/>
          <w:bCs/>
          <w:spacing w:val="-1"/>
          <w:sz w:val="18"/>
          <w:szCs w:val="18"/>
        </w:rPr>
        <w:t>Komfortlüftung</w:t>
      </w:r>
      <w:r>
        <w:rPr>
          <w:rFonts w:ascii="Theinhardt Bold" w:hAnsi="Theinhardt Bold" w:cs="Theinhardt Bold" w:eastAsia="Theinhardt Bold"/>
          <w:b/>
          <w:bCs/>
          <w:spacing w:val="18"/>
          <w:sz w:val="18"/>
          <w:szCs w:val="18"/>
        </w:rPr>
        <w:t> </w:t>
      </w:r>
      <w:r>
        <w:rPr>
          <w:rFonts w:ascii="Theinhardt Bold" w:hAnsi="Theinhardt Bold" w:cs="Theinhardt Bold" w:eastAsia="Theinhardt Bold"/>
          <w:b/>
          <w:bCs/>
          <w:spacing w:val="-1"/>
          <w:sz w:val="18"/>
          <w:szCs w:val="18"/>
        </w:rPr>
        <w:t>und</w:t>
      </w:r>
      <w:r>
        <w:rPr>
          <w:rFonts w:ascii="Theinhardt Bold" w:hAnsi="Theinhardt Bold" w:cs="Theinhardt Bold" w:eastAsia="Theinhardt Bold"/>
          <w:b/>
          <w:bCs/>
          <w:spacing w:val="18"/>
          <w:sz w:val="18"/>
          <w:szCs w:val="18"/>
        </w:rPr>
        <w:t> </w:t>
      </w:r>
      <w:r>
        <w:rPr>
          <w:rFonts w:ascii="Theinhardt Bold" w:hAnsi="Theinhardt Bold" w:cs="Theinhardt Bold" w:eastAsia="Theinhardt Bold"/>
          <w:b/>
          <w:bCs/>
          <w:spacing w:val="-1"/>
          <w:sz w:val="18"/>
          <w:szCs w:val="18"/>
        </w:rPr>
        <w:t>Wärmerückgewinnungsanlage</w:t>
      </w:r>
      <w:r>
        <w:rPr>
          <w:rFonts w:ascii="Theinhardt Bold" w:hAnsi="Theinhardt Bold" w:cs="Theinhardt Bold" w:eastAsia="Theinhardt Bold"/>
          <w:b/>
          <w:bCs/>
          <w:spacing w:val="18"/>
          <w:sz w:val="18"/>
          <w:szCs w:val="18"/>
        </w:rPr>
        <w:t> </w:t>
      </w:r>
      <w:r>
        <w:rPr>
          <w:rFonts w:ascii="Theinhardt Bold" w:hAnsi="Theinhardt Bold" w:cs="Theinhardt Bold" w:eastAsia="Theinhardt Bold"/>
          <w:b/>
          <w:bCs/>
          <w:spacing w:val="-1"/>
          <w:sz w:val="18"/>
          <w:szCs w:val="18"/>
        </w:rPr>
        <w:t>einen</w:t>
      </w:r>
      <w:r>
        <w:rPr>
          <w:rFonts w:ascii="Theinhardt Bold" w:hAnsi="Theinhardt Bold" w:cs="Theinhardt Bold" w:eastAsia="Theinhardt Bold"/>
          <w:b/>
          <w:bCs/>
          <w:spacing w:val="18"/>
          <w:sz w:val="18"/>
          <w:szCs w:val="18"/>
        </w:rPr>
        <w:t> </w:t>
      </w:r>
      <w:r>
        <w:rPr>
          <w:rFonts w:ascii="Theinhardt Bold" w:hAnsi="Theinhardt Bold" w:cs="Theinhardt Bold" w:eastAsia="Theinhardt Bold"/>
          <w:b/>
          <w:bCs/>
          <w:spacing w:val="-2"/>
          <w:sz w:val="18"/>
          <w:szCs w:val="18"/>
        </w:rPr>
        <w:t>Eigenenergieversorgungsgrad</w:t>
      </w:r>
      <w:r>
        <w:rPr>
          <w:rFonts w:ascii="Theinhardt Bold" w:hAnsi="Theinhardt Bold" w:cs="Theinhardt Bold" w:eastAsia="Theinhardt Bold"/>
          <w:b/>
          <w:bCs/>
          <w:spacing w:val="18"/>
          <w:sz w:val="18"/>
          <w:szCs w:val="18"/>
        </w:rPr>
        <w:t> </w:t>
      </w:r>
      <w:r>
        <w:rPr>
          <w:rFonts w:ascii="Theinhardt Bold" w:hAnsi="Theinhardt Bold" w:cs="Theinhardt Bold" w:eastAsia="Theinhardt Bold"/>
          <w:b/>
          <w:bCs/>
          <w:spacing w:val="-1"/>
          <w:sz w:val="18"/>
          <w:szCs w:val="18"/>
        </w:rPr>
        <w:t>von</w:t>
      </w:r>
      <w:r>
        <w:rPr>
          <w:rFonts w:ascii="Theinhardt Bold" w:hAnsi="Theinhardt Bold" w:cs="Theinhardt Bold" w:eastAsia="Theinhardt Bold"/>
          <w:b/>
          <w:bCs/>
          <w:spacing w:val="62"/>
          <w:sz w:val="18"/>
          <w:szCs w:val="18"/>
        </w:rPr>
        <w:t> </w:t>
      </w:r>
      <w:r>
        <w:rPr>
          <w:rFonts w:ascii="Theinhardt Bold" w:hAnsi="Theinhardt Bold" w:cs="Theinhardt Bold" w:eastAsia="Theinhardt Bold"/>
          <w:b/>
          <w:bCs/>
          <w:spacing w:val="-1"/>
          <w:sz w:val="18"/>
          <w:szCs w:val="18"/>
        </w:rPr>
        <w:t>rund</w:t>
      </w:r>
      <w:r>
        <w:rPr>
          <w:rFonts w:ascii="Theinhardt Bold" w:hAnsi="Theinhardt Bold" w:cs="Theinhardt Bold" w:eastAsia="Theinhardt Bold"/>
          <w:b/>
          <w:bCs/>
          <w:spacing w:val="6"/>
          <w:sz w:val="18"/>
          <w:szCs w:val="18"/>
        </w:rPr>
        <w:t> </w:t>
      </w:r>
      <w:r>
        <w:rPr>
          <w:rFonts w:ascii="Theinhardt Bold" w:hAnsi="Theinhardt Bold" w:cs="Theinhardt Bold" w:eastAsia="Theinhardt Bold"/>
          <w:b/>
          <w:bCs/>
          <w:spacing w:val="-1"/>
          <w:sz w:val="18"/>
          <w:szCs w:val="18"/>
        </w:rPr>
        <w:t>58%.</w:t>
      </w:r>
      <w:r>
        <w:rPr>
          <w:rFonts w:ascii="Theinhardt Bold" w:hAnsi="Theinhardt Bold" w:cs="Theinhardt Bold" w:eastAsia="Theinhardt Bold"/>
          <w:b/>
          <w:bCs/>
          <w:spacing w:val="-8"/>
          <w:sz w:val="18"/>
          <w:szCs w:val="18"/>
        </w:rPr>
        <w:t> </w:t>
      </w:r>
      <w:r>
        <w:rPr>
          <w:rFonts w:ascii="Theinhardt Bold" w:hAnsi="Theinhardt Bold" w:cs="Theinhardt Bold" w:eastAsia="Theinhardt Bold"/>
          <w:b/>
          <w:bCs/>
          <w:spacing w:val="-3"/>
          <w:sz w:val="18"/>
          <w:szCs w:val="18"/>
        </w:rPr>
        <w:t>Trotz</w:t>
      </w:r>
      <w:r>
        <w:rPr>
          <w:rFonts w:ascii="Theinhardt Bold" w:hAnsi="Theinhardt Bold" w:cs="Theinhardt Bold" w:eastAsia="Theinhardt Bold"/>
          <w:b/>
          <w:bCs/>
          <w:spacing w:val="6"/>
          <w:sz w:val="18"/>
          <w:szCs w:val="18"/>
        </w:rPr>
        <w:t> </w:t>
      </w:r>
      <w:r>
        <w:rPr>
          <w:rFonts w:ascii="Theinhardt Bold" w:hAnsi="Theinhardt Bold" w:cs="Theinhardt Bold" w:eastAsia="Theinhardt Bold"/>
          <w:b/>
          <w:bCs/>
          <w:spacing w:val="-1"/>
          <w:sz w:val="18"/>
          <w:szCs w:val="18"/>
        </w:rPr>
        <w:t>modernen</w:t>
      </w:r>
      <w:r>
        <w:rPr>
          <w:rFonts w:ascii="Theinhardt Bold" w:hAnsi="Theinhardt Bold" w:cs="Theinhardt Bold" w:eastAsia="Theinhardt Bold"/>
          <w:b/>
          <w:bCs/>
          <w:spacing w:val="6"/>
          <w:sz w:val="18"/>
          <w:szCs w:val="18"/>
        </w:rPr>
        <w:t> </w:t>
      </w:r>
      <w:r>
        <w:rPr>
          <w:rFonts w:ascii="Theinhardt Bold" w:hAnsi="Theinhardt Bold" w:cs="Theinhardt Bold" w:eastAsia="Theinhardt Bold"/>
          <w:b/>
          <w:bCs/>
          <w:spacing w:val="-1"/>
          <w:sz w:val="18"/>
          <w:szCs w:val="18"/>
        </w:rPr>
        <w:t>Designs</w:t>
      </w:r>
      <w:r>
        <w:rPr>
          <w:rFonts w:ascii="Theinhardt Bold" w:hAnsi="Theinhardt Bold" w:cs="Theinhardt Bold" w:eastAsia="Theinhardt Bold"/>
          <w:b/>
          <w:bCs/>
          <w:spacing w:val="6"/>
          <w:sz w:val="18"/>
          <w:szCs w:val="18"/>
        </w:rPr>
        <w:t> </w:t>
      </w:r>
      <w:r>
        <w:rPr>
          <w:rFonts w:ascii="Theinhardt Bold" w:hAnsi="Theinhardt Bold" w:cs="Theinhardt Bold" w:eastAsia="Theinhardt Bold"/>
          <w:b/>
          <w:bCs/>
          <w:spacing w:val="-1"/>
          <w:sz w:val="18"/>
          <w:szCs w:val="18"/>
        </w:rPr>
        <w:t>passt</w:t>
      </w:r>
      <w:r>
        <w:rPr>
          <w:rFonts w:ascii="Theinhardt Bold" w:hAnsi="Theinhardt Bold" w:cs="Theinhardt Bold" w:eastAsia="Theinhardt Bold"/>
          <w:b/>
          <w:bCs/>
          <w:spacing w:val="6"/>
          <w:sz w:val="18"/>
          <w:szCs w:val="18"/>
        </w:rPr>
        <w:t> </w:t>
      </w:r>
      <w:r>
        <w:rPr>
          <w:rFonts w:ascii="Theinhardt Bold" w:hAnsi="Theinhardt Bold" w:cs="Theinhardt Bold" w:eastAsia="Theinhardt Bold"/>
          <w:b/>
          <w:bCs/>
          <w:spacing w:val="-1"/>
          <w:sz w:val="18"/>
          <w:szCs w:val="18"/>
        </w:rPr>
        <w:t>der</w:t>
      </w:r>
      <w:r>
        <w:rPr>
          <w:rFonts w:ascii="Theinhardt Bold" w:hAnsi="Theinhardt Bold" w:cs="Theinhardt Bold" w:eastAsia="Theinhardt Bold"/>
          <w:b/>
          <w:bCs/>
          <w:spacing w:val="6"/>
          <w:sz w:val="18"/>
          <w:szCs w:val="18"/>
        </w:rPr>
        <w:t> </w:t>
      </w:r>
      <w:r>
        <w:rPr>
          <w:rFonts w:ascii="Theinhardt Bold" w:hAnsi="Theinhardt Bold" w:cs="Theinhardt Bold" w:eastAsia="Theinhardt Bold"/>
          <w:b/>
          <w:bCs/>
          <w:spacing w:val="-1"/>
          <w:sz w:val="18"/>
          <w:szCs w:val="18"/>
        </w:rPr>
        <w:t>Neubau</w:t>
      </w:r>
      <w:r>
        <w:rPr>
          <w:rFonts w:ascii="Theinhardt Bold" w:hAnsi="Theinhardt Bold" w:cs="Theinhardt Bold" w:eastAsia="Theinhardt Bold"/>
          <w:b/>
          <w:bCs/>
          <w:spacing w:val="6"/>
          <w:sz w:val="18"/>
          <w:szCs w:val="18"/>
        </w:rPr>
        <w:t> </w:t>
      </w:r>
      <w:r>
        <w:rPr>
          <w:rFonts w:ascii="Theinhardt Bold" w:hAnsi="Theinhardt Bold" w:cs="Theinhardt Bold" w:eastAsia="Theinhardt Bold"/>
          <w:b/>
          <w:bCs/>
          <w:spacing w:val="-1"/>
          <w:sz w:val="18"/>
          <w:szCs w:val="18"/>
        </w:rPr>
        <w:t>in</w:t>
      </w:r>
      <w:r>
        <w:rPr>
          <w:rFonts w:ascii="Theinhardt Bold" w:hAnsi="Theinhardt Bold" w:cs="Theinhardt Bold" w:eastAsia="Theinhardt Bold"/>
          <w:b/>
          <w:bCs/>
          <w:spacing w:val="6"/>
          <w:sz w:val="18"/>
          <w:szCs w:val="18"/>
        </w:rPr>
        <w:t> </w:t>
      </w:r>
      <w:r>
        <w:rPr>
          <w:rFonts w:ascii="Theinhardt Bold" w:hAnsi="Theinhardt Bold" w:cs="Theinhardt Bold" w:eastAsia="Theinhardt Bold"/>
          <w:b/>
          <w:bCs/>
          <w:spacing w:val="-1"/>
          <w:sz w:val="18"/>
          <w:szCs w:val="18"/>
        </w:rPr>
        <w:t>die</w:t>
      </w:r>
      <w:r>
        <w:rPr>
          <w:rFonts w:ascii="Theinhardt Bold" w:hAnsi="Theinhardt Bold" w:cs="Theinhardt Bold" w:eastAsia="Theinhardt Bold"/>
          <w:b/>
          <w:bCs/>
          <w:spacing w:val="6"/>
          <w:sz w:val="18"/>
          <w:szCs w:val="18"/>
        </w:rPr>
        <w:t> </w:t>
      </w:r>
      <w:r>
        <w:rPr>
          <w:rFonts w:ascii="Theinhardt Bold" w:hAnsi="Theinhardt Bold" w:cs="Theinhardt Bold" w:eastAsia="Theinhardt Bold"/>
          <w:b/>
          <w:bCs/>
          <w:spacing w:val="-1"/>
          <w:sz w:val="18"/>
          <w:szCs w:val="18"/>
        </w:rPr>
        <w:t>städtische, bisher</w:t>
      </w:r>
      <w:r>
        <w:rPr>
          <w:rFonts w:ascii="Theinhardt Bold" w:hAnsi="Theinhardt Bold" w:cs="Theinhardt Bold" w:eastAsia="Theinhardt Bold"/>
          <w:b/>
          <w:bCs/>
          <w:spacing w:val="6"/>
          <w:sz w:val="18"/>
          <w:szCs w:val="18"/>
        </w:rPr>
        <w:t> </w:t>
      </w:r>
      <w:r>
        <w:rPr>
          <w:rFonts w:ascii="Theinhardt Bold" w:hAnsi="Theinhardt Bold" w:cs="Theinhardt Bold" w:eastAsia="Theinhardt Bold"/>
          <w:b/>
          <w:bCs/>
          <w:spacing w:val="-1"/>
          <w:sz w:val="18"/>
          <w:szCs w:val="18"/>
        </w:rPr>
        <w:t>eher</w:t>
      </w:r>
      <w:r>
        <w:rPr>
          <w:rFonts w:ascii="Theinhardt Bold" w:hAnsi="Theinhardt Bold" w:cs="Theinhardt Bold" w:eastAsia="Theinhardt Bold"/>
          <w:b/>
          <w:bCs/>
          <w:spacing w:val="6"/>
          <w:sz w:val="18"/>
          <w:szCs w:val="18"/>
        </w:rPr>
        <w:t> </w:t>
      </w:r>
      <w:r>
        <w:rPr>
          <w:rFonts w:ascii="Theinhardt Bold" w:hAnsi="Theinhardt Bold" w:cs="Theinhardt Bold" w:eastAsia="Theinhardt Bold"/>
          <w:b/>
          <w:bCs/>
          <w:spacing w:val="-1"/>
          <w:sz w:val="18"/>
          <w:szCs w:val="18"/>
        </w:rPr>
        <w:t>traditionell</w:t>
      </w:r>
      <w:r>
        <w:rPr>
          <w:rFonts w:ascii="Theinhardt Bold" w:hAnsi="Theinhardt Bold" w:cs="Theinhardt Bold" w:eastAsia="Theinhardt Bold"/>
          <w:b/>
          <w:bCs/>
          <w:spacing w:val="53"/>
          <w:sz w:val="18"/>
          <w:szCs w:val="18"/>
        </w:rPr>
        <w:t> </w:t>
      </w:r>
      <w:r>
        <w:rPr>
          <w:rFonts w:ascii="Theinhardt Bold" w:hAnsi="Theinhardt Bold" w:cs="Theinhardt Bold" w:eastAsia="Theinhardt Bold"/>
          <w:b/>
          <w:bCs/>
          <w:spacing w:val="-1"/>
          <w:sz w:val="18"/>
          <w:szCs w:val="18"/>
        </w:rPr>
        <w:t>gehaltene</w:t>
      </w:r>
      <w:r>
        <w:rPr>
          <w:rFonts w:ascii="Theinhardt Bold" w:hAnsi="Theinhardt Bold" w:cs="Theinhardt Bold" w:eastAsia="Theinhardt Bold"/>
          <w:b/>
          <w:bCs/>
          <w:spacing w:val="-2"/>
          <w:sz w:val="18"/>
          <w:szCs w:val="18"/>
        </w:rPr>
        <w:t> Reihenhauszeile </w:t>
      </w:r>
      <w:r>
        <w:rPr>
          <w:rFonts w:ascii="Theinhardt Bold" w:hAnsi="Theinhardt Bold" w:cs="Theinhardt Bold" w:eastAsia="Theinhardt Bold"/>
          <w:b/>
          <w:bCs/>
          <w:spacing w:val="-1"/>
          <w:sz w:val="18"/>
          <w:szCs w:val="18"/>
        </w:rPr>
        <w:t>und</w:t>
      </w:r>
      <w:r>
        <w:rPr>
          <w:rFonts w:ascii="Theinhardt Bold" w:hAnsi="Theinhardt Bold" w:cs="Theinhardt Bold" w:eastAsia="Theinhardt Bold"/>
          <w:b/>
          <w:bCs/>
          <w:spacing w:val="-2"/>
          <w:sz w:val="18"/>
          <w:szCs w:val="18"/>
        </w:rPr>
        <w:t> </w:t>
      </w:r>
      <w:r>
        <w:rPr>
          <w:rFonts w:ascii="Theinhardt Bold" w:hAnsi="Theinhardt Bold" w:cs="Theinhardt Bold" w:eastAsia="Theinhardt Bold"/>
          <w:b/>
          <w:bCs/>
          <w:spacing w:val="-1"/>
          <w:sz w:val="18"/>
          <w:szCs w:val="18"/>
        </w:rPr>
        <w:t>verleiht</w:t>
      </w:r>
      <w:r>
        <w:rPr>
          <w:rFonts w:ascii="Theinhardt Bold" w:hAnsi="Theinhardt Bold" w:cs="Theinhardt Bold" w:eastAsia="Theinhardt Bold"/>
          <w:b/>
          <w:bCs/>
          <w:spacing w:val="-2"/>
          <w:sz w:val="18"/>
          <w:szCs w:val="18"/>
        </w:rPr>
        <w:t> </w:t>
      </w:r>
      <w:r>
        <w:rPr>
          <w:rFonts w:ascii="Theinhardt Bold" w:hAnsi="Theinhardt Bold" w:cs="Theinhardt Bold" w:eastAsia="Theinhardt Bold"/>
          <w:b/>
          <w:bCs/>
          <w:spacing w:val="-1"/>
          <w:sz w:val="18"/>
          <w:szCs w:val="18"/>
        </w:rPr>
        <w:t>ihr</w:t>
      </w:r>
      <w:r>
        <w:rPr>
          <w:rFonts w:ascii="Theinhardt Bold" w:hAnsi="Theinhardt Bold" w:cs="Theinhardt Bold" w:eastAsia="Theinhardt Bold"/>
          <w:b/>
          <w:bCs/>
          <w:spacing w:val="-2"/>
          <w:sz w:val="18"/>
          <w:szCs w:val="18"/>
        </w:rPr>
        <w:t> </w:t>
      </w:r>
      <w:r>
        <w:rPr>
          <w:rFonts w:ascii="Theinhardt Bold" w:hAnsi="Theinhardt Bold" w:cs="Theinhardt Bold" w:eastAsia="Theinhardt Bold"/>
          <w:b/>
          <w:bCs/>
          <w:spacing w:val="-1"/>
          <w:sz w:val="18"/>
          <w:szCs w:val="18"/>
        </w:rPr>
        <w:t>einen</w:t>
      </w:r>
      <w:r>
        <w:rPr>
          <w:rFonts w:ascii="Theinhardt Bold" w:hAnsi="Theinhardt Bold" w:cs="Theinhardt Bold" w:eastAsia="Theinhardt Bold"/>
          <w:b/>
          <w:bCs/>
          <w:spacing w:val="-2"/>
          <w:sz w:val="18"/>
          <w:szCs w:val="18"/>
        </w:rPr>
        <w:t> </w:t>
      </w:r>
      <w:r>
        <w:rPr>
          <w:rFonts w:ascii="Theinhardt Bold" w:hAnsi="Theinhardt Bold" w:cs="Theinhardt Bold" w:eastAsia="Theinhardt Bold"/>
          <w:b/>
          <w:bCs/>
          <w:spacing w:val="-1"/>
          <w:sz w:val="18"/>
          <w:szCs w:val="18"/>
        </w:rPr>
        <w:t>spannenden</w:t>
      </w:r>
      <w:r>
        <w:rPr>
          <w:rFonts w:ascii="Theinhardt Bold" w:hAnsi="Theinhardt Bold" w:cs="Theinhardt Bold" w:eastAsia="Theinhardt Bold"/>
          <w:b/>
          <w:bCs/>
          <w:spacing w:val="-2"/>
          <w:sz w:val="18"/>
          <w:szCs w:val="18"/>
        </w:rPr>
        <w:t> </w:t>
      </w:r>
      <w:r>
        <w:rPr>
          <w:rFonts w:ascii="Theinhardt Bold" w:hAnsi="Theinhardt Bold" w:cs="Theinhardt Bold" w:eastAsia="Theinhardt Bold"/>
          <w:b/>
          <w:bCs/>
          <w:spacing w:val="-1"/>
          <w:sz w:val="18"/>
          <w:szCs w:val="18"/>
        </w:rPr>
        <w:t>Gesamteindruck.</w:t>
      </w:r>
      <w:r>
        <w:rPr>
          <w:rFonts w:ascii="Theinhardt Bold" w:hAnsi="Theinhardt Bold" w:cs="Theinhardt Bold" w:eastAsia="Theinhardt Bold"/>
          <w:sz w:val="18"/>
          <w:szCs w:val="18"/>
        </w:rPr>
      </w:r>
    </w:p>
    <w:p>
      <w:pPr>
        <w:spacing w:after="0" w:line="230" w:lineRule="exact"/>
        <w:jc w:val="both"/>
        <w:rPr>
          <w:rFonts w:ascii="Theinhardt Bold" w:hAnsi="Theinhardt Bold" w:cs="Theinhardt Bold" w:eastAsia="Theinhardt Bold"/>
          <w:sz w:val="18"/>
          <w:szCs w:val="18"/>
        </w:rPr>
        <w:sectPr>
          <w:type w:val="continuous"/>
          <w:pgSz w:w="11910" w:h="16840"/>
          <w:pgMar w:top="860" w:bottom="280" w:left="400" w:right="740"/>
          <w:cols w:num="2" w:equalWidth="0">
            <w:col w:w="2607" w:space="72"/>
            <w:col w:w="8091"/>
          </w:cols>
        </w:sectPr>
      </w:pPr>
    </w:p>
    <w:p>
      <w:pPr>
        <w:spacing w:line="240" w:lineRule="auto" w:before="0"/>
        <w:rPr>
          <w:rFonts w:ascii="Theinhardt Bold" w:hAnsi="Theinhardt Bold" w:cs="Theinhardt Bold" w:eastAsia="Theinhardt Bold"/>
          <w:b/>
          <w:bCs/>
          <w:sz w:val="20"/>
          <w:szCs w:val="20"/>
        </w:rPr>
      </w:pPr>
    </w:p>
    <w:p>
      <w:pPr>
        <w:spacing w:line="240" w:lineRule="auto" w:before="0"/>
        <w:rPr>
          <w:rFonts w:ascii="Theinhardt Bold" w:hAnsi="Theinhardt Bold" w:cs="Theinhardt Bold" w:eastAsia="Theinhardt Bold"/>
          <w:b/>
          <w:bCs/>
          <w:sz w:val="20"/>
          <w:szCs w:val="20"/>
        </w:rPr>
      </w:pPr>
    </w:p>
    <w:p>
      <w:pPr>
        <w:spacing w:line="240" w:lineRule="auto" w:before="0"/>
        <w:rPr>
          <w:rFonts w:ascii="Theinhardt Bold" w:hAnsi="Theinhardt Bold" w:cs="Theinhardt Bold" w:eastAsia="Theinhardt Bold"/>
          <w:b/>
          <w:bCs/>
          <w:sz w:val="20"/>
          <w:szCs w:val="20"/>
        </w:rPr>
      </w:pPr>
    </w:p>
    <w:p>
      <w:pPr>
        <w:spacing w:line="240" w:lineRule="auto" w:before="0"/>
        <w:rPr>
          <w:rFonts w:ascii="Theinhardt Bold" w:hAnsi="Theinhardt Bold" w:cs="Theinhardt Bold" w:eastAsia="Theinhardt Bold"/>
          <w:b/>
          <w:bCs/>
          <w:sz w:val="20"/>
          <w:szCs w:val="20"/>
        </w:rPr>
      </w:pPr>
    </w:p>
    <w:p>
      <w:pPr>
        <w:spacing w:line="240" w:lineRule="auto" w:before="0"/>
        <w:rPr>
          <w:rFonts w:ascii="Theinhardt Bold" w:hAnsi="Theinhardt Bold" w:cs="Theinhardt Bold" w:eastAsia="Theinhardt Bold"/>
          <w:b/>
          <w:bCs/>
          <w:sz w:val="20"/>
          <w:szCs w:val="20"/>
        </w:rPr>
      </w:pPr>
    </w:p>
    <w:p>
      <w:pPr>
        <w:spacing w:line="240" w:lineRule="auto" w:before="0"/>
        <w:rPr>
          <w:rFonts w:ascii="Theinhardt Bold" w:hAnsi="Theinhardt Bold" w:cs="Theinhardt Bold" w:eastAsia="Theinhardt Bold"/>
          <w:b/>
          <w:bCs/>
          <w:sz w:val="20"/>
          <w:szCs w:val="20"/>
        </w:rPr>
      </w:pPr>
    </w:p>
    <w:p>
      <w:pPr>
        <w:spacing w:line="240" w:lineRule="auto" w:before="0"/>
        <w:rPr>
          <w:rFonts w:ascii="Theinhardt Bold" w:hAnsi="Theinhardt Bold" w:cs="Theinhardt Bold" w:eastAsia="Theinhardt Bold"/>
          <w:b/>
          <w:bCs/>
          <w:sz w:val="20"/>
          <w:szCs w:val="20"/>
        </w:rPr>
      </w:pPr>
    </w:p>
    <w:p>
      <w:pPr>
        <w:spacing w:line="240" w:lineRule="auto" w:before="7"/>
        <w:rPr>
          <w:rFonts w:ascii="Theinhardt Bold" w:hAnsi="Theinhardt Bold" w:cs="Theinhardt Bold" w:eastAsia="Theinhardt Bold"/>
          <w:b/>
          <w:bCs/>
          <w:sz w:val="16"/>
          <w:szCs w:val="16"/>
        </w:rPr>
      </w:pPr>
    </w:p>
    <w:p>
      <w:pPr>
        <w:spacing w:before="5"/>
        <w:ind w:left="166" w:right="0" w:firstLine="0"/>
        <w:jc w:val="left"/>
        <w:rPr>
          <w:rFonts w:ascii="Theinhardt Black" w:hAnsi="Theinhardt Black" w:cs="Theinhardt Black" w:eastAsia="Theinhardt Black"/>
          <w:sz w:val="40"/>
          <w:szCs w:val="40"/>
        </w:rPr>
      </w:pPr>
      <w:r>
        <w:rPr>
          <w:rFonts w:ascii="Theinhardt Black"/>
          <w:b/>
          <w:color w:val="0067B1"/>
          <w:spacing w:val="2"/>
          <w:sz w:val="40"/>
        </w:rPr>
        <w:t>Solares</w:t>
      </w:r>
      <w:r>
        <w:rPr>
          <w:rFonts w:ascii="Theinhardt Black"/>
          <w:b/>
          <w:color w:val="0067B1"/>
          <w:spacing w:val="-8"/>
          <w:sz w:val="40"/>
        </w:rPr>
        <w:t> </w:t>
      </w:r>
      <w:r>
        <w:rPr>
          <w:rFonts w:ascii="Theinhardt Black"/>
          <w:b/>
          <w:color w:val="0067B1"/>
          <w:sz w:val="40"/>
        </w:rPr>
        <w:t>M</w:t>
      </w:r>
      <w:r>
        <w:rPr>
          <w:rFonts w:ascii="Theinhardt Black"/>
          <w:b/>
          <w:color w:val="0067B1"/>
          <w:spacing w:val="-2"/>
          <w:sz w:val="40"/>
        </w:rPr>
        <w:t>eh</w:t>
      </w:r>
      <w:r>
        <w:rPr>
          <w:rFonts w:ascii="Theinhardt Black"/>
          <w:b/>
          <w:color w:val="0067B1"/>
          <w:spacing w:val="22"/>
          <w:sz w:val="40"/>
        </w:rPr>
        <w:t>r</w:t>
      </w:r>
      <w:r>
        <w:rPr>
          <w:rFonts w:ascii="Theinhardt Black"/>
          <w:b/>
          <w:color w:val="0067B1"/>
          <w:spacing w:val="4"/>
          <w:sz w:val="40"/>
        </w:rPr>
        <w:t>f</w:t>
      </w:r>
      <w:r>
        <w:rPr>
          <w:rFonts w:ascii="Theinhardt Black"/>
          <w:b/>
          <w:color w:val="0067B1"/>
          <w:sz w:val="40"/>
        </w:rPr>
        <w:t>a</w:t>
      </w:r>
      <w:r>
        <w:rPr>
          <w:rFonts w:ascii="Theinhardt Black"/>
          <w:b/>
          <w:color w:val="0067B1"/>
          <w:spacing w:val="-2"/>
          <w:sz w:val="40"/>
        </w:rPr>
        <w:t>m</w:t>
      </w:r>
      <w:r>
        <w:rPr>
          <w:rFonts w:ascii="Theinhardt Black"/>
          <w:b/>
          <w:color w:val="0067B1"/>
          <w:sz w:val="40"/>
        </w:rPr>
        <w:t>il</w:t>
      </w:r>
      <w:r>
        <w:rPr>
          <w:rFonts w:ascii="Theinhardt Black"/>
          <w:b/>
          <w:color w:val="0067B1"/>
          <w:spacing w:val="-2"/>
          <w:sz w:val="40"/>
        </w:rPr>
        <w:t>ien</w:t>
      </w:r>
      <w:r>
        <w:rPr>
          <w:rFonts w:ascii="Theinhardt Black"/>
          <w:b/>
          <w:color w:val="0067B1"/>
          <w:spacing w:val="1"/>
          <w:sz w:val="40"/>
        </w:rPr>
        <w:t>h</w:t>
      </w:r>
      <w:r>
        <w:rPr>
          <w:rFonts w:ascii="Theinhardt Black"/>
          <w:b/>
          <w:color w:val="0067B1"/>
          <w:sz w:val="40"/>
        </w:rPr>
        <w:t>a</w:t>
      </w:r>
      <w:r>
        <w:rPr>
          <w:rFonts w:ascii="Theinhardt Black"/>
          <w:b/>
          <w:color w:val="0067B1"/>
          <w:spacing w:val="4"/>
          <w:sz w:val="40"/>
        </w:rPr>
        <w:t>u</w:t>
      </w:r>
      <w:r>
        <w:rPr>
          <w:rFonts w:ascii="Theinhardt Black"/>
          <w:b/>
          <w:color w:val="0067B1"/>
          <w:sz w:val="40"/>
        </w:rPr>
        <w:t>s</w:t>
      </w:r>
      <w:r>
        <w:rPr>
          <w:rFonts w:ascii="Theinhardt Black"/>
          <w:b/>
          <w:color w:val="0067B1"/>
          <w:spacing w:val="-8"/>
          <w:sz w:val="40"/>
        </w:rPr>
        <w:t> </w:t>
      </w:r>
      <w:r>
        <w:rPr>
          <w:rFonts w:ascii="Theinhardt Black"/>
          <w:b/>
          <w:color w:val="0067B1"/>
          <w:spacing w:val="3"/>
          <w:sz w:val="40"/>
        </w:rPr>
        <w:t>Aescherstrasse,</w:t>
      </w:r>
      <w:r>
        <w:rPr>
          <w:rFonts w:ascii="Theinhardt Black"/>
          <w:b/>
          <w:color w:val="0067B1"/>
          <w:spacing w:val="-32"/>
          <w:sz w:val="40"/>
        </w:rPr>
        <w:t> </w:t>
      </w:r>
      <w:r>
        <w:rPr>
          <w:rFonts w:ascii="Theinhardt Black"/>
          <w:b/>
          <w:color w:val="0067B1"/>
          <w:spacing w:val="-3"/>
          <w:sz w:val="40"/>
        </w:rPr>
        <w:t>4054</w:t>
      </w:r>
      <w:r>
        <w:rPr>
          <w:rFonts w:ascii="Theinhardt Black"/>
          <w:b/>
          <w:color w:val="0067B1"/>
          <w:spacing w:val="-8"/>
          <w:sz w:val="40"/>
        </w:rPr>
        <w:t> </w:t>
      </w:r>
      <w:r>
        <w:rPr>
          <w:rFonts w:ascii="Theinhardt Black"/>
          <w:b/>
          <w:color w:val="0067B1"/>
          <w:spacing w:val="2"/>
          <w:sz w:val="40"/>
        </w:rPr>
        <w:t>Basel</w:t>
      </w:r>
      <w:r>
        <w:rPr>
          <w:rFonts w:ascii="Theinhardt Black"/>
          <w:sz w:val="40"/>
        </w:rPr>
      </w:r>
    </w:p>
    <w:p>
      <w:pPr>
        <w:spacing w:line="240" w:lineRule="auto" w:before="1"/>
        <w:rPr>
          <w:rFonts w:ascii="Theinhardt Black" w:hAnsi="Theinhardt Black" w:cs="Theinhardt Black" w:eastAsia="Theinhardt Black"/>
          <w:b/>
          <w:bCs/>
          <w:sz w:val="22"/>
          <w:szCs w:val="22"/>
        </w:rPr>
      </w:pPr>
    </w:p>
    <w:p>
      <w:pPr>
        <w:spacing w:after="0" w:line="240" w:lineRule="auto"/>
        <w:rPr>
          <w:rFonts w:ascii="Theinhardt Black" w:hAnsi="Theinhardt Black" w:cs="Theinhardt Black" w:eastAsia="Theinhardt Black"/>
          <w:sz w:val="22"/>
          <w:szCs w:val="22"/>
        </w:rPr>
        <w:sectPr>
          <w:type w:val="continuous"/>
          <w:pgSz w:w="11910" w:h="16840"/>
          <w:pgMar w:top="860" w:bottom="280" w:left="400" w:right="740"/>
        </w:sectPr>
      </w:pPr>
    </w:p>
    <w:p>
      <w:pPr>
        <w:pStyle w:val="Heading1"/>
        <w:spacing w:line="230" w:lineRule="exact" w:before="74"/>
        <w:ind w:right="0" w:firstLine="0"/>
        <w:jc w:val="both"/>
      </w:pPr>
      <w:r>
        <w:rPr>
          <w:spacing w:val="-1"/>
        </w:rPr>
        <w:t>An</w:t>
      </w:r>
      <w:r>
        <w:rPr>
          <w:spacing w:val="8"/>
        </w:rPr>
        <w:t> </w:t>
      </w:r>
      <w:r>
        <w:rPr>
          <w:spacing w:val="-1"/>
        </w:rPr>
        <w:t>der</w:t>
      </w:r>
      <w:r>
        <w:rPr>
          <w:spacing w:val="8"/>
        </w:rPr>
        <w:t> </w:t>
      </w:r>
      <w:r>
        <w:rPr>
          <w:spacing w:val="-1"/>
        </w:rPr>
        <w:t>zentral</w:t>
      </w:r>
      <w:r>
        <w:rPr>
          <w:spacing w:val="8"/>
        </w:rPr>
        <w:t> </w:t>
      </w:r>
      <w:r>
        <w:rPr>
          <w:spacing w:val="-1"/>
        </w:rPr>
        <w:t>gelegenen</w:t>
      </w:r>
      <w:r>
        <w:rPr>
          <w:spacing w:val="8"/>
        </w:rPr>
        <w:t> </w:t>
      </w:r>
      <w:r>
        <w:rPr>
          <w:spacing w:val="-2"/>
        </w:rPr>
        <w:t>Aescherstrasse</w:t>
      </w:r>
      <w:r>
        <w:rPr>
          <w:spacing w:val="8"/>
        </w:rPr>
        <w:t> </w:t>
      </w:r>
      <w:r>
        <w:rPr>
          <w:spacing w:val="-1"/>
        </w:rPr>
        <w:t>in</w:t>
      </w:r>
      <w:r>
        <w:rPr>
          <w:spacing w:val="28"/>
        </w:rPr>
        <w:t> </w:t>
      </w:r>
      <w:r>
        <w:rPr/>
        <w:t>Basel</w:t>
      </w:r>
      <w:r>
        <w:rPr>
          <w:spacing w:val="8"/>
        </w:rPr>
        <w:t> </w:t>
      </w:r>
      <w:r>
        <w:rPr>
          <w:spacing w:val="-1"/>
        </w:rPr>
        <w:t>steht</w:t>
      </w:r>
      <w:r>
        <w:rPr>
          <w:spacing w:val="8"/>
        </w:rPr>
        <w:t> </w:t>
      </w:r>
      <w:r>
        <w:rPr>
          <w:spacing w:val="-1"/>
        </w:rPr>
        <w:t>seit</w:t>
      </w:r>
      <w:r>
        <w:rPr>
          <w:spacing w:val="8"/>
        </w:rPr>
        <w:t> </w:t>
      </w:r>
      <w:r>
        <w:rPr>
          <w:spacing w:val="-1"/>
        </w:rPr>
        <w:t>Ende</w:t>
      </w:r>
      <w:r>
        <w:rPr>
          <w:spacing w:val="8"/>
        </w:rPr>
        <w:t> </w:t>
      </w:r>
      <w:r>
        <w:rPr>
          <w:spacing w:val="-1"/>
        </w:rPr>
        <w:t>2015</w:t>
      </w:r>
      <w:r>
        <w:rPr>
          <w:spacing w:val="8"/>
        </w:rPr>
        <w:t> </w:t>
      </w:r>
      <w:r>
        <w:rPr/>
        <w:t>das</w:t>
      </w:r>
      <w:r>
        <w:rPr>
          <w:spacing w:val="8"/>
        </w:rPr>
        <w:t> </w:t>
      </w:r>
      <w:r>
        <w:rPr>
          <w:spacing w:val="-1"/>
        </w:rPr>
        <w:t>als</w:t>
      </w:r>
      <w:r>
        <w:rPr>
          <w:spacing w:val="8"/>
        </w:rPr>
        <w:t> </w:t>
      </w:r>
      <w:r>
        <w:rPr>
          <w:spacing w:val="-1"/>
        </w:rPr>
        <w:t>stadtei-</w:t>
      </w:r>
      <w:r>
        <w:rPr>
          <w:spacing w:val="27"/>
        </w:rPr>
        <w:t> </w:t>
      </w:r>
      <w:r>
        <w:rPr>
          <w:spacing w:val="-1"/>
        </w:rPr>
        <w:t>genes</w:t>
      </w:r>
      <w:r>
        <w:rPr>
          <w:spacing w:val="37"/>
        </w:rPr>
        <w:t> </w:t>
      </w:r>
      <w:r>
        <w:rPr>
          <w:spacing w:val="-2"/>
        </w:rPr>
        <w:t>Pilotprojekt</w:t>
      </w:r>
      <w:r>
        <w:rPr>
          <w:spacing w:val="38"/>
        </w:rPr>
        <w:t> </w:t>
      </w:r>
      <w:r>
        <w:rPr>
          <w:spacing w:val="-1"/>
        </w:rPr>
        <w:t>für</w:t>
      </w:r>
      <w:r>
        <w:rPr>
          <w:spacing w:val="37"/>
        </w:rPr>
        <w:t> </w:t>
      </w:r>
      <w:r>
        <w:rPr>
          <w:spacing w:val="-1"/>
        </w:rPr>
        <w:t>nachhaltiges</w:t>
      </w:r>
      <w:r>
        <w:rPr>
          <w:spacing w:val="38"/>
        </w:rPr>
        <w:t> </w:t>
      </w:r>
      <w:r>
        <w:rPr/>
        <w:t>Bauen</w:t>
      </w:r>
      <w:r>
        <w:rPr>
          <w:spacing w:val="26"/>
        </w:rPr>
        <w:t> </w:t>
      </w:r>
      <w:r>
        <w:rPr>
          <w:spacing w:val="-1"/>
        </w:rPr>
        <w:t>verwirklichte</w:t>
      </w:r>
      <w:r>
        <w:rPr>
          <w:spacing w:val="43"/>
        </w:rPr>
        <w:t> </w:t>
      </w:r>
      <w:r>
        <w:rPr>
          <w:spacing w:val="-1"/>
        </w:rPr>
        <w:t>Mehrfamilienhaus</w:t>
      </w:r>
      <w:r>
        <w:rPr>
          <w:spacing w:val="44"/>
        </w:rPr>
        <w:t> </w:t>
      </w:r>
      <w:r>
        <w:rPr>
          <w:spacing w:val="-1"/>
        </w:rPr>
        <w:t>(MFH).</w:t>
      </w:r>
      <w:r>
        <w:rPr>
          <w:spacing w:val="32"/>
        </w:rPr>
        <w:t> </w:t>
      </w:r>
      <w:r>
        <w:rPr>
          <w:spacing w:val="-2"/>
        </w:rPr>
        <w:t>Die</w:t>
      </w:r>
      <w:r>
        <w:rPr>
          <w:spacing w:val="32"/>
        </w:rPr>
        <w:t> </w:t>
      </w:r>
      <w:r>
        <w:rPr>
          <w:spacing w:val="-1"/>
        </w:rPr>
        <w:t>28</w:t>
      </w:r>
      <w:r>
        <w:rPr>
          <w:spacing w:val="30"/>
        </w:rPr>
        <w:t> </w:t>
      </w:r>
      <w:r>
        <w:rPr>
          <w:spacing w:val="-1"/>
        </w:rPr>
        <w:t>cm</w:t>
      </w:r>
      <w:r>
        <w:rPr>
          <w:spacing w:val="31"/>
        </w:rPr>
        <w:t> </w:t>
      </w:r>
      <w:r>
        <w:rPr>
          <w:spacing w:val="-2"/>
        </w:rPr>
        <w:t>starke</w:t>
      </w:r>
      <w:r>
        <w:rPr>
          <w:spacing w:val="30"/>
        </w:rPr>
        <w:t> </w:t>
      </w:r>
      <w:r>
        <w:rPr>
          <w:spacing w:val="-2"/>
        </w:rPr>
        <w:t>Wärmedämmung,</w:t>
      </w:r>
      <w:r>
        <w:rPr>
          <w:spacing w:val="20"/>
        </w:rPr>
        <w:t> </w:t>
      </w:r>
      <w:r>
        <w:rPr>
          <w:spacing w:val="-2"/>
        </w:rPr>
        <w:t>energieffi-</w:t>
      </w:r>
      <w:r>
        <w:rPr>
          <w:spacing w:val="37"/>
        </w:rPr>
        <w:t> </w:t>
      </w:r>
      <w:r>
        <w:rPr>
          <w:spacing w:val="-1"/>
        </w:rPr>
        <w:t>ziente</w:t>
      </w:r>
      <w:r>
        <w:rPr>
          <w:spacing w:val="22"/>
        </w:rPr>
        <w:t> </w:t>
      </w:r>
      <w:r>
        <w:rPr>
          <w:spacing w:val="-1"/>
        </w:rPr>
        <w:t>Haushaltgeräte,</w:t>
      </w:r>
      <w:r>
        <w:rPr>
          <w:spacing w:val="12"/>
        </w:rPr>
        <w:t> </w:t>
      </w:r>
      <w:r>
        <w:rPr>
          <w:spacing w:val="-1"/>
        </w:rPr>
        <w:t>eine</w:t>
      </w:r>
      <w:r>
        <w:rPr>
          <w:spacing w:val="22"/>
        </w:rPr>
        <w:t> </w:t>
      </w:r>
      <w:r>
        <w:rPr>
          <w:spacing w:val="-1"/>
        </w:rPr>
        <w:t>vollständig</w:t>
      </w:r>
      <w:r>
        <w:rPr>
          <w:spacing w:val="22"/>
        </w:rPr>
        <w:t> </w:t>
      </w:r>
      <w:r>
        <w:rPr>
          <w:spacing w:val="-1"/>
        </w:rPr>
        <w:t>aus</w:t>
      </w:r>
      <w:r>
        <w:rPr>
          <w:spacing w:val="27"/>
        </w:rPr>
        <w:t> </w:t>
      </w:r>
      <w:r>
        <w:rPr>
          <w:spacing w:val="-2"/>
        </w:rPr>
        <w:t>LED-Lampen</w:t>
      </w:r>
      <w:r>
        <w:rPr>
          <w:spacing w:val="32"/>
        </w:rPr>
        <w:t> </w:t>
      </w:r>
      <w:r>
        <w:rPr>
          <w:spacing w:val="-1"/>
        </w:rPr>
        <w:t>bestehende</w:t>
      </w:r>
      <w:r>
        <w:rPr>
          <w:spacing w:val="33"/>
        </w:rPr>
        <w:t> </w:t>
      </w:r>
      <w:r>
        <w:rPr>
          <w:spacing w:val="-1"/>
        </w:rPr>
        <w:t>Beleuchtung</w:t>
      </w:r>
      <w:r>
        <w:rPr>
          <w:spacing w:val="32"/>
        </w:rPr>
        <w:t> </w:t>
      </w:r>
      <w:r>
        <w:rPr>
          <w:spacing w:val="-2"/>
        </w:rPr>
        <w:t>so-</w:t>
      </w:r>
      <w:r>
        <w:rPr>
          <w:spacing w:val="29"/>
        </w:rPr>
        <w:t> </w:t>
      </w:r>
      <w:r>
        <w:rPr>
          <w:spacing w:val="-1"/>
        </w:rPr>
        <w:t>wie</w:t>
      </w:r>
      <w:r>
        <w:rPr>
          <w:spacing w:val="7"/>
        </w:rPr>
        <w:t> </w:t>
      </w:r>
      <w:r>
        <w:rPr>
          <w:spacing w:val="-1"/>
        </w:rPr>
        <w:t>eine</w:t>
      </w:r>
      <w:r>
        <w:rPr>
          <w:spacing w:val="7"/>
        </w:rPr>
        <w:t> </w:t>
      </w:r>
      <w:r>
        <w:rPr>
          <w:spacing w:val="-2"/>
        </w:rPr>
        <w:t>Wärmerückgewinnungsanlage</w:t>
      </w:r>
      <w:r>
        <w:rPr>
          <w:spacing w:val="7"/>
        </w:rPr>
        <w:t> </w:t>
      </w:r>
      <w:r>
        <w:rPr>
          <w:spacing w:val="-2"/>
        </w:rPr>
        <w:t>sor-</w:t>
      </w:r>
      <w:r>
        <w:rPr>
          <w:spacing w:val="23"/>
        </w:rPr>
        <w:t> </w:t>
      </w:r>
      <w:r>
        <w:rPr>
          <w:spacing w:val="-1"/>
        </w:rPr>
        <w:t>gen</w:t>
      </w:r>
      <w:r>
        <w:rPr>
          <w:spacing w:val="27"/>
        </w:rPr>
        <w:t> </w:t>
      </w:r>
      <w:r>
        <w:rPr>
          <w:spacing w:val="-1"/>
        </w:rPr>
        <w:t>für</w:t>
      </w:r>
      <w:r>
        <w:rPr>
          <w:spacing w:val="28"/>
        </w:rPr>
        <w:t> </w:t>
      </w:r>
      <w:r>
        <w:rPr>
          <w:spacing w:val="-1"/>
        </w:rPr>
        <w:t>einen</w:t>
      </w:r>
      <w:r>
        <w:rPr>
          <w:spacing w:val="27"/>
        </w:rPr>
        <w:t> </w:t>
      </w:r>
      <w:r>
        <w:rPr>
          <w:spacing w:val="-1"/>
        </w:rPr>
        <w:t>niedrigen</w:t>
      </w:r>
      <w:r>
        <w:rPr>
          <w:spacing w:val="28"/>
        </w:rPr>
        <w:t> </w:t>
      </w:r>
      <w:r>
        <w:rPr>
          <w:spacing w:val="-1"/>
        </w:rPr>
        <w:t>Energiebedarf</w:t>
      </w:r>
      <w:r>
        <w:rPr>
          <w:spacing w:val="28"/>
        </w:rPr>
        <w:t> </w:t>
      </w:r>
      <w:r>
        <w:rPr>
          <w:spacing w:val="-1"/>
        </w:rPr>
        <w:t>bei</w:t>
      </w:r>
      <w:r>
        <w:rPr>
          <w:spacing w:val="24"/>
        </w:rPr>
        <w:t> </w:t>
      </w:r>
      <w:r>
        <w:rPr>
          <w:spacing w:val="-1"/>
        </w:rPr>
        <w:t>vollem</w:t>
      </w:r>
      <w:r>
        <w:rPr>
          <w:spacing w:val="40"/>
        </w:rPr>
        <w:t> </w:t>
      </w:r>
      <w:r>
        <w:rPr>
          <w:spacing w:val="-1"/>
        </w:rPr>
        <w:t>Komfort.</w:t>
      </w:r>
      <w:r>
        <w:rPr>
          <w:spacing w:val="30"/>
        </w:rPr>
        <w:t> </w:t>
      </w:r>
      <w:r>
        <w:rPr>
          <w:spacing w:val="-2"/>
        </w:rPr>
        <w:t>Die</w:t>
      </w:r>
      <w:r>
        <w:rPr>
          <w:spacing w:val="40"/>
        </w:rPr>
        <w:t> </w:t>
      </w:r>
      <w:r>
        <w:rPr>
          <w:spacing w:val="-1"/>
        </w:rPr>
        <w:t>Komfortlüftung</w:t>
      </w:r>
      <w:r>
        <w:rPr>
          <w:spacing w:val="41"/>
        </w:rPr>
        <w:t> </w:t>
      </w:r>
      <w:r>
        <w:rPr>
          <w:spacing w:val="-1"/>
        </w:rPr>
        <w:t>bietet</w:t>
      </w:r>
      <w:r>
        <w:rPr>
          <w:spacing w:val="29"/>
        </w:rPr>
        <w:t> </w:t>
      </w:r>
      <w:r>
        <w:rPr>
          <w:spacing w:val="-1"/>
        </w:rPr>
        <w:t>ein</w:t>
      </w:r>
      <w:r>
        <w:rPr>
          <w:spacing w:val="-3"/>
        </w:rPr>
        <w:t> </w:t>
      </w:r>
      <w:r>
        <w:rPr>
          <w:spacing w:val="-2"/>
        </w:rPr>
        <w:t>angenehmes</w:t>
      </w:r>
      <w:r>
        <w:rPr>
          <w:spacing w:val="-3"/>
        </w:rPr>
        <w:t> </w:t>
      </w:r>
      <w:r>
        <w:rPr>
          <w:spacing w:val="-2"/>
        </w:rPr>
        <w:t>Wohnraumklima.</w:t>
      </w:r>
      <w:r>
        <w:rPr>
          <w:spacing w:val="-14"/>
        </w:rPr>
        <w:t> </w:t>
      </w:r>
      <w:r>
        <w:rPr>
          <w:spacing w:val="-1"/>
        </w:rPr>
        <w:t>Auf</w:t>
      </w:r>
      <w:r>
        <w:rPr>
          <w:spacing w:val="-3"/>
        </w:rPr>
        <w:t> </w:t>
      </w:r>
      <w:r>
        <w:rPr>
          <w:spacing w:val="-1"/>
        </w:rPr>
        <w:t>Gara-</w:t>
      </w:r>
    </w:p>
    <w:p>
      <w:pPr>
        <w:pStyle w:val="BodyText"/>
        <w:spacing w:line="230" w:lineRule="exact" w:before="75"/>
        <w:ind w:right="0" w:firstLine="0"/>
        <w:jc w:val="both"/>
        <w:rPr>
          <w:i w:val="0"/>
        </w:rPr>
      </w:pPr>
      <w:r>
        <w:rPr>
          <w:i w:val="0"/>
        </w:rPr>
        <w:br w:type="column"/>
      </w:r>
      <w:r>
        <w:rPr>
          <w:spacing w:val="-2"/>
        </w:rPr>
        <w:t>Situé</w:t>
      </w:r>
      <w:r>
        <w:rPr>
          <w:spacing w:val="22"/>
        </w:rPr>
        <w:t> </w:t>
      </w:r>
      <w:r>
        <w:rPr/>
        <w:t>à</w:t>
      </w:r>
      <w:r>
        <w:rPr>
          <w:spacing w:val="22"/>
        </w:rPr>
        <w:t> </w:t>
      </w:r>
      <w:r>
        <w:rPr/>
        <w:t>la</w:t>
      </w:r>
      <w:r>
        <w:rPr>
          <w:spacing w:val="22"/>
        </w:rPr>
        <w:t> </w:t>
      </w:r>
      <w:r>
        <w:rPr>
          <w:spacing w:val="-2"/>
        </w:rPr>
        <w:t>Aescherstrasse</w:t>
      </w:r>
      <w:r>
        <w:rPr>
          <w:spacing w:val="22"/>
        </w:rPr>
        <w:t> </w:t>
      </w:r>
      <w:r>
        <w:rPr>
          <w:spacing w:val="-1"/>
        </w:rPr>
        <w:t>en</w:t>
      </w:r>
      <w:r>
        <w:rPr>
          <w:spacing w:val="22"/>
        </w:rPr>
        <w:t> </w:t>
      </w:r>
      <w:r>
        <w:rPr>
          <w:spacing w:val="-2"/>
        </w:rPr>
        <w:t>plein</w:t>
      </w:r>
      <w:r>
        <w:rPr>
          <w:spacing w:val="22"/>
        </w:rPr>
        <w:t> </w:t>
      </w:r>
      <w:r>
        <w:rPr>
          <w:spacing w:val="-2"/>
        </w:rPr>
        <w:t>cœur</w:t>
      </w:r>
      <w:r>
        <w:rPr>
          <w:spacing w:val="22"/>
        </w:rPr>
        <w:t> </w:t>
      </w:r>
      <w:r>
        <w:rPr>
          <w:spacing w:val="-2"/>
        </w:rPr>
        <w:t>de</w:t>
      </w:r>
      <w:r>
        <w:rPr>
          <w:spacing w:val="33"/>
        </w:rPr>
        <w:t> </w:t>
      </w:r>
      <w:r>
        <w:rPr>
          <w:spacing w:val="-1"/>
        </w:rPr>
        <w:t>Bâle,</w:t>
      </w:r>
      <w:r>
        <w:rPr>
          <w:spacing w:val="-2"/>
        </w:rPr>
        <w:t> le</w:t>
      </w:r>
      <w:r>
        <w:rPr>
          <w:spacing w:val="5"/>
        </w:rPr>
        <w:t> </w:t>
      </w:r>
      <w:r>
        <w:rPr>
          <w:spacing w:val="-4"/>
        </w:rPr>
        <w:t>complexe</w:t>
      </w:r>
      <w:r>
        <w:rPr>
          <w:spacing w:val="5"/>
        </w:rPr>
        <w:t> </w:t>
      </w:r>
      <w:r>
        <w:rPr>
          <w:spacing w:val="-2"/>
        </w:rPr>
        <w:t>de</w:t>
      </w:r>
      <w:r>
        <w:rPr>
          <w:spacing w:val="5"/>
        </w:rPr>
        <w:t> </w:t>
      </w:r>
      <w:r>
        <w:rPr>
          <w:spacing w:val="-2"/>
        </w:rPr>
        <w:t>sept</w:t>
      </w:r>
      <w:r>
        <w:rPr>
          <w:spacing w:val="5"/>
        </w:rPr>
        <w:t> </w:t>
      </w:r>
      <w:r>
        <w:rPr>
          <w:spacing w:val="-2"/>
        </w:rPr>
        <w:t>appartements</w:t>
      </w:r>
      <w:r>
        <w:rPr>
          <w:spacing w:val="5"/>
        </w:rPr>
        <w:t> </w:t>
      </w:r>
      <w:r>
        <w:rPr>
          <w:spacing w:val="-2"/>
        </w:rPr>
        <w:t>ter-</w:t>
      </w:r>
      <w:r>
        <w:rPr>
          <w:spacing w:val="41"/>
        </w:rPr>
        <w:t> </w:t>
      </w:r>
      <w:r>
        <w:rPr>
          <w:spacing w:val="-2"/>
        </w:rPr>
        <w:t>miné</w:t>
      </w:r>
      <w:r>
        <w:rPr>
          <w:spacing w:val="26"/>
        </w:rPr>
        <w:t> </w:t>
      </w:r>
      <w:r>
        <w:rPr/>
        <w:t>à</w:t>
      </w:r>
      <w:r>
        <w:rPr>
          <w:spacing w:val="26"/>
        </w:rPr>
        <w:t> </w:t>
      </w:r>
      <w:r>
        <w:rPr/>
        <w:t>fin</w:t>
      </w:r>
      <w:r>
        <w:rPr>
          <w:spacing w:val="27"/>
        </w:rPr>
        <w:t> </w:t>
      </w:r>
      <w:r>
        <w:rPr>
          <w:spacing w:val="-1"/>
        </w:rPr>
        <w:t>2015</w:t>
      </w:r>
      <w:r>
        <w:rPr>
          <w:spacing w:val="26"/>
        </w:rPr>
        <w:t> </w:t>
      </w:r>
      <w:r>
        <w:rPr>
          <w:spacing w:val="-1"/>
        </w:rPr>
        <w:t>est</w:t>
      </w:r>
      <w:r>
        <w:rPr>
          <w:spacing w:val="27"/>
        </w:rPr>
        <w:t> </w:t>
      </w:r>
      <w:r>
        <w:rPr>
          <w:spacing w:val="-2"/>
        </w:rPr>
        <w:t>le</w:t>
      </w:r>
      <w:r>
        <w:rPr>
          <w:spacing w:val="26"/>
        </w:rPr>
        <w:t> </w:t>
      </w:r>
      <w:r>
        <w:rPr>
          <w:spacing w:val="-1"/>
        </w:rPr>
        <w:t>résultat</w:t>
      </w:r>
      <w:r>
        <w:rPr>
          <w:spacing w:val="27"/>
        </w:rPr>
        <w:t> </w:t>
      </w:r>
      <w:r>
        <w:rPr>
          <w:spacing w:val="-1"/>
        </w:rPr>
        <w:t>d’un</w:t>
      </w:r>
      <w:r>
        <w:rPr>
          <w:spacing w:val="26"/>
        </w:rPr>
        <w:t> </w:t>
      </w:r>
      <w:r>
        <w:rPr>
          <w:spacing w:val="-3"/>
        </w:rPr>
        <w:t>projet</w:t>
      </w:r>
      <w:r>
        <w:rPr>
          <w:spacing w:val="20"/>
        </w:rPr>
        <w:t> </w:t>
      </w:r>
      <w:r>
        <w:rPr>
          <w:spacing w:val="-3"/>
        </w:rPr>
        <w:t>pilote</w:t>
      </w:r>
      <w:r>
        <w:rPr>
          <w:spacing w:val="8"/>
        </w:rPr>
        <w:t> </w:t>
      </w:r>
      <w:r>
        <w:rPr>
          <w:spacing w:val="-2"/>
        </w:rPr>
        <w:t>de</w:t>
      </w:r>
      <w:r>
        <w:rPr>
          <w:spacing w:val="8"/>
        </w:rPr>
        <w:t> </w:t>
      </w:r>
      <w:r>
        <w:rPr/>
        <w:t>la</w:t>
      </w:r>
      <w:r>
        <w:rPr>
          <w:spacing w:val="8"/>
        </w:rPr>
        <w:t> </w:t>
      </w:r>
      <w:r>
        <w:rPr>
          <w:spacing w:val="-2"/>
        </w:rPr>
        <w:t>ville</w:t>
      </w:r>
      <w:r>
        <w:rPr>
          <w:spacing w:val="8"/>
        </w:rPr>
        <w:t> </w:t>
      </w:r>
      <w:r>
        <w:rPr>
          <w:spacing w:val="-1"/>
        </w:rPr>
        <w:t>pour</w:t>
      </w:r>
      <w:r>
        <w:rPr>
          <w:spacing w:val="8"/>
        </w:rPr>
        <w:t> </w:t>
      </w:r>
      <w:r>
        <w:rPr>
          <w:spacing w:val="-2"/>
        </w:rPr>
        <w:t>une</w:t>
      </w:r>
      <w:r>
        <w:rPr>
          <w:spacing w:val="8"/>
        </w:rPr>
        <w:t> </w:t>
      </w:r>
      <w:r>
        <w:rPr>
          <w:spacing w:val="-2"/>
        </w:rPr>
        <w:t>construction</w:t>
      </w:r>
      <w:r>
        <w:rPr>
          <w:spacing w:val="8"/>
        </w:rPr>
        <w:t> </w:t>
      </w:r>
      <w:r>
        <w:rPr>
          <w:spacing w:val="-1"/>
        </w:rPr>
        <w:t>dura-</w:t>
      </w:r>
      <w:r>
        <w:rPr>
          <w:spacing w:val="37"/>
        </w:rPr>
        <w:t> </w:t>
      </w:r>
      <w:r>
        <w:rPr>
          <w:spacing w:val="-2"/>
        </w:rPr>
        <w:t>ble.</w:t>
      </w:r>
      <w:r>
        <w:rPr>
          <w:spacing w:val="-1"/>
        </w:rPr>
        <w:t> </w:t>
      </w:r>
      <w:r>
        <w:rPr>
          <w:spacing w:val="-3"/>
        </w:rPr>
        <w:t>La</w:t>
      </w:r>
      <w:r>
        <w:rPr>
          <w:spacing w:val="7"/>
        </w:rPr>
        <w:t> </w:t>
      </w:r>
      <w:r>
        <w:rPr>
          <w:spacing w:val="-2"/>
        </w:rPr>
        <w:t>bonne</w:t>
      </w:r>
      <w:r>
        <w:rPr>
          <w:spacing w:val="7"/>
        </w:rPr>
        <w:t> </w:t>
      </w:r>
      <w:r>
        <w:rPr>
          <w:spacing w:val="-2"/>
        </w:rPr>
        <w:t>isolation</w:t>
      </w:r>
      <w:r>
        <w:rPr>
          <w:spacing w:val="7"/>
        </w:rPr>
        <w:t> </w:t>
      </w:r>
      <w:r>
        <w:rPr>
          <w:spacing w:val="-3"/>
        </w:rPr>
        <w:t>thermique</w:t>
      </w:r>
      <w:r>
        <w:rPr>
          <w:spacing w:val="7"/>
        </w:rPr>
        <w:t> </w:t>
      </w:r>
      <w:r>
        <w:rPr>
          <w:spacing w:val="-2"/>
        </w:rPr>
        <w:t>de</w:t>
      </w:r>
      <w:r>
        <w:rPr>
          <w:spacing w:val="7"/>
        </w:rPr>
        <w:t> </w:t>
      </w:r>
      <w:r>
        <w:rPr>
          <w:spacing w:val="-1"/>
        </w:rPr>
        <w:t>28</w:t>
      </w:r>
      <w:r>
        <w:rPr>
          <w:spacing w:val="7"/>
        </w:rPr>
        <w:t> </w:t>
      </w:r>
      <w:r>
        <w:rPr>
          <w:spacing w:val="-2"/>
        </w:rPr>
        <w:t>cm,</w:t>
      </w:r>
      <w:r>
        <w:rPr>
          <w:spacing w:val="46"/>
        </w:rPr>
        <w:t> </w:t>
      </w:r>
      <w:r>
        <w:rPr>
          <w:spacing w:val="-3"/>
        </w:rPr>
        <w:t>l’électroménager</w:t>
      </w:r>
      <w:r>
        <w:rPr>
          <w:spacing w:val="2"/>
        </w:rPr>
        <w:t> </w:t>
      </w:r>
      <w:r>
        <w:rPr>
          <w:spacing w:val="-1"/>
        </w:rPr>
        <w:t>efficient,</w:t>
      </w:r>
      <w:r>
        <w:rPr>
          <w:spacing w:val="-4"/>
        </w:rPr>
        <w:t> </w:t>
      </w:r>
      <w:r>
        <w:rPr>
          <w:spacing w:val="-2"/>
        </w:rPr>
        <w:t>les</w:t>
      </w:r>
      <w:r>
        <w:rPr>
          <w:spacing w:val="3"/>
        </w:rPr>
        <w:t> </w:t>
      </w:r>
      <w:r>
        <w:rPr>
          <w:spacing w:val="-2"/>
        </w:rPr>
        <w:t>ampoules</w:t>
      </w:r>
      <w:r>
        <w:rPr>
          <w:spacing w:val="3"/>
        </w:rPr>
        <w:t> </w:t>
      </w:r>
      <w:r>
        <w:rPr>
          <w:spacing w:val="-4"/>
        </w:rPr>
        <w:t>LED</w:t>
      </w:r>
      <w:r>
        <w:rPr>
          <w:spacing w:val="38"/>
        </w:rPr>
        <w:t> </w:t>
      </w:r>
      <w:r>
        <w:rPr>
          <w:spacing w:val="-1"/>
        </w:rPr>
        <w:t>et</w:t>
      </w:r>
      <w:r>
        <w:rPr>
          <w:spacing w:val="19"/>
        </w:rPr>
        <w:t> </w:t>
      </w:r>
      <w:r>
        <w:rPr>
          <w:spacing w:val="-2"/>
        </w:rPr>
        <w:t>le</w:t>
      </w:r>
      <w:r>
        <w:rPr>
          <w:spacing w:val="19"/>
        </w:rPr>
        <w:t> </w:t>
      </w:r>
      <w:r>
        <w:rPr>
          <w:spacing w:val="-3"/>
        </w:rPr>
        <w:t>système</w:t>
      </w:r>
      <w:r>
        <w:rPr>
          <w:spacing w:val="19"/>
        </w:rPr>
        <w:t> </w:t>
      </w:r>
      <w:r>
        <w:rPr>
          <w:spacing w:val="-2"/>
        </w:rPr>
        <w:t>de</w:t>
      </w:r>
      <w:r>
        <w:rPr>
          <w:spacing w:val="19"/>
        </w:rPr>
        <w:t> </w:t>
      </w:r>
      <w:r>
        <w:rPr>
          <w:spacing w:val="-2"/>
        </w:rPr>
        <w:t>récupération</w:t>
      </w:r>
      <w:r>
        <w:rPr>
          <w:spacing w:val="19"/>
        </w:rPr>
        <w:t> </w:t>
      </w:r>
      <w:r>
        <w:rPr>
          <w:spacing w:val="-2"/>
        </w:rPr>
        <w:t>de</w:t>
      </w:r>
      <w:r>
        <w:rPr>
          <w:spacing w:val="19"/>
        </w:rPr>
        <w:t> </w:t>
      </w:r>
      <w:r>
        <w:rPr/>
        <w:t>la</w:t>
      </w:r>
      <w:r>
        <w:rPr>
          <w:spacing w:val="19"/>
        </w:rPr>
        <w:t> </w:t>
      </w:r>
      <w:r>
        <w:rPr>
          <w:spacing w:val="-2"/>
        </w:rPr>
        <w:t>chaleur</w:t>
      </w:r>
      <w:r>
        <w:rPr>
          <w:spacing w:val="29"/>
        </w:rPr>
        <w:t> </w:t>
      </w:r>
      <w:r>
        <w:rPr>
          <w:spacing w:val="-1"/>
        </w:rPr>
        <w:t>garantissent</w:t>
      </w:r>
      <w:r>
        <w:rPr>
          <w:spacing w:val="32"/>
        </w:rPr>
        <w:t> </w:t>
      </w:r>
      <w:r>
        <w:rPr>
          <w:spacing w:val="-2"/>
        </w:rPr>
        <w:t>une</w:t>
      </w:r>
      <w:r>
        <w:rPr>
          <w:spacing w:val="33"/>
        </w:rPr>
        <w:t> </w:t>
      </w:r>
      <w:r>
        <w:rPr>
          <w:spacing w:val="-2"/>
        </w:rPr>
        <w:t>faible</w:t>
      </w:r>
      <w:r>
        <w:rPr>
          <w:spacing w:val="32"/>
        </w:rPr>
        <w:t> </w:t>
      </w:r>
      <w:r>
        <w:rPr>
          <w:spacing w:val="-2"/>
        </w:rPr>
        <w:t>consommation,</w:t>
      </w:r>
      <w:r>
        <w:rPr>
          <w:spacing w:val="26"/>
        </w:rPr>
        <w:t> </w:t>
      </w:r>
      <w:r>
        <w:rPr>
          <w:spacing w:val="-2"/>
        </w:rPr>
        <w:t>tout</w:t>
      </w:r>
      <w:r>
        <w:rPr>
          <w:spacing w:val="33"/>
        </w:rPr>
        <w:t> </w:t>
      </w:r>
      <w:r>
        <w:rPr>
          <w:spacing w:val="-1"/>
        </w:rPr>
        <w:t>en</w:t>
      </w:r>
      <w:r>
        <w:rPr>
          <w:spacing w:val="33"/>
        </w:rPr>
        <w:t> </w:t>
      </w:r>
      <w:r>
        <w:rPr>
          <w:spacing w:val="-1"/>
        </w:rPr>
        <w:t>assurant</w:t>
      </w:r>
      <w:r>
        <w:rPr>
          <w:spacing w:val="34"/>
        </w:rPr>
        <w:t> </w:t>
      </w:r>
      <w:r>
        <w:rPr>
          <w:spacing w:val="-1"/>
        </w:rPr>
        <w:t>un</w:t>
      </w:r>
      <w:r>
        <w:rPr>
          <w:spacing w:val="33"/>
        </w:rPr>
        <w:t> </w:t>
      </w:r>
      <w:r>
        <w:rPr>
          <w:spacing w:val="-1"/>
        </w:rPr>
        <w:t>confort</w:t>
      </w:r>
      <w:r>
        <w:rPr>
          <w:spacing w:val="34"/>
        </w:rPr>
        <w:t> </w:t>
      </w:r>
      <w:r>
        <w:rPr>
          <w:spacing w:val="-1"/>
        </w:rPr>
        <w:t>optimal.</w:t>
      </w:r>
      <w:r>
        <w:rPr>
          <w:spacing w:val="27"/>
        </w:rPr>
        <w:t> </w:t>
      </w:r>
      <w:r>
        <w:rPr>
          <w:spacing w:val="-3"/>
        </w:rPr>
        <w:t>La</w:t>
      </w:r>
      <w:r>
        <w:rPr>
          <w:spacing w:val="33"/>
        </w:rPr>
        <w:t> </w:t>
      </w:r>
      <w:r>
        <w:rPr>
          <w:spacing w:val="-2"/>
        </w:rPr>
        <w:t>ventila-</w:t>
      </w:r>
      <w:r>
        <w:rPr>
          <w:spacing w:val="28"/>
        </w:rPr>
        <w:t> </w:t>
      </w:r>
      <w:r>
        <w:rPr>
          <w:spacing w:val="-2"/>
        </w:rPr>
        <w:t>tion</w:t>
      </w:r>
      <w:r>
        <w:rPr>
          <w:spacing w:val="6"/>
        </w:rPr>
        <w:t> </w:t>
      </w:r>
      <w:r>
        <w:rPr>
          <w:spacing w:val="-1"/>
        </w:rPr>
        <w:t>offre</w:t>
      </w:r>
      <w:r>
        <w:rPr>
          <w:spacing w:val="6"/>
        </w:rPr>
        <w:t> </w:t>
      </w:r>
      <w:r>
        <w:rPr>
          <w:spacing w:val="-1"/>
        </w:rPr>
        <w:t>un</w:t>
      </w:r>
      <w:r>
        <w:rPr>
          <w:spacing w:val="6"/>
        </w:rPr>
        <w:t> </w:t>
      </w:r>
      <w:r>
        <w:rPr>
          <w:spacing w:val="-2"/>
        </w:rPr>
        <w:t>cadre</w:t>
      </w:r>
      <w:r>
        <w:rPr>
          <w:spacing w:val="6"/>
        </w:rPr>
        <w:t> </w:t>
      </w:r>
      <w:r>
        <w:rPr>
          <w:spacing w:val="-2"/>
        </w:rPr>
        <w:t>de</w:t>
      </w:r>
      <w:r>
        <w:rPr>
          <w:spacing w:val="6"/>
        </w:rPr>
        <w:t> </w:t>
      </w:r>
      <w:r>
        <w:rPr>
          <w:spacing w:val="-2"/>
        </w:rPr>
        <w:t>vie</w:t>
      </w:r>
      <w:r>
        <w:rPr>
          <w:spacing w:val="6"/>
        </w:rPr>
        <w:t> </w:t>
      </w:r>
      <w:r>
        <w:rPr>
          <w:spacing w:val="-2"/>
        </w:rPr>
        <w:t>agréable. </w:t>
      </w:r>
      <w:r>
        <w:rPr/>
        <w:t>On</w:t>
      </w:r>
      <w:r>
        <w:rPr>
          <w:spacing w:val="6"/>
        </w:rPr>
        <w:t> </w:t>
      </w:r>
      <w:r>
        <w:rPr/>
        <w:t>a</w:t>
      </w:r>
      <w:r>
        <w:rPr>
          <w:spacing w:val="6"/>
        </w:rPr>
        <w:t> </w:t>
      </w:r>
      <w:r>
        <w:rPr>
          <w:spacing w:val="-1"/>
        </w:rPr>
        <w:t>fait</w:t>
      </w:r>
      <w:r>
        <w:rPr>
          <w:spacing w:val="37"/>
        </w:rPr>
        <w:t> </w:t>
      </w:r>
      <w:r>
        <w:rPr>
          <w:spacing w:val="-1"/>
        </w:rPr>
        <w:t>l’impasse</w:t>
      </w:r>
      <w:r>
        <w:rPr>
          <w:spacing w:val="41"/>
        </w:rPr>
        <w:t> </w:t>
      </w:r>
      <w:r>
        <w:rPr>
          <w:spacing w:val="-1"/>
        </w:rPr>
        <w:t>sur</w:t>
      </w:r>
      <w:r>
        <w:rPr>
          <w:spacing w:val="42"/>
        </w:rPr>
        <w:t> </w:t>
      </w:r>
      <w:r>
        <w:rPr>
          <w:spacing w:val="-1"/>
        </w:rPr>
        <w:t>un</w:t>
      </w:r>
      <w:r>
        <w:rPr>
          <w:spacing w:val="41"/>
        </w:rPr>
        <w:t> </w:t>
      </w:r>
      <w:r>
        <w:rPr>
          <w:spacing w:val="-1"/>
        </w:rPr>
        <w:t>garage</w:t>
      </w:r>
      <w:r>
        <w:rPr>
          <w:spacing w:val="42"/>
        </w:rPr>
        <w:t> </w:t>
      </w:r>
      <w:r>
        <w:rPr>
          <w:spacing w:val="-2"/>
        </w:rPr>
        <w:t>souterrain</w:t>
      </w:r>
      <w:r>
        <w:rPr>
          <w:spacing w:val="42"/>
        </w:rPr>
        <w:t> </w:t>
      </w:r>
      <w:r>
        <w:rPr>
          <w:spacing w:val="-1"/>
        </w:rPr>
        <w:t>et</w:t>
      </w:r>
      <w:r>
        <w:rPr>
          <w:spacing w:val="41"/>
        </w:rPr>
        <w:t> </w:t>
      </w:r>
      <w:r>
        <w:rPr>
          <w:spacing w:val="-2"/>
        </w:rPr>
        <w:t>des</w:t>
      </w:r>
      <w:r>
        <w:rPr>
          <w:i w:val="0"/>
        </w:rPr>
      </w:r>
    </w:p>
    <w:p>
      <w:pPr>
        <w:spacing w:before="67"/>
        <w:ind w:left="167" w:right="0" w:firstLine="0"/>
        <w:jc w:val="left"/>
        <w:rPr>
          <w:rFonts w:ascii="Theinhardt Black" w:hAnsi="Theinhardt Black" w:cs="Theinhardt Black" w:eastAsia="Theinhardt Black"/>
          <w:sz w:val="14"/>
          <w:szCs w:val="14"/>
        </w:rPr>
      </w:pPr>
      <w:r>
        <w:rPr/>
        <w:br w:type="column"/>
      </w:r>
      <w:r>
        <w:rPr>
          <w:rFonts w:ascii="Theinhardt Black"/>
          <w:b/>
          <w:sz w:val="14"/>
        </w:rPr>
        <w:t>Technische </w:t>
      </w:r>
      <w:r>
        <w:rPr>
          <w:rFonts w:ascii="Theinhardt Black"/>
          <w:b/>
          <w:spacing w:val="1"/>
          <w:sz w:val="14"/>
        </w:rPr>
        <w:t>Daten</w:t>
      </w:r>
      <w:r>
        <w:rPr>
          <w:rFonts w:ascii="Theinhardt Black"/>
          <w:sz w:val="14"/>
        </w:rPr>
      </w:r>
    </w:p>
    <w:p>
      <w:pPr>
        <w:spacing w:line="240" w:lineRule="auto" w:before="10"/>
        <w:rPr>
          <w:rFonts w:ascii="Theinhardt Black" w:hAnsi="Theinhardt Black" w:cs="Theinhardt Black" w:eastAsia="Theinhardt Black"/>
          <w:b/>
          <w:bCs/>
          <w:sz w:val="2"/>
          <w:szCs w:val="2"/>
        </w:rPr>
      </w:pPr>
    </w:p>
    <w:p>
      <w:pPr>
        <w:spacing w:line="20" w:lineRule="atLeast"/>
        <w:ind w:left="167" w:right="0" w:firstLine="0"/>
        <w:rPr>
          <w:rFonts w:ascii="Theinhardt Black" w:hAnsi="Theinhardt Black" w:cs="Theinhardt Black" w:eastAsia="Theinhardt Black"/>
          <w:sz w:val="2"/>
          <w:szCs w:val="2"/>
        </w:rPr>
      </w:pPr>
      <w:r>
        <w:rPr>
          <w:rFonts w:ascii="Theinhardt Black" w:hAnsi="Theinhardt Black" w:cs="Theinhardt Black" w:eastAsia="Theinhardt Black"/>
          <w:sz w:val="2"/>
          <w:szCs w:val="2"/>
        </w:rPr>
        <w:pict>
          <v:group style="width:167.25pt;height:.45pt;mso-position-horizontal-relative:char;mso-position-vertical-relative:line" coordorigin="0,0" coordsize="3345,9">
            <v:group style="position:absolute;left:21;top:4;width:3311;height:2" coordorigin="21,4" coordsize="3311,2">
              <v:shape style="position:absolute;left:21;top:4;width:3311;height:2" coordorigin="21,4" coordsize="3311,0" path="m21,4l3332,4e" filled="false" stroked="true" strokeweight=".425pt" strokecolor="#000000">
                <v:path arrowok="t"/>
                <v:stroke dashstyle="dash"/>
              </v:shape>
            </v:group>
            <v:group style="position:absolute;left:4;top:4;width:2;height:2" coordorigin="4,4" coordsize="2,2">
              <v:shape style="position:absolute;left:4;top:4;width:2;height:2" coordorigin="4,4" coordsize="0,0" path="m4,4l4,4e" filled="false" stroked="true" strokeweight=".425pt" strokecolor="#000000">
                <v:path arrowok="t"/>
              </v:shape>
            </v:group>
            <v:group style="position:absolute;left:3341;top:4;width:2;height:2" coordorigin="3341,4" coordsize="2,2">
              <v:shape style="position:absolute;left:3341;top:4;width:2;height:2" coordorigin="3341,4" coordsize="0,0" path="m3341,4l3341,4e" filled="false" stroked="true" strokeweight=".425pt" strokecolor="#000000">
                <v:path arrowok="t"/>
              </v:shape>
            </v:group>
          </v:group>
        </w:pict>
      </w:r>
      <w:r>
        <w:rPr>
          <w:rFonts w:ascii="Theinhardt Black" w:hAnsi="Theinhardt Black" w:cs="Theinhardt Black" w:eastAsia="Theinhardt Black"/>
          <w:sz w:val="2"/>
          <w:szCs w:val="2"/>
        </w:rPr>
      </w:r>
    </w:p>
    <w:p>
      <w:pPr>
        <w:spacing w:line="172" w:lineRule="exact" w:before="20"/>
        <w:ind w:left="167" w:right="0" w:firstLine="0"/>
        <w:jc w:val="left"/>
        <w:rPr>
          <w:rFonts w:ascii="Theinhardt Bold" w:hAnsi="Theinhardt Bold" w:cs="Theinhardt Bold" w:eastAsia="Theinhardt Bold"/>
          <w:sz w:val="14"/>
          <w:szCs w:val="14"/>
        </w:rPr>
      </w:pPr>
      <w:r>
        <w:rPr>
          <w:rFonts w:ascii="Theinhardt Bold" w:hAnsi="Theinhardt Bold"/>
          <w:b/>
          <w:spacing w:val="1"/>
          <w:sz w:val="14"/>
        </w:rPr>
        <w:t>Wärmedämmung</w:t>
      </w:r>
      <w:r>
        <w:rPr>
          <w:rFonts w:ascii="Theinhardt Bold" w:hAnsi="Theinhardt Bold"/>
          <w:sz w:val="14"/>
        </w:rPr>
      </w:r>
    </w:p>
    <w:p>
      <w:pPr>
        <w:tabs>
          <w:tab w:pos="1379" w:val="left" w:leader="none"/>
        </w:tabs>
        <w:spacing w:line="160" w:lineRule="exact" w:before="0"/>
        <w:ind w:left="167" w:right="0" w:firstLine="0"/>
        <w:jc w:val="left"/>
        <w:rPr>
          <w:rFonts w:ascii="Theinhardt Regular" w:hAnsi="Theinhardt Regular" w:cs="Theinhardt Regular" w:eastAsia="Theinhardt Regular"/>
          <w:sz w:val="14"/>
          <w:szCs w:val="14"/>
        </w:rPr>
      </w:pPr>
      <w:r>
        <w:rPr>
          <w:rFonts w:ascii="Theinhardt Regular"/>
          <w:sz w:val="14"/>
        </w:rPr>
        <w:t>Wand:</w:t>
        <w:tab/>
      </w:r>
      <w:r>
        <w:rPr>
          <w:rFonts w:ascii="Theinhardt Regular"/>
          <w:spacing w:val="-1"/>
          <w:sz w:val="14"/>
        </w:rPr>
        <w:t>28</w:t>
      </w:r>
      <w:r>
        <w:rPr>
          <w:rFonts w:ascii="Theinhardt Regular"/>
          <w:sz w:val="14"/>
        </w:rPr>
        <w:t> </w:t>
      </w:r>
      <w:r>
        <w:rPr>
          <w:rFonts w:ascii="Theinhardt Regular"/>
          <w:spacing w:val="1"/>
          <w:sz w:val="14"/>
        </w:rPr>
        <w:t>cm</w:t>
      </w:r>
      <w:r>
        <w:rPr>
          <w:rFonts w:ascii="Theinhardt Regular"/>
          <w:sz w:val="14"/>
        </w:rPr>
        <w:t>   </w:t>
      </w:r>
      <w:r>
        <w:rPr>
          <w:rFonts w:ascii="Theinhardt Regular"/>
          <w:spacing w:val="36"/>
          <w:sz w:val="14"/>
        </w:rPr>
        <w:t> </w:t>
      </w:r>
      <w:r>
        <w:rPr>
          <w:rFonts w:ascii="Theinhardt Regular"/>
          <w:spacing w:val="1"/>
          <w:sz w:val="14"/>
        </w:rPr>
        <w:t>U-Wert:</w:t>
      </w:r>
      <w:r>
        <w:rPr>
          <w:rFonts w:ascii="Theinhardt Regular"/>
          <w:sz w:val="14"/>
        </w:rPr>
        <w:t>   </w:t>
      </w:r>
      <w:r>
        <w:rPr>
          <w:rFonts w:ascii="Theinhardt Regular"/>
          <w:spacing w:val="16"/>
          <w:sz w:val="14"/>
        </w:rPr>
        <w:t> </w:t>
      </w:r>
      <w:r>
        <w:rPr>
          <w:rFonts w:ascii="Theinhardt Regular"/>
          <w:spacing w:val="-5"/>
          <w:sz w:val="14"/>
        </w:rPr>
        <w:t>0.15</w:t>
      </w:r>
      <w:r>
        <w:rPr>
          <w:rFonts w:ascii="Theinhardt Regular"/>
          <w:sz w:val="14"/>
        </w:rPr>
        <w:t> </w:t>
      </w:r>
      <w:r>
        <w:rPr>
          <w:rFonts w:ascii="Theinhardt Regular"/>
          <w:spacing w:val="-2"/>
          <w:sz w:val="14"/>
        </w:rPr>
        <w:t>W/m</w:t>
      </w:r>
      <w:r>
        <w:rPr>
          <w:rFonts w:ascii="Theinhardt Regular"/>
          <w:spacing w:val="-2"/>
          <w:position w:val="5"/>
          <w:sz w:val="8"/>
        </w:rPr>
        <w:t>2</w:t>
      </w:r>
      <w:r>
        <w:rPr>
          <w:rFonts w:ascii="Theinhardt Regular"/>
          <w:spacing w:val="-2"/>
          <w:sz w:val="14"/>
        </w:rPr>
        <w:t>K</w:t>
      </w:r>
    </w:p>
    <w:p>
      <w:pPr>
        <w:tabs>
          <w:tab w:pos="1379" w:val="left" w:leader="none"/>
        </w:tabs>
        <w:spacing w:line="160" w:lineRule="exact" w:before="0"/>
        <w:ind w:left="167" w:right="0" w:firstLine="0"/>
        <w:jc w:val="left"/>
        <w:rPr>
          <w:rFonts w:ascii="Theinhardt Regular" w:hAnsi="Theinhardt Regular" w:cs="Theinhardt Regular" w:eastAsia="Theinhardt Regular"/>
          <w:sz w:val="14"/>
          <w:szCs w:val="14"/>
        </w:rPr>
      </w:pPr>
      <w:r>
        <w:rPr>
          <w:rFonts w:ascii="Theinhardt Regular"/>
          <w:spacing w:val="1"/>
          <w:sz w:val="14"/>
        </w:rPr>
        <w:t>Dach:</w:t>
        <w:tab/>
      </w:r>
      <w:r>
        <w:rPr>
          <w:rFonts w:ascii="Theinhardt Regular"/>
          <w:spacing w:val="-1"/>
          <w:sz w:val="14"/>
        </w:rPr>
        <w:t>28</w:t>
      </w:r>
      <w:r>
        <w:rPr>
          <w:rFonts w:ascii="Theinhardt Regular"/>
          <w:sz w:val="14"/>
        </w:rPr>
        <w:t> </w:t>
      </w:r>
      <w:r>
        <w:rPr>
          <w:rFonts w:ascii="Theinhardt Regular"/>
          <w:spacing w:val="1"/>
          <w:sz w:val="14"/>
        </w:rPr>
        <w:t>cm</w:t>
      </w:r>
      <w:r>
        <w:rPr>
          <w:rFonts w:ascii="Theinhardt Regular"/>
          <w:sz w:val="14"/>
        </w:rPr>
        <w:t>   </w:t>
      </w:r>
      <w:r>
        <w:rPr>
          <w:rFonts w:ascii="Theinhardt Regular"/>
          <w:spacing w:val="36"/>
          <w:sz w:val="14"/>
        </w:rPr>
        <w:t> </w:t>
      </w:r>
      <w:r>
        <w:rPr>
          <w:rFonts w:ascii="Theinhardt Regular"/>
          <w:spacing w:val="1"/>
          <w:sz w:val="14"/>
        </w:rPr>
        <w:t>U-Wert:</w:t>
      </w:r>
      <w:r>
        <w:rPr>
          <w:rFonts w:ascii="Theinhardt Regular"/>
          <w:sz w:val="14"/>
        </w:rPr>
        <w:t>   </w:t>
      </w:r>
      <w:r>
        <w:rPr>
          <w:rFonts w:ascii="Theinhardt Regular"/>
          <w:spacing w:val="17"/>
          <w:sz w:val="14"/>
        </w:rPr>
        <w:t> </w:t>
      </w:r>
      <w:r>
        <w:rPr>
          <w:rFonts w:ascii="Theinhardt Regular"/>
          <w:spacing w:val="-5"/>
          <w:sz w:val="14"/>
        </w:rPr>
        <w:t>0.14</w:t>
      </w:r>
      <w:r>
        <w:rPr>
          <w:rFonts w:ascii="Theinhardt Regular"/>
          <w:sz w:val="14"/>
        </w:rPr>
        <w:t> </w:t>
      </w:r>
      <w:r>
        <w:rPr>
          <w:rFonts w:ascii="Theinhardt Regular"/>
          <w:spacing w:val="-2"/>
          <w:sz w:val="14"/>
        </w:rPr>
        <w:t>W/m</w:t>
      </w:r>
      <w:r>
        <w:rPr>
          <w:rFonts w:ascii="Theinhardt Regular"/>
          <w:spacing w:val="-2"/>
          <w:position w:val="5"/>
          <w:sz w:val="8"/>
        </w:rPr>
        <w:t>2</w:t>
      </w:r>
      <w:r>
        <w:rPr>
          <w:rFonts w:ascii="Theinhardt Regular"/>
          <w:spacing w:val="-2"/>
          <w:sz w:val="14"/>
        </w:rPr>
        <w:t>K</w:t>
      </w:r>
    </w:p>
    <w:p>
      <w:pPr>
        <w:tabs>
          <w:tab w:pos="1261" w:val="left" w:leader="none"/>
        </w:tabs>
        <w:spacing w:line="207" w:lineRule="auto" w:before="5"/>
        <w:ind w:left="167" w:right="293" w:firstLine="0"/>
        <w:jc w:val="left"/>
        <w:rPr>
          <w:rFonts w:ascii="Theinhardt Regular" w:hAnsi="Theinhardt Regular" w:cs="Theinhardt Regular" w:eastAsia="Theinhardt Regular"/>
          <w:sz w:val="14"/>
          <w:szCs w:val="14"/>
        </w:rPr>
      </w:pPr>
      <w:r>
        <w:rPr>
          <w:rFonts w:ascii="Theinhardt Regular"/>
          <w:spacing w:val="1"/>
          <w:sz w:val="14"/>
        </w:rPr>
        <w:t>Boden:</w:t>
        <w:tab/>
      </w:r>
      <w:r>
        <w:rPr>
          <w:rFonts w:ascii="Theinhardt Regular"/>
          <w:sz w:val="14"/>
        </w:rPr>
        <w:t>30 </w:t>
      </w:r>
      <w:r>
        <w:rPr>
          <w:rFonts w:ascii="Theinhardt Regular"/>
          <w:spacing w:val="1"/>
          <w:sz w:val="14"/>
        </w:rPr>
        <w:t>cm</w:t>
      </w:r>
      <w:r>
        <w:rPr>
          <w:rFonts w:ascii="Theinhardt Regular"/>
          <w:sz w:val="14"/>
        </w:rPr>
        <w:t>   </w:t>
      </w:r>
      <w:r>
        <w:rPr>
          <w:rFonts w:ascii="Theinhardt Regular"/>
          <w:spacing w:val="36"/>
          <w:sz w:val="14"/>
        </w:rPr>
        <w:t> </w:t>
      </w:r>
      <w:r>
        <w:rPr>
          <w:rFonts w:ascii="Theinhardt Regular"/>
          <w:spacing w:val="1"/>
          <w:sz w:val="14"/>
        </w:rPr>
        <w:t>U-Wert:</w:t>
      </w:r>
      <w:r>
        <w:rPr>
          <w:rFonts w:ascii="Theinhardt Regular"/>
          <w:sz w:val="14"/>
        </w:rPr>
        <w:t>   </w:t>
      </w:r>
      <w:r>
        <w:rPr>
          <w:rFonts w:ascii="Theinhardt Regular"/>
          <w:spacing w:val="17"/>
          <w:sz w:val="14"/>
        </w:rPr>
        <w:t> </w:t>
      </w:r>
      <w:r>
        <w:rPr>
          <w:rFonts w:ascii="Theinhardt Regular"/>
          <w:spacing w:val="-5"/>
          <w:sz w:val="14"/>
        </w:rPr>
        <w:t>0.13</w:t>
      </w:r>
      <w:r>
        <w:rPr>
          <w:rFonts w:ascii="Theinhardt Regular"/>
          <w:sz w:val="14"/>
        </w:rPr>
        <w:t> </w:t>
      </w:r>
      <w:r>
        <w:rPr>
          <w:rFonts w:ascii="Theinhardt Regular"/>
          <w:spacing w:val="-2"/>
          <w:sz w:val="14"/>
        </w:rPr>
        <w:t>W/m</w:t>
      </w:r>
      <w:r>
        <w:rPr>
          <w:rFonts w:ascii="Theinhardt Regular"/>
          <w:spacing w:val="-2"/>
          <w:position w:val="5"/>
          <w:sz w:val="8"/>
        </w:rPr>
        <w:t>2</w:t>
      </w:r>
      <w:r>
        <w:rPr>
          <w:rFonts w:ascii="Theinhardt Regular"/>
          <w:spacing w:val="-2"/>
          <w:sz w:val="14"/>
        </w:rPr>
        <w:t>K</w:t>
      </w:r>
      <w:r>
        <w:rPr>
          <w:rFonts w:ascii="Theinhardt Regular"/>
          <w:spacing w:val="30"/>
          <w:sz w:val="14"/>
        </w:rPr>
        <w:t> </w:t>
      </w:r>
      <w:r>
        <w:rPr>
          <w:rFonts w:ascii="Theinhardt Regular"/>
          <w:spacing w:val="1"/>
          <w:sz w:val="14"/>
        </w:rPr>
        <w:t>Fenster:</w:t>
        <w:tab/>
        <w:t>dreifach</w:t>
      </w:r>
      <w:r>
        <w:rPr>
          <w:rFonts w:ascii="Theinhardt Regular"/>
          <w:sz w:val="14"/>
        </w:rPr>
        <w:t>   </w:t>
      </w:r>
      <w:r>
        <w:rPr>
          <w:rFonts w:ascii="Theinhardt Regular"/>
          <w:spacing w:val="36"/>
          <w:sz w:val="14"/>
        </w:rPr>
        <w:t> </w:t>
      </w:r>
      <w:r>
        <w:rPr>
          <w:rFonts w:ascii="Theinhardt Regular"/>
          <w:spacing w:val="1"/>
          <w:sz w:val="14"/>
        </w:rPr>
        <w:t>U-Wert:</w:t>
      </w:r>
      <w:r>
        <w:rPr>
          <w:rFonts w:ascii="Theinhardt Regular"/>
          <w:sz w:val="14"/>
        </w:rPr>
        <w:t>  </w:t>
      </w:r>
      <w:r>
        <w:rPr>
          <w:rFonts w:ascii="Theinhardt Regular"/>
          <w:spacing w:val="35"/>
          <w:sz w:val="14"/>
        </w:rPr>
        <w:t> </w:t>
      </w:r>
      <w:r>
        <w:rPr>
          <w:rFonts w:ascii="Theinhardt Regular"/>
          <w:sz w:val="14"/>
        </w:rPr>
        <w:t>0.82 </w:t>
      </w:r>
      <w:r>
        <w:rPr>
          <w:rFonts w:ascii="Theinhardt Regular"/>
          <w:spacing w:val="-2"/>
          <w:sz w:val="14"/>
        </w:rPr>
        <w:t>W/m</w:t>
      </w:r>
      <w:r>
        <w:rPr>
          <w:rFonts w:ascii="Theinhardt Regular"/>
          <w:spacing w:val="-2"/>
          <w:position w:val="5"/>
          <w:sz w:val="8"/>
        </w:rPr>
        <w:t>2</w:t>
      </w:r>
      <w:r>
        <w:rPr>
          <w:rFonts w:ascii="Theinhardt Regular"/>
          <w:spacing w:val="-2"/>
          <w:sz w:val="14"/>
        </w:rPr>
        <w:t>K</w:t>
      </w:r>
    </w:p>
    <w:p>
      <w:pPr>
        <w:spacing w:line="172" w:lineRule="exact" w:before="38"/>
        <w:ind w:left="167" w:right="0" w:firstLine="0"/>
        <w:jc w:val="left"/>
        <w:rPr>
          <w:rFonts w:ascii="Theinhardt Bold" w:hAnsi="Theinhardt Bold" w:cs="Theinhardt Bold" w:eastAsia="Theinhardt Bold"/>
          <w:sz w:val="14"/>
          <w:szCs w:val="14"/>
        </w:rPr>
      </w:pPr>
      <w:r>
        <w:rPr>
          <w:rFonts w:ascii="Theinhardt Bold"/>
          <w:b/>
          <w:spacing w:val="3"/>
          <w:sz w:val="14"/>
        </w:rPr>
        <w:t>E</w:t>
      </w:r>
      <w:r>
        <w:rPr>
          <w:rFonts w:ascii="Theinhardt Bold"/>
          <w:b/>
          <w:spacing w:val="2"/>
          <w:sz w:val="14"/>
        </w:rPr>
        <w:t>ner</w:t>
      </w:r>
      <w:r>
        <w:rPr>
          <w:rFonts w:ascii="Theinhardt Bold"/>
          <w:b/>
          <w:spacing w:val="1"/>
          <w:sz w:val="14"/>
        </w:rPr>
        <w:t>g</w:t>
      </w:r>
      <w:r>
        <w:rPr>
          <w:rFonts w:ascii="Theinhardt Bold"/>
          <w:b/>
          <w:spacing w:val="2"/>
          <w:sz w:val="14"/>
        </w:rPr>
        <w:t>iebeda</w:t>
      </w:r>
      <w:r>
        <w:rPr>
          <w:rFonts w:ascii="Theinhardt Bold"/>
          <w:b/>
          <w:spacing w:val="4"/>
          <w:sz w:val="14"/>
        </w:rPr>
        <w:t>r</w:t>
      </w:r>
      <w:r>
        <w:rPr>
          <w:rFonts w:ascii="Theinhardt Bold"/>
          <w:b/>
          <w:sz w:val="14"/>
        </w:rPr>
        <w:t>f</w:t>
      </w:r>
      <w:r>
        <w:rPr>
          <w:rFonts w:ascii="Theinhardt Bold"/>
          <w:sz w:val="14"/>
        </w:rPr>
      </w:r>
    </w:p>
    <w:p>
      <w:pPr>
        <w:tabs>
          <w:tab w:pos="1580" w:val="left" w:leader="none"/>
          <w:tab w:pos="1942" w:val="left" w:leader="none"/>
          <w:tab w:pos="2454" w:val="left" w:leader="none"/>
          <w:tab w:pos="2884" w:val="left" w:leader="none"/>
        </w:tabs>
        <w:spacing w:line="207" w:lineRule="auto" w:before="6"/>
        <w:ind w:left="167" w:right="333" w:firstLine="0"/>
        <w:jc w:val="left"/>
        <w:rPr>
          <w:rFonts w:ascii="Theinhardt Regular" w:hAnsi="Theinhardt Regular" w:cs="Theinhardt Regular" w:eastAsia="Theinhardt Regular"/>
          <w:sz w:val="14"/>
          <w:szCs w:val="14"/>
        </w:rPr>
      </w:pPr>
      <w:r>
        <w:rPr>
          <w:rFonts w:ascii="Theinhardt Regular" w:hAnsi="Theinhardt Regular" w:cs="Theinhardt Regular" w:eastAsia="Theinhardt Regular"/>
          <w:spacing w:val="1"/>
          <w:sz w:val="14"/>
          <w:szCs w:val="14"/>
        </w:rPr>
        <w:t>EBF:</w:t>
      </w:r>
      <w:r>
        <w:rPr>
          <w:rFonts w:ascii="Theinhardt Regular" w:hAnsi="Theinhardt Regular" w:cs="Theinhardt Regular" w:eastAsia="Theinhardt Regular"/>
          <w:sz w:val="14"/>
          <w:szCs w:val="14"/>
        </w:rPr>
        <w:t> </w:t>
      </w:r>
      <w:r>
        <w:rPr>
          <w:rFonts w:ascii="Theinhardt Regular" w:hAnsi="Theinhardt Regular" w:cs="Theinhardt Regular" w:eastAsia="Theinhardt Regular"/>
          <w:spacing w:val="-2"/>
          <w:sz w:val="14"/>
          <w:szCs w:val="14"/>
        </w:rPr>
        <w:t>781</w:t>
      </w:r>
      <w:r>
        <w:rPr>
          <w:rFonts w:ascii="Theinhardt Regular" w:hAnsi="Theinhardt Regular" w:cs="Theinhardt Regular" w:eastAsia="Theinhardt Regular"/>
          <w:sz w:val="14"/>
          <w:szCs w:val="14"/>
        </w:rPr>
        <w:t> </w:t>
      </w:r>
      <w:r>
        <w:rPr>
          <w:rFonts w:ascii="Theinhardt Regular" w:hAnsi="Theinhardt Regular" w:cs="Theinhardt Regular" w:eastAsia="Theinhardt Regular"/>
          <w:spacing w:val="-1"/>
          <w:sz w:val="14"/>
          <w:szCs w:val="14"/>
        </w:rPr>
        <w:t>m</w:t>
      </w:r>
      <w:r>
        <w:rPr>
          <w:rFonts w:ascii="Theinhardt Regular" w:hAnsi="Theinhardt Regular" w:cs="Theinhardt Regular" w:eastAsia="Theinhardt Regular"/>
          <w:spacing w:val="-1"/>
          <w:position w:val="5"/>
          <w:sz w:val="8"/>
          <w:szCs w:val="8"/>
        </w:rPr>
        <w:t>2</w:t>
        <w:tab/>
      </w:r>
      <w:r>
        <w:rPr>
          <w:rFonts w:ascii="Theinhardt Regular" w:hAnsi="Theinhardt Regular" w:cs="Theinhardt Regular" w:eastAsia="Theinhardt Regular"/>
          <w:sz w:val="14"/>
          <w:szCs w:val="14"/>
        </w:rPr>
        <w:t>kWh/m</w:t>
      </w:r>
      <w:r>
        <w:rPr>
          <w:rFonts w:ascii="Theinhardt Regular" w:hAnsi="Theinhardt Regular" w:cs="Theinhardt Regular" w:eastAsia="Theinhardt Regular"/>
          <w:position w:val="5"/>
          <w:sz w:val="8"/>
          <w:szCs w:val="8"/>
        </w:rPr>
        <w:t>2</w:t>
      </w:r>
      <w:r>
        <w:rPr>
          <w:rFonts w:ascii="Theinhardt Regular" w:hAnsi="Theinhardt Regular" w:cs="Theinhardt Regular" w:eastAsia="Theinhardt Regular"/>
          <w:sz w:val="14"/>
          <w:szCs w:val="14"/>
        </w:rPr>
        <w:t>a</w:t>
        <w:tab/>
        <w:t>%</w:t>
        <w:tab/>
        <w:t>kWh/a</w:t>
      </w:r>
      <w:r>
        <w:rPr>
          <w:rFonts w:ascii="Theinhardt Regular" w:hAnsi="Theinhardt Regular" w:cs="Theinhardt Regular" w:eastAsia="Theinhardt Regular"/>
          <w:spacing w:val="22"/>
          <w:sz w:val="14"/>
          <w:szCs w:val="14"/>
        </w:rPr>
        <w:t> </w:t>
      </w:r>
      <w:r>
        <w:rPr>
          <w:rFonts w:ascii="Theinhardt Regular" w:hAnsi="Theinhardt Regular" w:cs="Theinhardt Regular" w:eastAsia="Theinhardt Regular"/>
          <w:w w:val="95"/>
          <w:sz w:val="14"/>
          <w:szCs w:val="14"/>
        </w:rPr>
        <w:t>Heizung:</w:t>
        <w:tab/>
        <w:tab/>
        <w:t>3.3</w:t>
        <w:tab/>
      </w:r>
      <w:r>
        <w:rPr>
          <w:rFonts w:ascii="Theinhardt Regular" w:hAnsi="Theinhardt Regular" w:cs="Theinhardt Regular" w:eastAsia="Theinhardt Regular"/>
          <w:spacing w:val="-7"/>
          <w:sz w:val="14"/>
          <w:szCs w:val="14"/>
        </w:rPr>
        <w:t>11</w:t>
        <w:tab/>
      </w:r>
      <w:r>
        <w:rPr>
          <w:rFonts w:ascii="Theinhardt Regular" w:hAnsi="Theinhardt Regular" w:cs="Theinhardt Regular" w:eastAsia="Theinhardt Regular"/>
          <w:spacing w:val="-1"/>
          <w:sz w:val="14"/>
          <w:szCs w:val="14"/>
        </w:rPr>
        <w:t>2’577</w:t>
      </w:r>
    </w:p>
    <w:p>
      <w:pPr>
        <w:tabs>
          <w:tab w:pos="1962" w:val="left" w:leader="none"/>
          <w:tab w:pos="2442" w:val="left" w:leader="none"/>
          <w:tab w:pos="2927" w:val="left" w:leader="none"/>
        </w:tabs>
        <w:spacing w:line="154" w:lineRule="exact" w:before="0"/>
        <w:ind w:left="167" w:right="0" w:firstLine="0"/>
        <w:jc w:val="left"/>
        <w:rPr>
          <w:rFonts w:ascii="Theinhardt Regular" w:hAnsi="Theinhardt Regular" w:cs="Theinhardt Regular" w:eastAsia="Theinhardt Regular"/>
          <w:sz w:val="14"/>
          <w:szCs w:val="14"/>
        </w:rPr>
      </w:pPr>
      <w:r>
        <w:rPr>
          <w:rFonts w:ascii="Theinhardt Regular" w:hAnsi="Theinhardt Regular" w:cs="Theinhardt Regular" w:eastAsia="Theinhardt Regular"/>
          <w:spacing w:val="1"/>
          <w:sz w:val="14"/>
          <w:szCs w:val="14"/>
        </w:rPr>
        <w:t>Warmwasser:</w:t>
        <w:tab/>
      </w:r>
      <w:r>
        <w:rPr>
          <w:rFonts w:ascii="Theinhardt Regular" w:hAnsi="Theinhardt Regular" w:cs="Theinhardt Regular" w:eastAsia="Theinhardt Regular"/>
          <w:spacing w:val="-7"/>
          <w:w w:val="95"/>
          <w:sz w:val="14"/>
          <w:szCs w:val="14"/>
        </w:rPr>
        <w:t>7.7</w:t>
        <w:tab/>
      </w:r>
      <w:r>
        <w:rPr>
          <w:rFonts w:ascii="Theinhardt Regular" w:hAnsi="Theinhardt Regular" w:cs="Theinhardt Regular" w:eastAsia="Theinhardt Regular"/>
          <w:spacing w:val="-1"/>
          <w:w w:val="95"/>
          <w:sz w:val="14"/>
          <w:szCs w:val="14"/>
        </w:rPr>
        <w:t>25</w:t>
        <w:tab/>
      </w:r>
      <w:r>
        <w:rPr>
          <w:rFonts w:ascii="Theinhardt Regular" w:hAnsi="Theinhardt Regular" w:cs="Theinhardt Regular" w:eastAsia="Theinhardt Regular"/>
          <w:spacing w:val="-2"/>
          <w:sz w:val="14"/>
          <w:szCs w:val="14"/>
        </w:rPr>
        <w:t>6’013</w:t>
      </w:r>
    </w:p>
    <w:p>
      <w:pPr>
        <w:tabs>
          <w:tab w:pos="1945" w:val="left" w:leader="none"/>
          <w:tab w:pos="2448" w:val="left" w:leader="none"/>
          <w:tab w:pos="2919" w:val="left" w:leader="none"/>
        </w:tabs>
        <w:spacing w:line="160" w:lineRule="exact" w:before="0"/>
        <w:ind w:left="167" w:right="0" w:firstLine="0"/>
        <w:jc w:val="left"/>
        <w:rPr>
          <w:rFonts w:ascii="Theinhardt Regular" w:hAnsi="Theinhardt Regular" w:cs="Theinhardt Regular" w:eastAsia="Theinhardt Regular"/>
          <w:sz w:val="14"/>
          <w:szCs w:val="14"/>
        </w:rPr>
      </w:pPr>
      <w:r>
        <w:rPr>
          <w:rFonts w:ascii="Theinhardt Regular" w:hAnsi="Theinhardt Regular" w:cs="Theinhardt Regular" w:eastAsia="Theinhardt Regular"/>
          <w:spacing w:val="2"/>
          <w:sz w:val="14"/>
          <w:szCs w:val="14"/>
        </w:rPr>
        <w:t>Elektrizität</w:t>
      </w:r>
      <w:r>
        <w:rPr>
          <w:rFonts w:ascii="Theinhardt Regular" w:hAnsi="Theinhardt Regular" w:cs="Theinhardt Regular" w:eastAsia="Theinhardt Regular"/>
          <w:sz w:val="14"/>
          <w:szCs w:val="14"/>
        </w:rPr>
        <w:t> </w:t>
      </w:r>
      <w:r>
        <w:rPr>
          <w:rFonts w:ascii="Theinhardt Regular" w:hAnsi="Theinhardt Regular" w:cs="Theinhardt Regular" w:eastAsia="Theinhardt Regular"/>
          <w:spacing w:val="1"/>
          <w:sz w:val="14"/>
          <w:szCs w:val="14"/>
        </w:rPr>
        <w:t>WP:</w:t>
        <w:tab/>
      </w:r>
      <w:r>
        <w:rPr>
          <w:rFonts w:ascii="Theinhardt Regular" w:hAnsi="Theinhardt Regular" w:cs="Theinhardt Regular" w:eastAsia="Theinhardt Regular"/>
          <w:spacing w:val="-1"/>
          <w:sz w:val="14"/>
          <w:szCs w:val="14"/>
        </w:rPr>
        <w:t>5.4</w:t>
        <w:tab/>
      </w:r>
      <w:r>
        <w:rPr>
          <w:rFonts w:ascii="Theinhardt Regular" w:hAnsi="Theinhardt Regular" w:cs="Theinhardt Regular" w:eastAsia="Theinhardt Regular"/>
          <w:spacing w:val="-4"/>
          <w:sz w:val="14"/>
          <w:szCs w:val="14"/>
        </w:rPr>
        <w:t>18</w:t>
        <w:tab/>
      </w:r>
      <w:r>
        <w:rPr>
          <w:rFonts w:ascii="Theinhardt Regular" w:hAnsi="Theinhardt Regular" w:cs="Theinhardt Regular" w:eastAsia="Theinhardt Regular"/>
          <w:spacing w:val="-1"/>
          <w:sz w:val="14"/>
          <w:szCs w:val="14"/>
        </w:rPr>
        <w:t>4’202</w:t>
      </w:r>
    </w:p>
    <w:p>
      <w:pPr>
        <w:tabs>
          <w:tab w:pos="1877" w:val="left" w:leader="none"/>
          <w:tab w:pos="2440" w:val="left" w:leader="none"/>
          <w:tab w:pos="2837" w:val="left" w:leader="none"/>
        </w:tabs>
        <w:spacing w:line="160" w:lineRule="exact" w:before="0"/>
        <w:ind w:left="167" w:right="0" w:firstLine="0"/>
        <w:jc w:val="left"/>
        <w:rPr>
          <w:rFonts w:ascii="Theinhardt Regular" w:hAnsi="Theinhardt Regular" w:cs="Theinhardt Regular" w:eastAsia="Theinhardt Regular"/>
          <w:sz w:val="14"/>
          <w:szCs w:val="14"/>
        </w:rPr>
      </w:pPr>
      <w:r>
        <w:rPr>
          <w:rFonts w:ascii="Theinhardt Regular" w:hAnsi="Theinhardt Regular" w:cs="Theinhardt Regular" w:eastAsia="Theinhardt Regular"/>
          <w:spacing w:val="2"/>
          <w:sz w:val="14"/>
          <w:szCs w:val="14"/>
        </w:rPr>
        <w:t>Elektrizität:</w:t>
        <w:tab/>
      </w:r>
      <w:r>
        <w:rPr>
          <w:rFonts w:ascii="Theinhardt Regular" w:hAnsi="Theinhardt Regular" w:cs="Theinhardt Regular" w:eastAsia="Theinhardt Regular"/>
          <w:spacing w:val="-5"/>
          <w:sz w:val="14"/>
          <w:szCs w:val="14"/>
        </w:rPr>
        <w:t>13.7</w:t>
        <w:tab/>
      </w:r>
      <w:r>
        <w:rPr>
          <w:rFonts w:ascii="Theinhardt Regular" w:hAnsi="Theinhardt Regular" w:cs="Theinhardt Regular" w:eastAsia="Theinhardt Regular"/>
          <w:sz w:val="14"/>
          <w:szCs w:val="14"/>
        </w:rPr>
        <w:t>46</w:t>
        <w:tab/>
      </w:r>
      <w:r>
        <w:rPr>
          <w:rFonts w:ascii="Theinhardt Regular" w:hAnsi="Theinhardt Regular" w:cs="Theinhardt Regular" w:eastAsia="Theinhardt Regular"/>
          <w:spacing w:val="-1"/>
          <w:sz w:val="14"/>
          <w:szCs w:val="14"/>
        </w:rPr>
        <w:t>10’738</w:t>
      </w:r>
    </w:p>
    <w:p>
      <w:pPr>
        <w:tabs>
          <w:tab w:pos="1863" w:val="left" w:leader="none"/>
          <w:tab w:pos="2359" w:val="left" w:leader="none"/>
          <w:tab w:pos="2823" w:val="left" w:leader="none"/>
        </w:tabs>
        <w:spacing w:line="172" w:lineRule="exact" w:before="0"/>
        <w:ind w:left="167" w:right="0" w:firstLine="0"/>
        <w:jc w:val="left"/>
        <w:rPr>
          <w:rFonts w:ascii="Theinhardt Bold" w:hAnsi="Theinhardt Bold" w:cs="Theinhardt Bold" w:eastAsia="Theinhardt Bold"/>
          <w:sz w:val="14"/>
          <w:szCs w:val="14"/>
        </w:rPr>
      </w:pPr>
      <w:r>
        <w:rPr>
          <w:rFonts w:ascii="Theinhardt Bold" w:hAnsi="Theinhardt Bold" w:cs="Theinhardt Bold" w:eastAsia="Theinhardt Bold"/>
          <w:b/>
          <w:bCs/>
          <w:spacing w:val="2"/>
          <w:sz w:val="14"/>
          <w:szCs w:val="14"/>
        </w:rPr>
        <w:t>GesamtEB:</w:t>
        <w:tab/>
      </w:r>
      <w:r>
        <w:rPr>
          <w:rFonts w:ascii="Theinhardt Bold" w:hAnsi="Theinhardt Bold" w:cs="Theinhardt Bold" w:eastAsia="Theinhardt Bold"/>
          <w:b/>
          <w:bCs/>
          <w:spacing w:val="-2"/>
          <w:w w:val="95"/>
          <w:sz w:val="14"/>
          <w:szCs w:val="14"/>
        </w:rPr>
        <w:t>30.1</w:t>
        <w:tab/>
      </w:r>
      <w:r>
        <w:rPr>
          <w:rFonts w:ascii="Theinhardt Regular" w:hAnsi="Theinhardt Regular" w:cs="Theinhardt Regular" w:eastAsia="Theinhardt Regular"/>
          <w:spacing w:val="-1"/>
          <w:w w:val="95"/>
          <w:sz w:val="14"/>
          <w:szCs w:val="14"/>
        </w:rPr>
        <w:t>100</w:t>
        <w:tab/>
      </w:r>
      <w:r>
        <w:rPr>
          <w:rFonts w:ascii="Theinhardt Bold" w:hAnsi="Theinhardt Bold" w:cs="Theinhardt Bold" w:eastAsia="Theinhardt Bold"/>
          <w:b/>
          <w:bCs/>
          <w:spacing w:val="1"/>
          <w:sz w:val="14"/>
          <w:szCs w:val="14"/>
        </w:rPr>
        <w:t>23’530</w:t>
      </w:r>
      <w:r>
        <w:rPr>
          <w:rFonts w:ascii="Theinhardt Bold" w:hAnsi="Theinhardt Bold" w:cs="Theinhardt Bold" w:eastAsia="Theinhardt Bold"/>
          <w:sz w:val="14"/>
          <w:szCs w:val="14"/>
        </w:rPr>
      </w:r>
    </w:p>
    <w:p>
      <w:pPr>
        <w:spacing w:line="172" w:lineRule="exact" w:before="32"/>
        <w:ind w:left="166" w:right="0" w:firstLine="0"/>
        <w:jc w:val="left"/>
        <w:rPr>
          <w:rFonts w:ascii="Theinhardt Bold" w:hAnsi="Theinhardt Bold" w:cs="Theinhardt Bold" w:eastAsia="Theinhardt Bold"/>
          <w:sz w:val="14"/>
          <w:szCs w:val="14"/>
        </w:rPr>
      </w:pPr>
      <w:r>
        <w:rPr>
          <w:rFonts w:ascii="Theinhardt Bold"/>
          <w:b/>
          <w:spacing w:val="1"/>
          <w:sz w:val="14"/>
        </w:rPr>
        <w:t>Energieversorgung</w:t>
      </w:r>
      <w:r>
        <w:rPr>
          <w:rFonts w:ascii="Theinhardt Bold"/>
          <w:sz w:val="14"/>
        </w:rPr>
      </w:r>
    </w:p>
    <w:p>
      <w:pPr>
        <w:tabs>
          <w:tab w:pos="1065" w:val="left" w:leader="none"/>
          <w:tab w:pos="2478" w:val="left" w:leader="none"/>
          <w:tab w:pos="2884" w:val="left" w:leader="none"/>
        </w:tabs>
        <w:spacing w:line="172" w:lineRule="exact" w:before="0"/>
        <w:ind w:left="166" w:right="0" w:firstLine="0"/>
        <w:jc w:val="left"/>
        <w:rPr>
          <w:rFonts w:ascii="Theinhardt Regular" w:hAnsi="Theinhardt Regular" w:cs="Theinhardt Regular" w:eastAsia="Theinhardt Regular"/>
          <w:sz w:val="14"/>
          <w:szCs w:val="14"/>
        </w:rPr>
      </w:pPr>
      <w:r>
        <w:rPr>
          <w:rFonts w:ascii="Theinhardt Regular"/>
          <w:w w:val="95"/>
          <w:sz w:val="14"/>
        </w:rPr>
        <w:t>Eigen-EV:</w:t>
        <w:tab/>
      </w:r>
      <w:r>
        <w:rPr>
          <w:rFonts w:ascii="Theinhardt Regular"/>
          <w:sz w:val="14"/>
        </w:rPr>
        <w:t>m</w:t>
      </w:r>
      <w:r>
        <w:rPr>
          <w:rFonts w:ascii="Theinhardt Regular"/>
          <w:position w:val="5"/>
          <w:sz w:val="8"/>
        </w:rPr>
        <w:t>2    </w:t>
      </w:r>
      <w:r>
        <w:rPr>
          <w:rFonts w:ascii="Theinhardt Regular"/>
          <w:spacing w:val="3"/>
          <w:position w:val="5"/>
          <w:sz w:val="8"/>
        </w:rPr>
        <w:t> </w:t>
      </w:r>
      <w:r>
        <w:rPr>
          <w:rFonts w:ascii="Theinhardt Regular"/>
          <w:sz w:val="14"/>
        </w:rPr>
        <w:t>kWp</w:t>
      </w:r>
      <w:r>
        <w:rPr>
          <w:rFonts w:ascii="Theinhardt Regular"/>
          <w:spacing w:val="15"/>
          <w:sz w:val="14"/>
        </w:rPr>
        <w:t> </w:t>
      </w:r>
      <w:r>
        <w:rPr>
          <w:rFonts w:ascii="Theinhardt Regular"/>
          <w:sz w:val="14"/>
        </w:rPr>
        <w:t>kWh/m</w:t>
      </w:r>
      <w:r>
        <w:rPr>
          <w:rFonts w:ascii="Theinhardt Regular"/>
          <w:position w:val="5"/>
          <w:sz w:val="8"/>
        </w:rPr>
        <w:t>2</w:t>
      </w:r>
      <w:r>
        <w:rPr>
          <w:rFonts w:ascii="Theinhardt Regular"/>
          <w:sz w:val="14"/>
        </w:rPr>
        <w:t>a</w:t>
        <w:tab/>
        <w:t>%</w:t>
        <w:tab/>
        <w:t>kWh/a</w:t>
      </w:r>
    </w:p>
    <w:p>
      <w:pPr>
        <w:spacing w:after="0" w:line="172" w:lineRule="exact"/>
        <w:jc w:val="left"/>
        <w:rPr>
          <w:rFonts w:ascii="Theinhardt Regular" w:hAnsi="Theinhardt Regular" w:cs="Theinhardt Regular" w:eastAsia="Theinhardt Regular"/>
          <w:sz w:val="14"/>
          <w:szCs w:val="14"/>
        </w:rPr>
        <w:sectPr>
          <w:type w:val="continuous"/>
          <w:pgSz w:w="11910" w:h="16840"/>
          <w:pgMar w:top="860" w:bottom="280" w:left="400" w:right="740"/>
          <w:cols w:num="3" w:equalWidth="0">
            <w:col w:w="3513" w:space="59"/>
            <w:col w:w="3519" w:space="53"/>
            <w:col w:w="3626"/>
          </w:cols>
        </w:sectPr>
      </w:pPr>
    </w:p>
    <w:tbl>
      <w:tblPr>
        <w:tblW w:w="0" w:type="auto"/>
        <w:jc w:val="left"/>
        <w:tblInd w:w="111" w:type="dxa"/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863"/>
        <w:gridCol w:w="4222"/>
        <w:gridCol w:w="1231"/>
        <w:gridCol w:w="452"/>
        <w:gridCol w:w="597"/>
        <w:gridCol w:w="383"/>
        <w:gridCol w:w="625"/>
      </w:tblGrid>
      <w:tr>
        <w:trPr>
          <w:trHeight w:val="142" w:hRule="exact"/>
        </w:trPr>
        <w:tc>
          <w:tcPr>
            <w:tcW w:w="7085" w:type="dxa"/>
            <w:gridSpan w:val="2"/>
            <w:tcBorders>
              <w:top w:val="nil" w:sz="6" w:space="0" w:color="auto"/>
              <w:left w:val="nil" w:sz="6" w:space="0" w:color="auto"/>
              <w:bottom w:val="nil" w:sz="6" w:space="0" w:color="auto"/>
              <w:right w:val="nil" w:sz="6" w:space="0" w:color="auto"/>
            </w:tcBorders>
          </w:tcPr>
          <w:p>
            <w:pPr>
              <w:pStyle w:val="TableParagraph"/>
              <w:tabs>
                <w:tab w:pos="3626" w:val="left" w:leader="none"/>
              </w:tabs>
              <w:spacing w:line="121" w:lineRule="exact"/>
              <w:ind w:left="55" w:right="0"/>
              <w:jc w:val="left"/>
              <w:rPr>
                <w:rFonts w:ascii="Theinhardt Regular Italic" w:hAnsi="Theinhardt Regular Italic" w:cs="Theinhardt Regular Italic" w:eastAsia="Theinhardt Regular Italic"/>
                <w:sz w:val="18"/>
                <w:szCs w:val="18"/>
              </w:rPr>
            </w:pPr>
            <w:r>
              <w:rPr>
                <w:rFonts w:ascii="Theinhardt Regular" w:hAnsi="Theinhardt Regular"/>
                <w:spacing w:val="-1"/>
                <w:sz w:val="18"/>
              </w:rPr>
              <w:t>ge</w:t>
            </w:r>
            <w:r>
              <w:rPr>
                <w:rFonts w:ascii="Theinhardt Regular" w:hAnsi="Theinhardt Regular"/>
                <w:spacing w:val="-4"/>
                <w:sz w:val="18"/>
              </w:rPr>
              <w:t> </w:t>
            </w:r>
            <w:r>
              <w:rPr>
                <w:rFonts w:ascii="Theinhardt Regular" w:hAnsi="Theinhardt Regular"/>
                <w:spacing w:val="-1"/>
                <w:sz w:val="18"/>
              </w:rPr>
              <w:t>und</w:t>
            </w:r>
            <w:r>
              <w:rPr>
                <w:rFonts w:ascii="Theinhardt Regular" w:hAnsi="Theinhardt Regular"/>
                <w:spacing w:val="-4"/>
                <w:sz w:val="18"/>
              </w:rPr>
              <w:t> </w:t>
            </w:r>
            <w:r>
              <w:rPr>
                <w:rFonts w:ascii="Theinhardt Regular" w:hAnsi="Theinhardt Regular"/>
                <w:spacing w:val="-1"/>
                <w:sz w:val="18"/>
              </w:rPr>
              <w:t>Einstellplätze</w:t>
            </w:r>
            <w:r>
              <w:rPr>
                <w:rFonts w:ascii="Theinhardt Regular" w:hAnsi="Theinhardt Regular"/>
                <w:spacing w:val="-4"/>
                <w:sz w:val="18"/>
              </w:rPr>
              <w:t> </w:t>
            </w:r>
            <w:r>
              <w:rPr>
                <w:rFonts w:ascii="Theinhardt Regular" w:hAnsi="Theinhardt Regular"/>
                <w:spacing w:val="-2"/>
                <w:sz w:val="18"/>
              </w:rPr>
              <w:t>wurde</w:t>
            </w:r>
            <w:r>
              <w:rPr>
                <w:rFonts w:ascii="Theinhardt Regular" w:hAnsi="Theinhardt Regular"/>
                <w:spacing w:val="-4"/>
                <w:sz w:val="18"/>
              </w:rPr>
              <w:t> </w:t>
            </w:r>
            <w:r>
              <w:rPr>
                <w:rFonts w:ascii="Theinhardt Regular" w:hAnsi="Theinhardt Regular"/>
                <w:spacing w:val="-1"/>
                <w:sz w:val="18"/>
              </w:rPr>
              <w:t>aus</w:t>
            </w:r>
            <w:r>
              <w:rPr>
                <w:rFonts w:ascii="Theinhardt Regular" w:hAnsi="Theinhardt Regular"/>
                <w:spacing w:val="-4"/>
                <w:sz w:val="18"/>
              </w:rPr>
              <w:t> </w:t>
            </w:r>
            <w:r>
              <w:rPr>
                <w:rFonts w:ascii="Theinhardt Regular" w:hAnsi="Theinhardt Regular"/>
                <w:spacing w:val="-1"/>
                <w:sz w:val="18"/>
              </w:rPr>
              <w:t>Nachhaltig-</w:t>
              <w:tab/>
            </w:r>
            <w:r>
              <w:rPr>
                <w:rFonts w:ascii="Theinhardt Regular Italic" w:hAnsi="Theinhardt Regular Italic"/>
                <w:i/>
                <w:spacing w:val="-2"/>
                <w:sz w:val="18"/>
              </w:rPr>
              <w:t>places de parc </w:t>
            </w:r>
            <w:r>
              <w:rPr>
                <w:rFonts w:ascii="Theinhardt Regular Italic" w:hAnsi="Theinhardt Regular Italic"/>
                <w:i/>
                <w:spacing w:val="-1"/>
                <w:sz w:val="18"/>
              </w:rPr>
              <w:t>pour</w:t>
            </w:r>
            <w:r>
              <w:rPr>
                <w:rFonts w:ascii="Theinhardt Regular Italic" w:hAnsi="Theinhardt Regular Italic"/>
                <w:i/>
                <w:spacing w:val="-2"/>
                <w:sz w:val="18"/>
              </w:rPr>
              <w:t> </w:t>
            </w:r>
            <w:r>
              <w:rPr>
                <w:rFonts w:ascii="Theinhardt Regular Italic" w:hAnsi="Theinhardt Regular Italic"/>
                <w:i/>
                <w:spacing w:val="-1"/>
                <w:sz w:val="18"/>
              </w:rPr>
              <w:t>cause</w:t>
            </w:r>
            <w:r>
              <w:rPr>
                <w:rFonts w:ascii="Theinhardt Regular Italic" w:hAnsi="Theinhardt Regular Italic"/>
                <w:i/>
                <w:spacing w:val="-2"/>
                <w:sz w:val="18"/>
              </w:rPr>
              <w:t> de </w:t>
            </w:r>
            <w:r>
              <w:rPr>
                <w:rFonts w:ascii="Theinhardt Regular Italic" w:hAnsi="Theinhardt Regular Italic"/>
                <w:i/>
                <w:spacing w:val="-1"/>
                <w:sz w:val="18"/>
              </w:rPr>
              <w:t>durabilité.</w:t>
            </w:r>
            <w:r>
              <w:rPr>
                <w:rFonts w:ascii="Theinhardt Regular Italic" w:hAnsi="Theinhardt Regular Italic"/>
                <w:sz w:val="18"/>
              </w:rPr>
            </w:r>
          </w:p>
        </w:tc>
        <w:tc>
          <w:tcPr>
            <w:tcW w:w="1231" w:type="dxa"/>
            <w:tcBorders>
              <w:top w:val="nil" w:sz="6" w:space="0" w:color="auto"/>
              <w:left w:val="nil" w:sz="6" w:space="0" w:color="auto"/>
              <w:bottom w:val="nil" w:sz="6" w:space="0" w:color="auto"/>
              <w:right w:val="nil" w:sz="6" w:space="0" w:color="auto"/>
            </w:tcBorders>
          </w:tcPr>
          <w:p>
            <w:pPr>
              <w:pStyle w:val="TableParagraph"/>
              <w:tabs>
                <w:tab w:pos="1173" w:val="right" w:leader="none"/>
              </w:tabs>
              <w:spacing w:line="142" w:lineRule="exact"/>
              <w:ind w:left="113" w:right="0"/>
              <w:jc w:val="left"/>
              <w:rPr>
                <w:rFonts w:ascii="Theinhardt Regular" w:hAnsi="Theinhardt Regular" w:cs="Theinhardt Regular" w:eastAsia="Theinhardt Regular"/>
                <w:sz w:val="14"/>
                <w:szCs w:val="14"/>
              </w:rPr>
            </w:pPr>
            <w:r>
              <w:rPr>
                <w:rFonts w:ascii="Theinhardt Regular"/>
                <w:spacing w:val="2"/>
                <w:sz w:val="14"/>
              </w:rPr>
              <w:t>PV</w:t>
            </w:r>
            <w:r>
              <w:rPr>
                <w:rFonts w:ascii="Theinhardt Regular"/>
                <w:sz w:val="14"/>
              </w:rPr>
              <w:t> O-W:</w:t>
              <w:tab/>
            </w:r>
            <w:r>
              <w:rPr>
                <w:rFonts w:ascii="Theinhardt Regular"/>
                <w:spacing w:val="-2"/>
                <w:sz w:val="14"/>
              </w:rPr>
              <w:t>108</w:t>
            </w:r>
          </w:p>
        </w:tc>
        <w:tc>
          <w:tcPr>
            <w:tcW w:w="452" w:type="dxa"/>
            <w:tcBorders>
              <w:top w:val="nil" w:sz="6" w:space="0" w:color="auto"/>
              <w:left w:val="nil" w:sz="6" w:space="0" w:color="auto"/>
              <w:bottom w:val="nil" w:sz="6" w:space="0" w:color="auto"/>
              <w:right w:val="nil" w:sz="6" w:space="0" w:color="auto"/>
            </w:tcBorders>
          </w:tcPr>
          <w:p>
            <w:pPr>
              <w:pStyle w:val="TableParagraph"/>
              <w:spacing w:line="142" w:lineRule="exact"/>
              <w:ind w:left="57" w:right="0"/>
              <w:jc w:val="left"/>
              <w:rPr>
                <w:rFonts w:ascii="Theinhardt Regular" w:hAnsi="Theinhardt Regular" w:cs="Theinhardt Regular" w:eastAsia="Theinhardt Regular"/>
                <w:sz w:val="14"/>
                <w:szCs w:val="14"/>
              </w:rPr>
            </w:pPr>
            <w:r>
              <w:rPr>
                <w:rFonts w:ascii="Theinhardt Regular"/>
                <w:spacing w:val="-6"/>
                <w:sz w:val="14"/>
              </w:rPr>
              <w:t>17.6</w:t>
            </w:r>
          </w:p>
        </w:tc>
        <w:tc>
          <w:tcPr>
            <w:tcW w:w="597" w:type="dxa"/>
            <w:tcBorders>
              <w:top w:val="nil" w:sz="6" w:space="0" w:color="auto"/>
              <w:left w:val="nil" w:sz="6" w:space="0" w:color="auto"/>
              <w:bottom w:val="nil" w:sz="6" w:space="0" w:color="auto"/>
              <w:right w:val="nil" w:sz="6" w:space="0" w:color="auto"/>
            </w:tcBorders>
          </w:tcPr>
          <w:p>
            <w:pPr>
              <w:pStyle w:val="TableParagraph"/>
              <w:spacing w:line="142" w:lineRule="exact"/>
              <w:ind w:left="129" w:right="0"/>
              <w:jc w:val="left"/>
              <w:rPr>
                <w:rFonts w:ascii="Theinhardt Regular" w:hAnsi="Theinhardt Regular" w:cs="Theinhardt Regular" w:eastAsia="Theinhardt Regular"/>
                <w:sz w:val="14"/>
                <w:szCs w:val="14"/>
              </w:rPr>
            </w:pPr>
            <w:r>
              <w:rPr>
                <w:rFonts w:ascii="Theinhardt Regular"/>
                <w:spacing w:val="-2"/>
                <w:sz w:val="14"/>
              </w:rPr>
              <w:t>126.9</w:t>
            </w:r>
          </w:p>
        </w:tc>
        <w:tc>
          <w:tcPr>
            <w:tcW w:w="383" w:type="dxa"/>
            <w:tcBorders>
              <w:top w:val="nil" w:sz="6" w:space="0" w:color="auto"/>
              <w:left w:val="nil" w:sz="6" w:space="0" w:color="auto"/>
              <w:bottom w:val="nil" w:sz="6" w:space="0" w:color="auto"/>
              <w:right w:val="nil" w:sz="6" w:space="0" w:color="auto"/>
            </w:tcBorders>
          </w:tcPr>
          <w:p>
            <w:pPr>
              <w:pStyle w:val="TableParagraph"/>
              <w:spacing w:line="142" w:lineRule="exact"/>
              <w:ind w:left="106" w:right="0"/>
              <w:jc w:val="left"/>
              <w:rPr>
                <w:rFonts w:ascii="Theinhardt Regular" w:hAnsi="Theinhardt Regular" w:cs="Theinhardt Regular" w:eastAsia="Theinhardt Regular"/>
                <w:sz w:val="14"/>
                <w:szCs w:val="14"/>
              </w:rPr>
            </w:pPr>
            <w:r>
              <w:rPr>
                <w:rFonts w:ascii="Theinhardt Regular"/>
                <w:sz w:val="14"/>
              </w:rPr>
              <w:t>58</w:t>
            </w:r>
          </w:p>
        </w:tc>
        <w:tc>
          <w:tcPr>
            <w:tcW w:w="625" w:type="dxa"/>
            <w:tcBorders>
              <w:top w:val="nil" w:sz="6" w:space="0" w:color="auto"/>
              <w:left w:val="nil" w:sz="6" w:space="0" w:color="auto"/>
              <w:bottom w:val="nil" w:sz="6" w:space="0" w:color="auto"/>
              <w:right w:val="nil" w:sz="6" w:space="0" w:color="auto"/>
            </w:tcBorders>
          </w:tcPr>
          <w:p>
            <w:pPr>
              <w:pStyle w:val="TableParagraph"/>
              <w:spacing w:line="142" w:lineRule="exact"/>
              <w:ind w:left="109" w:right="0"/>
              <w:jc w:val="left"/>
              <w:rPr>
                <w:rFonts w:ascii="Theinhardt Bold" w:hAnsi="Theinhardt Bold" w:cs="Theinhardt Bold" w:eastAsia="Theinhardt Bold"/>
                <w:sz w:val="14"/>
                <w:szCs w:val="14"/>
              </w:rPr>
            </w:pPr>
            <w:r>
              <w:rPr>
                <w:rFonts w:ascii="Theinhardt Bold" w:hAnsi="Theinhardt Bold" w:cs="Theinhardt Bold" w:eastAsia="Theinhardt Bold"/>
                <w:b/>
                <w:bCs/>
                <w:sz w:val="14"/>
                <w:szCs w:val="14"/>
              </w:rPr>
              <w:t>13’706</w:t>
            </w:r>
            <w:r>
              <w:rPr>
                <w:rFonts w:ascii="Theinhardt Bold" w:hAnsi="Theinhardt Bold" w:cs="Theinhardt Bold" w:eastAsia="Theinhardt Bold"/>
                <w:sz w:val="14"/>
                <w:szCs w:val="14"/>
              </w:rPr>
            </w:r>
          </w:p>
        </w:tc>
      </w:tr>
      <w:tr>
        <w:trPr>
          <w:trHeight w:val="198" w:hRule="exact"/>
        </w:trPr>
        <w:tc>
          <w:tcPr>
            <w:tcW w:w="2863" w:type="dxa"/>
            <w:tcBorders>
              <w:top w:val="nil" w:sz="6" w:space="0" w:color="auto"/>
              <w:left w:val="nil" w:sz="6" w:space="0" w:color="auto"/>
              <w:bottom w:val="nil" w:sz="6" w:space="0" w:color="auto"/>
              <w:right w:val="nil" w:sz="6" w:space="0" w:color="auto"/>
            </w:tcBorders>
          </w:tcPr>
          <w:p>
            <w:pPr>
              <w:pStyle w:val="TableParagraph"/>
              <w:spacing w:line="198" w:lineRule="exact"/>
              <w:ind w:left="55" w:right="0"/>
              <w:jc w:val="left"/>
              <w:rPr>
                <w:rFonts w:ascii="Theinhardt Regular" w:hAnsi="Theinhardt Regular" w:cs="Theinhardt Regular" w:eastAsia="Theinhardt Regular"/>
                <w:sz w:val="18"/>
                <w:szCs w:val="18"/>
              </w:rPr>
            </w:pPr>
            <w:r>
              <w:rPr>
                <w:rFonts w:ascii="Theinhardt Regular" w:hAnsi="Theinhardt Regular"/>
                <w:spacing w:val="-2"/>
                <w:sz w:val="18"/>
              </w:rPr>
              <w:t>keitsgründen </w:t>
            </w:r>
            <w:r>
              <w:rPr>
                <w:rFonts w:ascii="Theinhardt Regular" w:hAnsi="Theinhardt Regular"/>
                <w:spacing w:val="-1"/>
                <w:sz w:val="18"/>
              </w:rPr>
              <w:t>verzichtet.</w:t>
            </w:r>
          </w:p>
        </w:tc>
        <w:tc>
          <w:tcPr>
            <w:tcW w:w="4222" w:type="dxa"/>
            <w:tcBorders>
              <w:top w:val="nil" w:sz="6" w:space="0" w:color="auto"/>
              <w:left w:val="nil" w:sz="6" w:space="0" w:color="auto"/>
              <w:bottom w:val="nil" w:sz="6" w:space="0" w:color="auto"/>
              <w:right w:val="nil" w:sz="6" w:space="0" w:color="auto"/>
            </w:tcBorders>
          </w:tcPr>
          <w:p>
            <w:pPr>
              <w:pStyle w:val="TableParagraph"/>
              <w:spacing w:line="198" w:lineRule="exact"/>
              <w:ind w:left="990" w:right="0"/>
              <w:jc w:val="left"/>
              <w:rPr>
                <w:rFonts w:ascii="Theinhardt Regular Italic" w:hAnsi="Theinhardt Regular Italic" w:cs="Theinhardt Regular Italic" w:eastAsia="Theinhardt Regular Italic"/>
                <w:sz w:val="18"/>
                <w:szCs w:val="18"/>
              </w:rPr>
            </w:pPr>
            <w:r>
              <w:rPr>
                <w:rFonts w:ascii="Theinhardt Regular Italic" w:hAnsi="Theinhardt Regular Italic" w:cs="Theinhardt Regular Italic" w:eastAsia="Theinhardt Regular Italic"/>
                <w:i/>
                <w:spacing w:val="-4"/>
                <w:sz w:val="18"/>
                <w:szCs w:val="18"/>
              </w:rPr>
              <w:t>L’emplacement</w:t>
            </w:r>
            <w:r>
              <w:rPr>
                <w:rFonts w:ascii="Theinhardt Regular Italic" w:hAnsi="Theinhardt Regular Italic" w:cs="Theinhardt Regular Italic" w:eastAsia="Theinhardt Regular Italic"/>
                <w:i/>
                <w:spacing w:val="31"/>
                <w:sz w:val="18"/>
                <w:szCs w:val="18"/>
              </w:rPr>
              <w:t> </w:t>
            </w:r>
            <w:r>
              <w:rPr>
                <w:rFonts w:ascii="Theinhardt Regular Italic" w:hAnsi="Theinhardt Regular Italic" w:cs="Theinhardt Regular Italic" w:eastAsia="Theinhardt Regular Italic"/>
                <w:i/>
                <w:spacing w:val="-2"/>
                <w:sz w:val="18"/>
                <w:szCs w:val="18"/>
              </w:rPr>
              <w:t>de</w:t>
            </w:r>
            <w:r>
              <w:rPr>
                <w:rFonts w:ascii="Theinhardt Regular Italic" w:hAnsi="Theinhardt Regular Italic" w:cs="Theinhardt Regular Italic" w:eastAsia="Theinhardt Regular Italic"/>
                <w:i/>
                <w:spacing w:val="32"/>
                <w:sz w:val="18"/>
                <w:szCs w:val="18"/>
              </w:rPr>
              <w:t> </w:t>
            </w:r>
            <w:r>
              <w:rPr>
                <w:rFonts w:ascii="Theinhardt Regular Italic" w:hAnsi="Theinhardt Regular Italic" w:cs="Theinhardt Regular Italic" w:eastAsia="Theinhardt Regular Italic"/>
                <w:i/>
                <w:spacing w:val="-1"/>
                <w:sz w:val="18"/>
                <w:szCs w:val="18"/>
              </w:rPr>
              <w:t>l’installation</w:t>
            </w:r>
            <w:r>
              <w:rPr>
                <w:rFonts w:ascii="Theinhardt Regular Italic" w:hAnsi="Theinhardt Regular Italic" w:cs="Theinhardt Regular Italic" w:eastAsia="Theinhardt Regular Italic"/>
                <w:i/>
                <w:spacing w:val="31"/>
                <w:sz w:val="18"/>
                <w:szCs w:val="18"/>
              </w:rPr>
              <w:t> </w:t>
            </w:r>
            <w:r>
              <w:rPr>
                <w:rFonts w:ascii="Theinhardt Regular Italic" w:hAnsi="Theinhardt Regular Italic" w:cs="Theinhardt Regular Italic" w:eastAsia="Theinhardt Regular Italic"/>
                <w:i/>
                <w:sz w:val="18"/>
                <w:szCs w:val="18"/>
              </w:rPr>
              <w:t>PV</w:t>
            </w:r>
            <w:r>
              <w:rPr>
                <w:rFonts w:ascii="Theinhardt Regular Italic" w:hAnsi="Theinhardt Regular Italic" w:cs="Theinhardt Regular Italic" w:eastAsia="Theinhardt Regular Italic"/>
                <w:i/>
                <w:spacing w:val="32"/>
                <w:sz w:val="18"/>
                <w:szCs w:val="18"/>
              </w:rPr>
              <w:t> </w:t>
            </w:r>
            <w:r>
              <w:rPr>
                <w:rFonts w:ascii="Theinhardt Regular Italic" w:hAnsi="Theinhardt Regular Italic" w:cs="Theinhardt Regular Italic" w:eastAsia="Theinhardt Regular Italic"/>
                <w:i/>
                <w:spacing w:val="-2"/>
                <w:sz w:val="18"/>
                <w:szCs w:val="18"/>
              </w:rPr>
              <w:t>com-</w:t>
            </w:r>
            <w:r>
              <w:rPr>
                <w:rFonts w:ascii="Theinhardt Regular Italic" w:hAnsi="Theinhardt Regular Italic" w:cs="Theinhardt Regular Italic" w:eastAsia="Theinhardt Regular Italic"/>
                <w:sz w:val="18"/>
                <w:szCs w:val="18"/>
              </w:rPr>
            </w:r>
          </w:p>
        </w:tc>
        <w:tc>
          <w:tcPr>
            <w:tcW w:w="1231" w:type="dxa"/>
            <w:tcBorders>
              <w:top w:val="nil" w:sz="6" w:space="0" w:color="auto"/>
              <w:left w:val="nil" w:sz="6" w:space="0" w:color="auto"/>
              <w:bottom w:val="nil" w:sz="6" w:space="0" w:color="auto"/>
              <w:right w:val="nil" w:sz="6" w:space="0" w:color="auto"/>
            </w:tcBorders>
          </w:tcPr>
          <w:p>
            <w:pPr>
              <w:pStyle w:val="TableParagraph"/>
              <w:spacing w:line="164" w:lineRule="exact"/>
              <w:ind w:left="113" w:right="0"/>
              <w:jc w:val="left"/>
              <w:rPr>
                <w:rFonts w:ascii="Theinhardt Regular" w:hAnsi="Theinhardt Regular" w:cs="Theinhardt Regular" w:eastAsia="Theinhardt Regular"/>
                <w:sz w:val="14"/>
                <w:szCs w:val="14"/>
              </w:rPr>
            </w:pPr>
            <w:r>
              <w:rPr>
                <w:rFonts w:ascii="Theinhardt Regular" w:hAnsi="Theinhardt Regular"/>
                <w:spacing w:val="1"/>
                <w:sz w:val="14"/>
              </w:rPr>
              <w:t>Dachfläche:</w:t>
            </w:r>
            <w:r>
              <w:rPr>
                <w:rFonts w:ascii="Theinhardt Regular" w:hAnsi="Theinhardt Regular"/>
                <w:sz w:val="14"/>
              </w:rPr>
              <w:t> </w:t>
            </w:r>
            <w:r>
              <w:rPr>
                <w:rFonts w:ascii="Theinhardt Regular" w:hAnsi="Theinhardt Regular"/>
                <w:spacing w:val="11"/>
                <w:sz w:val="14"/>
              </w:rPr>
              <w:t> </w:t>
            </w:r>
            <w:r>
              <w:rPr>
                <w:rFonts w:ascii="Theinhardt Regular" w:hAnsi="Theinhardt Regular"/>
                <w:spacing w:val="-1"/>
                <w:sz w:val="14"/>
              </w:rPr>
              <w:t>237</w:t>
            </w:r>
          </w:p>
        </w:tc>
        <w:tc>
          <w:tcPr>
            <w:tcW w:w="452" w:type="dxa"/>
            <w:tcBorders>
              <w:top w:val="nil" w:sz="6" w:space="0" w:color="auto"/>
              <w:left w:val="nil" w:sz="6" w:space="0" w:color="auto"/>
              <w:bottom w:val="nil" w:sz="6" w:space="0" w:color="auto"/>
              <w:right w:val="nil" w:sz="6" w:space="0" w:color="auto"/>
            </w:tcBorders>
          </w:tcPr>
          <w:p>
            <w:pPr>
              <w:pStyle w:val="TableParagraph"/>
              <w:spacing w:line="164" w:lineRule="exact"/>
              <w:ind w:left="57" w:right="0"/>
              <w:jc w:val="left"/>
              <w:rPr>
                <w:rFonts w:ascii="Theinhardt Regular" w:hAnsi="Theinhardt Regular" w:cs="Theinhardt Regular" w:eastAsia="Theinhardt Regular"/>
                <w:sz w:val="14"/>
                <w:szCs w:val="14"/>
              </w:rPr>
            </w:pPr>
            <w:r>
              <w:rPr>
                <w:rFonts w:ascii="Theinhardt Regular"/>
                <w:spacing w:val="-6"/>
                <w:sz w:val="14"/>
              </w:rPr>
              <w:t>17.6</w:t>
            </w:r>
          </w:p>
        </w:tc>
        <w:tc>
          <w:tcPr>
            <w:tcW w:w="597" w:type="dxa"/>
            <w:tcBorders>
              <w:top w:val="nil" w:sz="6" w:space="0" w:color="auto"/>
              <w:left w:val="nil" w:sz="6" w:space="0" w:color="auto"/>
              <w:bottom w:val="nil" w:sz="6" w:space="0" w:color="auto"/>
              <w:right w:val="nil" w:sz="6" w:space="0" w:color="auto"/>
            </w:tcBorders>
          </w:tcPr>
          <w:p>
            <w:pPr>
              <w:pStyle w:val="TableParagraph"/>
              <w:spacing w:line="164" w:lineRule="exact"/>
              <w:ind w:left="215" w:right="0"/>
              <w:jc w:val="left"/>
              <w:rPr>
                <w:rFonts w:ascii="Theinhardt Regular" w:hAnsi="Theinhardt Regular" w:cs="Theinhardt Regular" w:eastAsia="Theinhardt Regular"/>
                <w:sz w:val="14"/>
                <w:szCs w:val="14"/>
              </w:rPr>
            </w:pPr>
            <w:r>
              <w:rPr>
                <w:rFonts w:ascii="Theinhardt Regular"/>
                <w:spacing w:val="-3"/>
                <w:sz w:val="14"/>
              </w:rPr>
              <w:t>57.8</w:t>
            </w:r>
          </w:p>
        </w:tc>
        <w:tc>
          <w:tcPr>
            <w:tcW w:w="383" w:type="dxa"/>
            <w:tcBorders>
              <w:top w:val="nil" w:sz="6" w:space="0" w:color="auto"/>
              <w:left w:val="nil" w:sz="6" w:space="0" w:color="auto"/>
              <w:bottom w:val="nil" w:sz="6" w:space="0" w:color="auto"/>
              <w:right w:val="nil" w:sz="6" w:space="0" w:color="auto"/>
            </w:tcBorders>
          </w:tcPr>
          <w:p>
            <w:pPr>
              <w:pStyle w:val="TableParagraph"/>
              <w:spacing w:line="164" w:lineRule="exact"/>
              <w:ind w:left="106" w:right="0"/>
              <w:jc w:val="left"/>
              <w:rPr>
                <w:rFonts w:ascii="Theinhardt Regular" w:hAnsi="Theinhardt Regular" w:cs="Theinhardt Regular" w:eastAsia="Theinhardt Regular"/>
                <w:sz w:val="14"/>
                <w:szCs w:val="14"/>
              </w:rPr>
            </w:pPr>
            <w:r>
              <w:rPr>
                <w:rFonts w:ascii="Theinhardt Regular"/>
                <w:sz w:val="14"/>
              </w:rPr>
              <w:t>58</w:t>
            </w:r>
          </w:p>
        </w:tc>
        <w:tc>
          <w:tcPr>
            <w:tcW w:w="625" w:type="dxa"/>
            <w:tcBorders>
              <w:top w:val="nil" w:sz="6" w:space="0" w:color="auto"/>
              <w:left w:val="nil" w:sz="6" w:space="0" w:color="auto"/>
              <w:bottom w:val="nil" w:sz="6" w:space="0" w:color="auto"/>
              <w:right w:val="nil" w:sz="6" w:space="0" w:color="auto"/>
            </w:tcBorders>
          </w:tcPr>
          <w:p>
            <w:pPr>
              <w:pStyle w:val="TableParagraph"/>
              <w:spacing w:line="164" w:lineRule="exact"/>
              <w:ind w:left="123" w:right="0"/>
              <w:jc w:val="left"/>
              <w:rPr>
                <w:rFonts w:ascii="Theinhardt Regular" w:hAnsi="Theinhardt Regular" w:cs="Theinhardt Regular" w:eastAsia="Theinhardt Regular"/>
                <w:sz w:val="14"/>
                <w:szCs w:val="14"/>
              </w:rPr>
            </w:pPr>
            <w:r>
              <w:rPr>
                <w:rFonts w:ascii="Theinhardt Regular" w:hAnsi="Theinhardt Regular" w:cs="Theinhardt Regular" w:eastAsia="Theinhardt Regular"/>
                <w:spacing w:val="-1"/>
                <w:sz w:val="14"/>
                <w:szCs w:val="14"/>
              </w:rPr>
              <w:t>13’706</w:t>
            </w:r>
          </w:p>
        </w:tc>
      </w:tr>
    </w:tbl>
    <w:p>
      <w:pPr>
        <w:spacing w:after="0" w:line="164" w:lineRule="exact"/>
        <w:jc w:val="left"/>
        <w:rPr>
          <w:rFonts w:ascii="Theinhardt Regular" w:hAnsi="Theinhardt Regular" w:cs="Theinhardt Regular" w:eastAsia="Theinhardt Regular"/>
          <w:sz w:val="14"/>
          <w:szCs w:val="14"/>
        </w:rPr>
        <w:sectPr>
          <w:type w:val="continuous"/>
          <w:pgSz w:w="11910" w:h="16840"/>
          <w:pgMar w:top="860" w:bottom="280" w:left="400" w:right="740"/>
        </w:sectPr>
      </w:pPr>
    </w:p>
    <w:p>
      <w:pPr>
        <w:pStyle w:val="Heading1"/>
        <w:spacing w:line="230" w:lineRule="exact" w:before="5"/>
        <w:ind w:right="0"/>
        <w:jc w:val="both"/>
      </w:pPr>
      <w:r>
        <w:rPr>
          <w:spacing w:val="-2"/>
        </w:rPr>
        <w:t>Die</w:t>
      </w:r>
      <w:r>
        <w:rPr>
          <w:spacing w:val="3"/>
        </w:rPr>
        <w:t> </w:t>
      </w:r>
      <w:r>
        <w:rPr>
          <w:spacing w:val="-1"/>
        </w:rPr>
        <w:t>Lage</w:t>
      </w:r>
      <w:r>
        <w:rPr>
          <w:spacing w:val="3"/>
        </w:rPr>
        <w:t> </w:t>
      </w:r>
      <w:r>
        <w:rPr>
          <w:spacing w:val="-1"/>
        </w:rPr>
        <w:t>der</w:t>
      </w:r>
      <w:r>
        <w:rPr>
          <w:spacing w:val="3"/>
        </w:rPr>
        <w:t> </w:t>
      </w:r>
      <w:r>
        <w:rPr>
          <w:spacing w:val="-1"/>
        </w:rPr>
        <w:t>aus</w:t>
      </w:r>
      <w:r>
        <w:rPr>
          <w:spacing w:val="3"/>
        </w:rPr>
        <w:t> </w:t>
      </w:r>
      <w:r>
        <w:rPr>
          <w:spacing w:val="-1"/>
        </w:rPr>
        <w:t>monokristallinen</w:t>
      </w:r>
      <w:r>
        <w:rPr>
          <w:spacing w:val="3"/>
        </w:rPr>
        <w:t> </w:t>
      </w:r>
      <w:r>
        <w:rPr>
          <w:spacing w:val="-1"/>
        </w:rPr>
        <w:t>Solar-</w:t>
      </w:r>
      <w:r>
        <w:rPr>
          <w:spacing w:val="21"/>
        </w:rPr>
        <w:t> </w:t>
      </w:r>
      <w:r>
        <w:rPr>
          <w:spacing w:val="-1"/>
        </w:rPr>
        <w:t>zellen</w:t>
      </w:r>
      <w:r>
        <w:rPr>
          <w:spacing w:val="-6"/>
        </w:rPr>
        <w:t> </w:t>
      </w:r>
      <w:r>
        <w:rPr>
          <w:spacing w:val="-1"/>
        </w:rPr>
        <w:t>bestehenden</w:t>
      </w:r>
      <w:r>
        <w:rPr>
          <w:spacing w:val="-6"/>
        </w:rPr>
        <w:t> </w:t>
      </w:r>
      <w:r>
        <w:rPr>
          <w:spacing w:val="-3"/>
        </w:rPr>
        <w:t>PV-Anlage</w:t>
      </w:r>
      <w:r>
        <w:rPr>
          <w:spacing w:val="-6"/>
        </w:rPr>
        <w:t> </w:t>
      </w:r>
      <w:r>
        <w:rPr>
          <w:spacing w:val="-1"/>
        </w:rPr>
        <w:t>auf</w:t>
      </w:r>
      <w:r>
        <w:rPr>
          <w:spacing w:val="-6"/>
        </w:rPr>
        <w:t> </w:t>
      </w:r>
      <w:r>
        <w:rPr>
          <w:spacing w:val="-1"/>
        </w:rPr>
        <w:t>dem</w:t>
      </w:r>
      <w:r>
        <w:rPr>
          <w:spacing w:val="-6"/>
        </w:rPr>
        <w:t> </w:t>
      </w:r>
      <w:r>
        <w:rPr>
          <w:spacing w:val="-1"/>
        </w:rPr>
        <w:t>Ost-</w:t>
      </w:r>
      <w:r>
        <w:rPr>
          <w:spacing w:val="28"/>
        </w:rPr>
        <w:t> </w:t>
      </w:r>
      <w:r>
        <w:rPr>
          <w:spacing w:val="-3"/>
        </w:rPr>
        <w:t>West</w:t>
      </w:r>
      <w:r>
        <w:rPr>
          <w:spacing w:val="45"/>
        </w:rPr>
        <w:t> </w:t>
      </w:r>
      <w:r>
        <w:rPr>
          <w:spacing w:val="-1"/>
        </w:rPr>
        <w:t>ausgerichteten</w:t>
      </w:r>
      <w:r>
        <w:rPr>
          <w:spacing w:val="46"/>
        </w:rPr>
        <w:t> </w:t>
      </w:r>
      <w:r>
        <w:rPr>
          <w:spacing w:val="-1"/>
        </w:rPr>
        <w:t>Giebeldach</w:t>
      </w:r>
      <w:r>
        <w:rPr>
          <w:spacing w:val="45"/>
        </w:rPr>
        <w:t> </w:t>
      </w:r>
      <w:r>
        <w:rPr>
          <w:spacing w:val="-3"/>
        </w:rPr>
        <w:t>sorgt</w:t>
      </w:r>
      <w:r>
        <w:rPr>
          <w:spacing w:val="46"/>
        </w:rPr>
        <w:t> </w:t>
      </w:r>
      <w:r>
        <w:rPr>
          <w:spacing w:val="-1"/>
        </w:rPr>
        <w:t>für</w:t>
      </w:r>
      <w:r>
        <w:rPr>
          <w:spacing w:val="25"/>
        </w:rPr>
        <w:t> </w:t>
      </w:r>
      <w:r>
        <w:rPr>
          <w:spacing w:val="-1"/>
        </w:rPr>
        <w:t>zwei</w:t>
      </w:r>
      <w:r>
        <w:rPr>
          <w:spacing w:val="19"/>
        </w:rPr>
        <w:t> </w:t>
      </w:r>
      <w:r>
        <w:rPr>
          <w:spacing w:val="-1"/>
        </w:rPr>
        <w:t>Leistungsspitzen:</w:t>
      </w:r>
      <w:r>
        <w:rPr>
          <w:spacing w:val="19"/>
        </w:rPr>
        <w:t> </w:t>
      </w:r>
      <w:r>
        <w:rPr>
          <w:spacing w:val="-1"/>
        </w:rPr>
        <w:t>am</w:t>
      </w:r>
      <w:r>
        <w:rPr>
          <w:spacing w:val="19"/>
        </w:rPr>
        <w:t> </w:t>
      </w:r>
      <w:r>
        <w:rPr>
          <w:spacing w:val="-2"/>
        </w:rPr>
        <w:t>Morgen</w:t>
      </w:r>
      <w:r>
        <w:rPr>
          <w:spacing w:val="19"/>
        </w:rPr>
        <w:t> </w:t>
      </w:r>
      <w:r>
        <w:rPr>
          <w:spacing w:val="-1"/>
        </w:rPr>
        <w:t>von</w:t>
      </w:r>
      <w:r>
        <w:rPr>
          <w:spacing w:val="19"/>
        </w:rPr>
        <w:t> </w:t>
      </w:r>
      <w:r>
        <w:rPr>
          <w:spacing w:val="-1"/>
        </w:rPr>
        <w:t>der</w:t>
      </w:r>
      <w:r>
        <w:rPr>
          <w:spacing w:val="25"/>
        </w:rPr>
        <w:t> </w:t>
      </w:r>
      <w:r>
        <w:rPr/>
        <w:t>Osthälfte</w:t>
      </w:r>
      <w:r>
        <w:rPr>
          <w:spacing w:val="-3"/>
        </w:rPr>
        <w:t> </w:t>
      </w:r>
      <w:r>
        <w:rPr>
          <w:spacing w:val="-1"/>
        </w:rPr>
        <w:t>und</w:t>
      </w:r>
      <w:r>
        <w:rPr>
          <w:spacing w:val="-3"/>
        </w:rPr>
        <w:t> </w:t>
      </w:r>
      <w:r>
        <w:rPr>
          <w:spacing w:val="-1"/>
        </w:rPr>
        <w:t>am</w:t>
      </w:r>
      <w:r>
        <w:rPr>
          <w:spacing w:val="-3"/>
        </w:rPr>
        <w:t> </w:t>
      </w:r>
      <w:r>
        <w:rPr>
          <w:spacing w:val="-1"/>
        </w:rPr>
        <w:t>Nachmittag</w:t>
      </w:r>
      <w:r>
        <w:rPr>
          <w:spacing w:val="-3"/>
        </w:rPr>
        <w:t> </w:t>
      </w:r>
      <w:r>
        <w:rPr>
          <w:spacing w:val="-1"/>
        </w:rPr>
        <w:t>von</w:t>
      </w:r>
      <w:r>
        <w:rPr>
          <w:spacing w:val="-3"/>
        </w:rPr>
        <w:t> </w:t>
      </w:r>
      <w:r>
        <w:rPr>
          <w:spacing w:val="-1"/>
        </w:rPr>
        <w:t>der</w:t>
      </w:r>
      <w:r>
        <w:rPr>
          <w:spacing w:val="-3"/>
        </w:rPr>
        <w:t> West-</w:t>
      </w:r>
      <w:r>
        <w:rPr>
          <w:spacing w:val="27"/>
        </w:rPr>
        <w:t> </w:t>
      </w:r>
      <w:r>
        <w:rPr/>
        <w:t>hälfte.</w:t>
      </w:r>
    </w:p>
    <w:p>
      <w:pPr>
        <w:spacing w:line="230" w:lineRule="exact" w:before="0"/>
        <w:ind w:left="166" w:right="0" w:firstLine="226"/>
        <w:jc w:val="right"/>
        <w:rPr>
          <w:rFonts w:ascii="Theinhardt Regular" w:hAnsi="Theinhardt Regular" w:cs="Theinhardt Regular" w:eastAsia="Theinhardt Regular"/>
          <w:sz w:val="18"/>
          <w:szCs w:val="18"/>
        </w:rPr>
      </w:pPr>
      <w:r>
        <w:rPr>
          <w:rFonts w:ascii="Theinhardt Regular" w:hAnsi="Theinhardt Regular" w:cs="Theinhardt Regular" w:eastAsia="Theinhardt Regular"/>
          <w:spacing w:val="-2"/>
          <w:sz w:val="18"/>
          <w:szCs w:val="18"/>
        </w:rPr>
        <w:t>Die</w:t>
      </w:r>
      <w:r>
        <w:rPr>
          <w:rFonts w:ascii="Theinhardt Regular" w:hAnsi="Theinhardt Regular" w:cs="Theinhardt Regular" w:eastAsia="Theinhardt Regular"/>
          <w:sz w:val="18"/>
          <w:szCs w:val="18"/>
        </w:rPr>
        <w:t> </w:t>
      </w:r>
      <w:r>
        <w:rPr>
          <w:rFonts w:ascii="Theinhardt Regular" w:hAnsi="Theinhardt Regular" w:cs="Theinhardt Regular" w:eastAsia="Theinhardt Regular"/>
          <w:spacing w:val="-1"/>
          <w:sz w:val="18"/>
          <w:szCs w:val="18"/>
        </w:rPr>
        <w:t>aus</w:t>
      </w:r>
      <w:r>
        <w:rPr>
          <w:rFonts w:ascii="Theinhardt Regular" w:hAnsi="Theinhardt Regular" w:cs="Theinhardt Regular" w:eastAsia="Theinhardt Regular"/>
          <w:sz w:val="18"/>
          <w:szCs w:val="18"/>
        </w:rPr>
        <w:t> </w:t>
      </w:r>
      <w:r>
        <w:rPr>
          <w:rFonts w:ascii="Theinhardt Regular" w:hAnsi="Theinhardt Regular" w:cs="Theinhardt Regular" w:eastAsia="Theinhardt Regular"/>
          <w:spacing w:val="-1"/>
          <w:sz w:val="18"/>
          <w:szCs w:val="18"/>
        </w:rPr>
        <w:t>dem</w:t>
      </w:r>
      <w:r>
        <w:rPr>
          <w:rFonts w:ascii="Theinhardt Regular" w:hAnsi="Theinhardt Regular" w:cs="Theinhardt Regular" w:eastAsia="Theinhardt Regular"/>
          <w:sz w:val="18"/>
          <w:szCs w:val="18"/>
        </w:rPr>
        <w:t> </w:t>
      </w:r>
      <w:r>
        <w:rPr>
          <w:rFonts w:ascii="Theinhardt Regular" w:hAnsi="Theinhardt Regular" w:cs="Theinhardt Regular" w:eastAsia="Theinhardt Regular"/>
          <w:spacing w:val="-1"/>
          <w:sz w:val="18"/>
          <w:szCs w:val="18"/>
        </w:rPr>
        <w:t>Dach</w:t>
      </w:r>
      <w:r>
        <w:rPr>
          <w:rFonts w:ascii="Theinhardt Regular" w:hAnsi="Theinhardt Regular" w:cs="Theinhardt Regular" w:eastAsia="Theinhardt Regular"/>
          <w:sz w:val="18"/>
          <w:szCs w:val="18"/>
        </w:rPr>
        <w:t> </w:t>
      </w:r>
      <w:r>
        <w:rPr>
          <w:rFonts w:ascii="Theinhardt Regular" w:hAnsi="Theinhardt Regular" w:cs="Theinhardt Regular" w:eastAsia="Theinhardt Regular"/>
          <w:spacing w:val="-2"/>
          <w:sz w:val="18"/>
          <w:szCs w:val="18"/>
        </w:rPr>
        <w:t>herausragenden</w:t>
      </w:r>
      <w:r>
        <w:rPr>
          <w:rFonts w:ascii="Theinhardt Regular" w:hAnsi="Theinhardt Regular" w:cs="Theinhardt Regular" w:eastAsia="Theinhardt Regular"/>
          <w:sz w:val="18"/>
          <w:szCs w:val="18"/>
        </w:rPr>
        <w:t> Gau-</w:t>
      </w:r>
      <w:r>
        <w:rPr>
          <w:rFonts w:ascii="Theinhardt Regular" w:hAnsi="Theinhardt Regular" w:cs="Theinhardt Regular" w:eastAsia="Theinhardt Regular"/>
          <w:spacing w:val="29"/>
          <w:sz w:val="18"/>
          <w:szCs w:val="18"/>
        </w:rPr>
        <w:t> </w:t>
      </w:r>
      <w:r>
        <w:rPr>
          <w:rFonts w:ascii="Theinhardt Regular" w:hAnsi="Theinhardt Regular" w:cs="Theinhardt Regular" w:eastAsia="Theinhardt Regular"/>
          <w:spacing w:val="-2"/>
          <w:sz w:val="18"/>
          <w:szCs w:val="18"/>
        </w:rPr>
        <w:t>benfenster</w:t>
      </w:r>
      <w:r>
        <w:rPr>
          <w:rFonts w:ascii="Theinhardt Regular" w:hAnsi="Theinhardt Regular" w:cs="Theinhardt Regular" w:eastAsia="Theinhardt Regular"/>
          <w:sz w:val="18"/>
          <w:szCs w:val="18"/>
        </w:rPr>
        <w:t> </w:t>
      </w:r>
      <w:r>
        <w:rPr>
          <w:rFonts w:ascii="Theinhardt Regular" w:hAnsi="Theinhardt Regular" w:cs="Theinhardt Regular" w:eastAsia="Theinhardt Regular"/>
          <w:spacing w:val="37"/>
          <w:sz w:val="18"/>
          <w:szCs w:val="18"/>
        </w:rPr>
        <w:t> </w:t>
      </w:r>
      <w:r>
        <w:rPr>
          <w:rFonts w:ascii="Theinhardt Regular" w:hAnsi="Theinhardt Regular" w:cs="Theinhardt Regular" w:eastAsia="Theinhardt Regular"/>
          <w:spacing w:val="-1"/>
          <w:sz w:val="18"/>
          <w:szCs w:val="18"/>
        </w:rPr>
        <w:t>passen</w:t>
      </w:r>
      <w:r>
        <w:rPr>
          <w:rFonts w:ascii="Theinhardt Regular" w:hAnsi="Theinhardt Regular" w:cs="Theinhardt Regular" w:eastAsia="Theinhardt Regular"/>
          <w:sz w:val="18"/>
          <w:szCs w:val="18"/>
        </w:rPr>
        <w:t> </w:t>
      </w:r>
      <w:r>
        <w:rPr>
          <w:rFonts w:ascii="Theinhardt Regular" w:hAnsi="Theinhardt Regular" w:cs="Theinhardt Regular" w:eastAsia="Theinhardt Regular"/>
          <w:spacing w:val="38"/>
          <w:sz w:val="18"/>
          <w:szCs w:val="18"/>
        </w:rPr>
        <w:t> </w:t>
      </w:r>
      <w:r>
        <w:rPr>
          <w:rFonts w:ascii="Theinhardt Regular" w:hAnsi="Theinhardt Regular" w:cs="Theinhardt Regular" w:eastAsia="Theinhardt Regular"/>
          <w:spacing w:val="-1"/>
          <w:sz w:val="18"/>
          <w:szCs w:val="18"/>
        </w:rPr>
        <w:t>zum</w:t>
      </w:r>
      <w:r>
        <w:rPr>
          <w:rFonts w:ascii="Theinhardt Regular" w:hAnsi="Theinhardt Regular" w:cs="Theinhardt Regular" w:eastAsia="Theinhardt Regular"/>
          <w:sz w:val="18"/>
          <w:szCs w:val="18"/>
        </w:rPr>
        <w:t> </w:t>
      </w:r>
      <w:r>
        <w:rPr>
          <w:rFonts w:ascii="Theinhardt Regular" w:hAnsi="Theinhardt Regular" w:cs="Theinhardt Regular" w:eastAsia="Theinhardt Regular"/>
          <w:spacing w:val="37"/>
          <w:sz w:val="18"/>
          <w:szCs w:val="18"/>
        </w:rPr>
        <w:t> </w:t>
      </w:r>
      <w:r>
        <w:rPr>
          <w:rFonts w:ascii="Theinhardt Regular" w:hAnsi="Theinhardt Regular" w:cs="Theinhardt Regular" w:eastAsia="Theinhardt Regular"/>
          <w:spacing w:val="-1"/>
          <w:sz w:val="18"/>
          <w:szCs w:val="18"/>
        </w:rPr>
        <w:t>Gesamtbild</w:t>
      </w:r>
      <w:r>
        <w:rPr>
          <w:rFonts w:ascii="Theinhardt Regular" w:hAnsi="Theinhardt Regular" w:cs="Theinhardt Regular" w:eastAsia="Theinhardt Regular"/>
          <w:sz w:val="18"/>
          <w:szCs w:val="18"/>
        </w:rPr>
        <w:t> </w:t>
      </w:r>
      <w:r>
        <w:rPr>
          <w:rFonts w:ascii="Theinhardt Regular" w:hAnsi="Theinhardt Regular" w:cs="Theinhardt Regular" w:eastAsia="Theinhardt Regular"/>
          <w:spacing w:val="38"/>
          <w:sz w:val="18"/>
          <w:szCs w:val="18"/>
        </w:rPr>
        <w:t> </w:t>
      </w:r>
      <w:r>
        <w:rPr>
          <w:rFonts w:ascii="Theinhardt Regular" w:hAnsi="Theinhardt Regular" w:cs="Theinhardt Regular" w:eastAsia="Theinhardt Regular"/>
          <w:spacing w:val="-1"/>
          <w:sz w:val="18"/>
          <w:szCs w:val="18"/>
        </w:rPr>
        <w:t>der</w:t>
      </w:r>
      <w:r>
        <w:rPr>
          <w:rFonts w:ascii="Theinhardt Regular" w:hAnsi="Theinhardt Regular" w:cs="Theinhardt Regular" w:eastAsia="Theinhardt Regular"/>
          <w:spacing w:val="26"/>
          <w:sz w:val="18"/>
          <w:szCs w:val="18"/>
        </w:rPr>
        <w:t> </w:t>
      </w:r>
      <w:r>
        <w:rPr>
          <w:rFonts w:ascii="Theinhardt Regular" w:hAnsi="Theinhardt Regular" w:cs="Theinhardt Regular" w:eastAsia="Theinhardt Regular"/>
          <w:spacing w:val="-1"/>
          <w:sz w:val="18"/>
          <w:szCs w:val="18"/>
        </w:rPr>
        <w:t>Nachbarschaft,</w:t>
      </w:r>
      <w:r>
        <w:rPr>
          <w:rFonts w:ascii="Theinhardt Regular" w:hAnsi="Theinhardt Regular" w:cs="Theinhardt Regular" w:eastAsia="Theinhardt Regular"/>
          <w:spacing w:val="-13"/>
          <w:sz w:val="18"/>
          <w:szCs w:val="18"/>
        </w:rPr>
        <w:t> </w:t>
      </w:r>
      <w:r>
        <w:rPr>
          <w:rFonts w:ascii="Theinhardt Regular" w:hAnsi="Theinhardt Regular" w:cs="Theinhardt Regular" w:eastAsia="Theinhardt Regular"/>
          <w:spacing w:val="-1"/>
          <w:sz w:val="18"/>
          <w:szCs w:val="18"/>
        </w:rPr>
        <w:t>doch</w:t>
      </w:r>
      <w:r>
        <w:rPr>
          <w:rFonts w:ascii="Theinhardt Regular" w:hAnsi="Theinhardt Regular" w:cs="Theinhardt Regular" w:eastAsia="Theinhardt Regular"/>
          <w:spacing w:val="-2"/>
          <w:sz w:val="18"/>
          <w:szCs w:val="18"/>
        </w:rPr>
        <w:t> </w:t>
      </w:r>
      <w:r>
        <w:rPr>
          <w:rFonts w:ascii="Theinhardt Regular" w:hAnsi="Theinhardt Regular" w:cs="Theinhardt Regular" w:eastAsia="Theinhardt Regular"/>
          <w:spacing w:val="-1"/>
          <w:sz w:val="18"/>
          <w:szCs w:val="18"/>
        </w:rPr>
        <w:t>verschatten</w:t>
      </w:r>
      <w:r>
        <w:rPr>
          <w:rFonts w:ascii="Theinhardt Regular" w:hAnsi="Theinhardt Regular" w:cs="Theinhardt Regular" w:eastAsia="Theinhardt Regular"/>
          <w:spacing w:val="-2"/>
          <w:sz w:val="18"/>
          <w:szCs w:val="18"/>
        </w:rPr>
        <w:t> </w:t>
      </w:r>
      <w:r>
        <w:rPr>
          <w:rFonts w:ascii="Theinhardt Regular" w:hAnsi="Theinhardt Regular" w:cs="Theinhardt Regular" w:eastAsia="Theinhardt Regular"/>
          <w:spacing w:val="-1"/>
          <w:sz w:val="18"/>
          <w:szCs w:val="18"/>
        </w:rPr>
        <w:t>sie</w:t>
      </w:r>
      <w:r>
        <w:rPr>
          <w:rFonts w:ascii="Theinhardt Regular" w:hAnsi="Theinhardt Regular" w:cs="Theinhardt Regular" w:eastAsia="Theinhardt Regular"/>
          <w:spacing w:val="-2"/>
          <w:sz w:val="18"/>
          <w:szCs w:val="18"/>
        </w:rPr>
        <w:t> </w:t>
      </w:r>
      <w:r>
        <w:rPr>
          <w:rFonts w:ascii="Theinhardt Regular" w:hAnsi="Theinhardt Regular" w:cs="Theinhardt Regular" w:eastAsia="Theinhardt Regular"/>
          <w:spacing w:val="-1"/>
          <w:sz w:val="18"/>
          <w:szCs w:val="18"/>
        </w:rPr>
        <w:t>die</w:t>
      </w:r>
      <w:r>
        <w:rPr>
          <w:rFonts w:ascii="Theinhardt Regular" w:hAnsi="Theinhardt Regular" w:cs="Theinhardt Regular" w:eastAsia="Theinhardt Regular"/>
          <w:spacing w:val="-2"/>
          <w:sz w:val="18"/>
          <w:szCs w:val="18"/>
        </w:rPr>
        <w:t> </w:t>
      </w:r>
      <w:r>
        <w:rPr>
          <w:rFonts w:ascii="Theinhardt Regular" w:hAnsi="Theinhardt Regular" w:cs="Theinhardt Regular" w:eastAsia="Theinhardt Regular"/>
          <w:spacing w:val="-1"/>
          <w:sz w:val="18"/>
          <w:szCs w:val="18"/>
        </w:rPr>
        <w:t>mit</w:t>
      </w:r>
      <w:r>
        <w:rPr>
          <w:rFonts w:ascii="Theinhardt Regular" w:hAnsi="Theinhardt Regular" w:cs="Theinhardt Regular" w:eastAsia="Theinhardt Regular"/>
          <w:spacing w:val="37"/>
          <w:sz w:val="18"/>
          <w:szCs w:val="18"/>
        </w:rPr>
        <w:t> </w:t>
      </w:r>
      <w:r>
        <w:rPr>
          <w:rFonts w:ascii="Theinhardt Regular" w:hAnsi="Theinhardt Regular" w:cs="Theinhardt Regular" w:eastAsia="Theinhardt Regular"/>
          <w:spacing w:val="-1"/>
          <w:sz w:val="18"/>
          <w:szCs w:val="18"/>
        </w:rPr>
        <w:t>Blindmodulen</w:t>
      </w:r>
      <w:r>
        <w:rPr>
          <w:rFonts w:ascii="Theinhardt Regular" w:hAnsi="Theinhardt Regular" w:cs="Theinhardt Regular" w:eastAsia="Theinhardt Regular"/>
          <w:spacing w:val="-2"/>
          <w:sz w:val="18"/>
          <w:szCs w:val="18"/>
        </w:rPr>
        <w:t> </w:t>
      </w:r>
      <w:r>
        <w:rPr>
          <w:rFonts w:ascii="Theinhardt Regular" w:hAnsi="Theinhardt Regular" w:cs="Theinhardt Regular" w:eastAsia="Theinhardt Regular"/>
          <w:spacing w:val="-1"/>
          <w:sz w:val="18"/>
          <w:szCs w:val="18"/>
        </w:rPr>
        <w:t>ausgestatteten</w:t>
      </w:r>
      <w:r>
        <w:rPr>
          <w:rFonts w:ascii="Theinhardt Regular" w:hAnsi="Theinhardt Regular" w:cs="Theinhardt Regular" w:eastAsia="Theinhardt Regular"/>
          <w:spacing w:val="-2"/>
          <w:sz w:val="18"/>
          <w:szCs w:val="18"/>
        </w:rPr>
        <w:t> </w:t>
      </w:r>
      <w:r>
        <w:rPr>
          <w:rFonts w:ascii="Theinhardt Regular" w:hAnsi="Theinhardt Regular" w:cs="Theinhardt Regular" w:eastAsia="Theinhardt Regular"/>
          <w:spacing w:val="-1"/>
          <w:sz w:val="18"/>
          <w:szCs w:val="18"/>
        </w:rPr>
        <w:t>Dachflächen.</w:t>
      </w:r>
      <w:r>
        <w:rPr>
          <w:rFonts w:ascii="Theinhardt Regular" w:hAnsi="Theinhardt Regular" w:cs="Theinhardt Regular" w:eastAsia="Theinhardt Regular"/>
          <w:spacing w:val="22"/>
          <w:sz w:val="18"/>
          <w:szCs w:val="18"/>
        </w:rPr>
        <w:t> </w:t>
      </w:r>
      <w:r>
        <w:rPr>
          <w:rFonts w:ascii="Theinhardt Regular" w:hAnsi="Theinhardt Regular" w:cs="Theinhardt Regular" w:eastAsia="Theinhardt Regular"/>
          <w:spacing w:val="-1"/>
          <w:sz w:val="18"/>
          <w:szCs w:val="18"/>
        </w:rPr>
        <w:t>Insgesamt</w:t>
      </w:r>
      <w:r>
        <w:rPr>
          <w:rFonts w:ascii="Theinhardt Regular" w:hAnsi="Theinhardt Regular" w:cs="Theinhardt Regular" w:eastAsia="Theinhardt Regular"/>
          <w:spacing w:val="7"/>
          <w:sz w:val="18"/>
          <w:szCs w:val="18"/>
        </w:rPr>
        <w:t> </w:t>
      </w:r>
      <w:r>
        <w:rPr>
          <w:rFonts w:ascii="Theinhardt Regular" w:hAnsi="Theinhardt Regular" w:cs="Theinhardt Regular" w:eastAsia="Theinhardt Regular"/>
          <w:spacing w:val="-1"/>
          <w:sz w:val="18"/>
          <w:szCs w:val="18"/>
        </w:rPr>
        <w:t>liefert</w:t>
      </w:r>
      <w:r>
        <w:rPr>
          <w:rFonts w:ascii="Theinhardt Regular" w:hAnsi="Theinhardt Regular" w:cs="Theinhardt Regular" w:eastAsia="Theinhardt Regular"/>
          <w:spacing w:val="7"/>
          <w:sz w:val="18"/>
          <w:szCs w:val="18"/>
        </w:rPr>
        <w:t> </w:t>
      </w:r>
      <w:r>
        <w:rPr>
          <w:rFonts w:ascii="Theinhardt Regular" w:hAnsi="Theinhardt Regular" w:cs="Theinhardt Regular" w:eastAsia="Theinhardt Regular"/>
          <w:spacing w:val="-1"/>
          <w:sz w:val="18"/>
          <w:szCs w:val="18"/>
        </w:rPr>
        <w:t>die</w:t>
      </w:r>
      <w:r>
        <w:rPr>
          <w:rFonts w:ascii="Theinhardt Regular" w:hAnsi="Theinhardt Regular" w:cs="Theinhardt Regular" w:eastAsia="Theinhardt Regular"/>
          <w:spacing w:val="7"/>
          <w:sz w:val="18"/>
          <w:szCs w:val="18"/>
        </w:rPr>
        <w:t> </w:t>
      </w:r>
      <w:r>
        <w:rPr>
          <w:rFonts w:ascii="Theinhardt Regular" w:hAnsi="Theinhardt Regular" w:cs="Theinhardt Regular" w:eastAsia="Theinhardt Regular"/>
          <w:spacing w:val="-1"/>
          <w:sz w:val="18"/>
          <w:szCs w:val="18"/>
        </w:rPr>
        <w:t>17.6</w:t>
      </w:r>
      <w:r>
        <w:rPr>
          <w:rFonts w:ascii="Theinhardt Regular" w:hAnsi="Theinhardt Regular" w:cs="Theinhardt Regular" w:eastAsia="Theinhardt Regular"/>
          <w:spacing w:val="7"/>
          <w:sz w:val="18"/>
          <w:szCs w:val="18"/>
        </w:rPr>
        <w:t> </w:t>
      </w:r>
      <w:r>
        <w:rPr>
          <w:rFonts w:ascii="Theinhardt Regular" w:hAnsi="Theinhardt Regular" w:cs="Theinhardt Regular" w:eastAsia="Theinhardt Regular"/>
          <w:spacing w:val="-1"/>
          <w:sz w:val="18"/>
          <w:szCs w:val="18"/>
        </w:rPr>
        <w:t>kW</w:t>
      </w:r>
      <w:r>
        <w:rPr>
          <w:rFonts w:ascii="Theinhardt Regular" w:hAnsi="Theinhardt Regular" w:cs="Theinhardt Regular" w:eastAsia="Theinhardt Regular"/>
          <w:spacing w:val="7"/>
          <w:sz w:val="18"/>
          <w:szCs w:val="18"/>
        </w:rPr>
        <w:t> </w:t>
      </w:r>
      <w:r>
        <w:rPr>
          <w:rFonts w:ascii="Theinhardt Regular" w:hAnsi="Theinhardt Regular" w:cs="Theinhardt Regular" w:eastAsia="Theinhardt Regular"/>
          <w:spacing w:val="-2"/>
          <w:sz w:val="18"/>
          <w:szCs w:val="18"/>
        </w:rPr>
        <w:t>starke</w:t>
      </w:r>
      <w:r>
        <w:rPr>
          <w:rFonts w:ascii="Theinhardt Regular" w:hAnsi="Theinhardt Regular" w:cs="Theinhardt Regular" w:eastAsia="Theinhardt Regular"/>
          <w:spacing w:val="7"/>
          <w:sz w:val="18"/>
          <w:szCs w:val="18"/>
        </w:rPr>
        <w:t> </w:t>
      </w:r>
      <w:r>
        <w:rPr>
          <w:rFonts w:ascii="Theinhardt Regular" w:hAnsi="Theinhardt Regular" w:cs="Theinhardt Regular" w:eastAsia="Theinhardt Regular"/>
          <w:spacing w:val="-3"/>
          <w:sz w:val="18"/>
          <w:szCs w:val="18"/>
        </w:rPr>
        <w:t>PV-</w:t>
      </w:r>
      <w:r>
        <w:rPr>
          <w:rFonts w:ascii="Theinhardt Regular" w:hAnsi="Theinhardt Regular" w:cs="Theinhardt Regular" w:eastAsia="Theinhardt Regular"/>
          <w:spacing w:val="30"/>
          <w:sz w:val="18"/>
          <w:szCs w:val="18"/>
        </w:rPr>
        <w:t> </w:t>
      </w:r>
      <w:r>
        <w:rPr>
          <w:rFonts w:ascii="Theinhardt Regular" w:hAnsi="Theinhardt Regular" w:cs="Theinhardt Regular" w:eastAsia="Theinhardt Regular"/>
          <w:spacing w:val="-1"/>
          <w:sz w:val="18"/>
          <w:szCs w:val="18"/>
        </w:rPr>
        <w:t>Anlage</w:t>
      </w:r>
      <w:r>
        <w:rPr>
          <w:rFonts w:ascii="Theinhardt Regular" w:hAnsi="Theinhardt Regular" w:cs="Theinhardt Regular" w:eastAsia="Theinhardt Regular"/>
          <w:spacing w:val="11"/>
          <w:sz w:val="18"/>
          <w:szCs w:val="18"/>
        </w:rPr>
        <w:t> </w:t>
      </w:r>
      <w:r>
        <w:rPr>
          <w:rFonts w:ascii="Theinhardt Regular" w:hAnsi="Theinhardt Regular" w:cs="Theinhardt Regular" w:eastAsia="Theinhardt Regular"/>
          <w:spacing w:val="-1"/>
          <w:sz w:val="18"/>
          <w:szCs w:val="18"/>
        </w:rPr>
        <w:t>jährlich</w:t>
      </w:r>
      <w:r>
        <w:rPr>
          <w:rFonts w:ascii="Theinhardt Regular" w:hAnsi="Theinhardt Regular" w:cs="Theinhardt Regular" w:eastAsia="Theinhardt Regular"/>
          <w:spacing w:val="11"/>
          <w:sz w:val="18"/>
          <w:szCs w:val="18"/>
        </w:rPr>
        <w:t> </w:t>
      </w:r>
      <w:r>
        <w:rPr>
          <w:rFonts w:ascii="Theinhardt Regular" w:hAnsi="Theinhardt Regular" w:cs="Theinhardt Regular" w:eastAsia="Theinhardt Regular"/>
          <w:spacing w:val="-1"/>
          <w:sz w:val="18"/>
          <w:szCs w:val="18"/>
        </w:rPr>
        <w:t>13’700</w:t>
      </w:r>
      <w:r>
        <w:rPr>
          <w:rFonts w:ascii="Theinhardt Regular" w:hAnsi="Theinhardt Regular" w:cs="Theinhardt Regular" w:eastAsia="Theinhardt Regular"/>
          <w:spacing w:val="11"/>
          <w:sz w:val="18"/>
          <w:szCs w:val="18"/>
        </w:rPr>
        <w:t> </w:t>
      </w:r>
      <w:r>
        <w:rPr>
          <w:rFonts w:ascii="Theinhardt Regular" w:hAnsi="Theinhardt Regular" w:cs="Theinhardt Regular" w:eastAsia="Theinhardt Regular"/>
          <w:spacing w:val="-1"/>
          <w:sz w:val="18"/>
          <w:szCs w:val="18"/>
        </w:rPr>
        <w:t>kWh.</w:t>
      </w:r>
      <w:r>
        <w:rPr>
          <w:rFonts w:ascii="Theinhardt Regular" w:hAnsi="Theinhardt Regular" w:cs="Theinhardt Regular" w:eastAsia="Theinhardt Regular"/>
          <w:sz w:val="18"/>
          <w:szCs w:val="18"/>
        </w:rPr>
        <w:t> </w:t>
      </w:r>
      <w:r>
        <w:rPr>
          <w:rFonts w:ascii="Theinhardt Regular" w:hAnsi="Theinhardt Regular" w:cs="Theinhardt Regular" w:eastAsia="Theinhardt Regular"/>
          <w:spacing w:val="-1"/>
          <w:sz w:val="18"/>
          <w:szCs w:val="18"/>
        </w:rPr>
        <w:t>Damit</w:t>
      </w:r>
      <w:r>
        <w:rPr>
          <w:rFonts w:ascii="Theinhardt Regular" w:hAnsi="Theinhardt Regular" w:cs="Theinhardt Regular" w:eastAsia="Theinhardt Regular"/>
          <w:spacing w:val="11"/>
          <w:sz w:val="18"/>
          <w:szCs w:val="18"/>
        </w:rPr>
        <w:t> </w:t>
      </w:r>
      <w:r>
        <w:rPr>
          <w:rFonts w:ascii="Theinhardt Regular" w:hAnsi="Theinhardt Regular" w:cs="Theinhardt Regular" w:eastAsia="Theinhardt Regular"/>
          <w:spacing w:val="-2"/>
          <w:sz w:val="18"/>
          <w:szCs w:val="18"/>
        </w:rPr>
        <w:t>werden</w:t>
      </w:r>
      <w:r>
        <w:rPr>
          <w:rFonts w:ascii="Theinhardt Regular" w:hAnsi="Theinhardt Regular" w:cs="Theinhardt Regular" w:eastAsia="Theinhardt Regular"/>
          <w:spacing w:val="29"/>
          <w:sz w:val="18"/>
          <w:szCs w:val="18"/>
        </w:rPr>
        <w:t> </w:t>
      </w:r>
      <w:r>
        <w:rPr>
          <w:rFonts w:ascii="Theinhardt Regular" w:hAnsi="Theinhardt Regular" w:cs="Theinhardt Regular" w:eastAsia="Theinhardt Regular"/>
          <w:spacing w:val="-1"/>
          <w:sz w:val="18"/>
          <w:szCs w:val="18"/>
        </w:rPr>
        <w:t>rund</w:t>
      </w:r>
      <w:r>
        <w:rPr>
          <w:rFonts w:ascii="Theinhardt Regular" w:hAnsi="Theinhardt Regular" w:cs="Theinhardt Regular" w:eastAsia="Theinhardt Regular"/>
          <w:spacing w:val="30"/>
          <w:sz w:val="18"/>
          <w:szCs w:val="18"/>
        </w:rPr>
        <w:t> </w:t>
      </w:r>
      <w:r>
        <w:rPr>
          <w:rFonts w:ascii="Theinhardt Regular" w:hAnsi="Theinhardt Regular" w:cs="Theinhardt Regular" w:eastAsia="Theinhardt Regular"/>
          <w:spacing w:val="-1"/>
          <w:sz w:val="18"/>
          <w:szCs w:val="18"/>
        </w:rPr>
        <w:t>58%</w:t>
      </w:r>
      <w:r>
        <w:rPr>
          <w:rFonts w:ascii="Theinhardt Regular" w:hAnsi="Theinhardt Regular" w:cs="Theinhardt Regular" w:eastAsia="Theinhardt Regular"/>
          <w:spacing w:val="31"/>
          <w:sz w:val="18"/>
          <w:szCs w:val="18"/>
        </w:rPr>
        <w:t> </w:t>
      </w:r>
      <w:r>
        <w:rPr>
          <w:rFonts w:ascii="Theinhardt Regular" w:hAnsi="Theinhardt Regular" w:cs="Theinhardt Regular" w:eastAsia="Theinhardt Regular"/>
          <w:spacing w:val="-1"/>
          <w:sz w:val="18"/>
          <w:szCs w:val="18"/>
        </w:rPr>
        <w:t>des</w:t>
      </w:r>
      <w:r>
        <w:rPr>
          <w:rFonts w:ascii="Theinhardt Regular" w:hAnsi="Theinhardt Regular" w:cs="Theinhardt Regular" w:eastAsia="Theinhardt Regular"/>
          <w:spacing w:val="30"/>
          <w:sz w:val="18"/>
          <w:szCs w:val="18"/>
        </w:rPr>
        <w:t> </w:t>
      </w:r>
      <w:r>
        <w:rPr>
          <w:rFonts w:ascii="Theinhardt Regular" w:hAnsi="Theinhardt Regular" w:cs="Theinhardt Regular" w:eastAsia="Theinhardt Regular"/>
          <w:spacing w:val="-1"/>
          <w:sz w:val="18"/>
          <w:szCs w:val="18"/>
        </w:rPr>
        <w:t>Gesamtenergiebedarfs</w:t>
      </w:r>
      <w:r>
        <w:rPr>
          <w:rFonts w:ascii="Theinhardt Regular" w:hAnsi="Theinhardt Regular" w:cs="Theinhardt Regular" w:eastAsia="Theinhardt Regular"/>
          <w:spacing w:val="31"/>
          <w:sz w:val="18"/>
          <w:szCs w:val="18"/>
        </w:rPr>
        <w:t> </w:t>
      </w:r>
      <w:r>
        <w:rPr>
          <w:rFonts w:ascii="Theinhardt Regular" w:hAnsi="Theinhardt Regular" w:cs="Theinhardt Regular" w:eastAsia="Theinhardt Regular"/>
          <w:spacing w:val="-1"/>
          <w:sz w:val="18"/>
          <w:szCs w:val="18"/>
        </w:rPr>
        <w:t>des</w:t>
      </w:r>
      <w:r>
        <w:rPr>
          <w:rFonts w:ascii="Theinhardt Regular" w:hAnsi="Theinhardt Regular" w:cs="Theinhardt Regular" w:eastAsia="Theinhardt Regular"/>
          <w:spacing w:val="25"/>
          <w:sz w:val="18"/>
          <w:szCs w:val="18"/>
        </w:rPr>
        <w:t> </w:t>
      </w:r>
      <w:r>
        <w:rPr>
          <w:rFonts w:ascii="Theinhardt Regular" w:hAnsi="Theinhardt Regular" w:cs="Theinhardt Regular" w:eastAsia="Theinhardt Regular"/>
          <w:spacing w:val="-1"/>
          <w:sz w:val="18"/>
          <w:szCs w:val="18"/>
        </w:rPr>
        <w:t>Gebäudes</w:t>
      </w:r>
      <w:r>
        <w:rPr>
          <w:rFonts w:ascii="Theinhardt Regular" w:hAnsi="Theinhardt Regular" w:cs="Theinhardt Regular" w:eastAsia="Theinhardt Regular"/>
          <w:sz w:val="18"/>
          <w:szCs w:val="18"/>
        </w:rPr>
        <w:t> </w:t>
      </w:r>
      <w:r>
        <w:rPr>
          <w:rFonts w:ascii="Theinhardt Regular" w:hAnsi="Theinhardt Regular" w:cs="Theinhardt Regular" w:eastAsia="Theinhardt Regular"/>
          <w:spacing w:val="9"/>
          <w:sz w:val="18"/>
          <w:szCs w:val="18"/>
        </w:rPr>
        <w:t> </w:t>
      </w:r>
      <w:r>
        <w:rPr>
          <w:rFonts w:ascii="Theinhardt Regular" w:hAnsi="Theinhardt Regular" w:cs="Theinhardt Regular" w:eastAsia="Theinhardt Regular"/>
          <w:spacing w:val="-1"/>
          <w:sz w:val="18"/>
          <w:szCs w:val="18"/>
        </w:rPr>
        <w:t>gedeckt.</w:t>
      </w:r>
      <w:r>
        <w:rPr>
          <w:rFonts w:ascii="Theinhardt Regular" w:hAnsi="Theinhardt Regular" w:cs="Theinhardt Regular" w:eastAsia="Theinhardt Regular"/>
          <w:spacing w:val="46"/>
          <w:sz w:val="18"/>
          <w:szCs w:val="18"/>
        </w:rPr>
        <w:t> </w:t>
      </w:r>
      <w:r>
        <w:rPr>
          <w:rFonts w:ascii="Theinhardt Regular" w:hAnsi="Theinhardt Regular" w:cs="Theinhardt Regular" w:eastAsia="Theinhardt Regular"/>
          <w:spacing w:val="-2"/>
          <w:sz w:val="18"/>
          <w:szCs w:val="18"/>
        </w:rPr>
        <w:t>Die</w:t>
      </w:r>
      <w:r>
        <w:rPr>
          <w:rFonts w:ascii="Theinhardt Regular" w:hAnsi="Theinhardt Regular" w:cs="Theinhardt Regular" w:eastAsia="Theinhardt Regular"/>
          <w:sz w:val="18"/>
          <w:szCs w:val="18"/>
        </w:rPr>
        <w:t> </w:t>
      </w:r>
      <w:r>
        <w:rPr>
          <w:rFonts w:ascii="Theinhardt Regular" w:hAnsi="Theinhardt Regular" w:cs="Theinhardt Regular" w:eastAsia="Theinhardt Regular"/>
          <w:spacing w:val="9"/>
          <w:sz w:val="18"/>
          <w:szCs w:val="18"/>
        </w:rPr>
        <w:t> </w:t>
      </w:r>
      <w:r>
        <w:rPr>
          <w:rFonts w:ascii="Theinhardt Regular" w:hAnsi="Theinhardt Regular" w:cs="Theinhardt Regular" w:eastAsia="Theinhardt Regular"/>
          <w:spacing w:val="-2"/>
          <w:sz w:val="18"/>
          <w:szCs w:val="18"/>
        </w:rPr>
        <w:t>restliche</w:t>
      </w:r>
      <w:r>
        <w:rPr>
          <w:rFonts w:ascii="Theinhardt Regular" w:hAnsi="Theinhardt Regular" w:cs="Theinhardt Regular" w:eastAsia="Theinhardt Regular"/>
          <w:sz w:val="18"/>
          <w:szCs w:val="18"/>
        </w:rPr>
        <w:t> </w:t>
      </w:r>
      <w:r>
        <w:rPr>
          <w:rFonts w:ascii="Theinhardt Regular" w:hAnsi="Theinhardt Regular" w:cs="Theinhardt Regular" w:eastAsia="Theinhardt Regular"/>
          <w:spacing w:val="9"/>
          <w:sz w:val="18"/>
          <w:szCs w:val="18"/>
        </w:rPr>
        <w:t> </w:t>
      </w:r>
      <w:r>
        <w:rPr>
          <w:rFonts w:ascii="Theinhardt Regular" w:hAnsi="Theinhardt Regular" w:cs="Theinhardt Regular" w:eastAsia="Theinhardt Regular"/>
          <w:spacing w:val="-2"/>
          <w:sz w:val="18"/>
          <w:szCs w:val="18"/>
        </w:rPr>
        <w:t>Energie</w:t>
      </w:r>
      <w:r>
        <w:rPr>
          <w:rFonts w:ascii="Theinhardt Regular" w:hAnsi="Theinhardt Regular" w:cs="Theinhardt Regular" w:eastAsia="Theinhardt Regular"/>
          <w:spacing w:val="32"/>
          <w:sz w:val="18"/>
          <w:szCs w:val="18"/>
        </w:rPr>
        <w:t> </w:t>
      </w:r>
      <w:r>
        <w:rPr>
          <w:rFonts w:ascii="Theinhardt Regular" w:hAnsi="Theinhardt Regular" w:cs="Theinhardt Regular" w:eastAsia="Theinhardt Regular"/>
          <w:spacing w:val="-3"/>
          <w:sz w:val="18"/>
          <w:szCs w:val="18"/>
        </w:rPr>
        <w:t>wird</w:t>
      </w:r>
      <w:r>
        <w:rPr>
          <w:rFonts w:ascii="Theinhardt Regular" w:hAnsi="Theinhardt Regular" w:cs="Theinhardt Regular" w:eastAsia="Theinhardt Regular"/>
          <w:spacing w:val="39"/>
          <w:sz w:val="18"/>
          <w:szCs w:val="18"/>
        </w:rPr>
        <w:t> </w:t>
      </w:r>
      <w:r>
        <w:rPr>
          <w:rFonts w:ascii="Theinhardt Regular" w:hAnsi="Theinhardt Regular" w:cs="Theinhardt Regular" w:eastAsia="Theinhardt Regular"/>
          <w:spacing w:val="-1"/>
          <w:sz w:val="18"/>
          <w:szCs w:val="18"/>
        </w:rPr>
        <w:t>als</w:t>
      </w:r>
      <w:r>
        <w:rPr>
          <w:rFonts w:ascii="Theinhardt Regular" w:hAnsi="Theinhardt Regular" w:cs="Theinhardt Regular" w:eastAsia="Theinhardt Regular"/>
          <w:spacing w:val="40"/>
          <w:sz w:val="18"/>
          <w:szCs w:val="18"/>
        </w:rPr>
        <w:t> </w:t>
      </w:r>
      <w:r>
        <w:rPr>
          <w:rFonts w:ascii="Theinhardt Regular" w:hAnsi="Theinhardt Regular" w:cs="Theinhardt Regular" w:eastAsia="Theinhardt Regular"/>
          <w:spacing w:val="-1"/>
          <w:sz w:val="18"/>
          <w:szCs w:val="18"/>
        </w:rPr>
        <w:t>Elektrizität</w:t>
      </w:r>
      <w:r>
        <w:rPr>
          <w:rFonts w:ascii="Theinhardt Regular" w:hAnsi="Theinhardt Regular" w:cs="Theinhardt Regular" w:eastAsia="Theinhardt Regular"/>
          <w:spacing w:val="39"/>
          <w:sz w:val="18"/>
          <w:szCs w:val="18"/>
        </w:rPr>
        <w:t> </w:t>
      </w:r>
      <w:r>
        <w:rPr>
          <w:rFonts w:ascii="Theinhardt Regular" w:hAnsi="Theinhardt Regular" w:cs="Theinhardt Regular" w:eastAsia="Theinhardt Regular"/>
          <w:spacing w:val="-1"/>
          <w:sz w:val="18"/>
          <w:szCs w:val="18"/>
        </w:rPr>
        <w:t>vom</w:t>
      </w:r>
      <w:r>
        <w:rPr>
          <w:rFonts w:ascii="Theinhardt Regular" w:hAnsi="Theinhardt Regular" w:cs="Theinhardt Regular" w:eastAsia="Theinhardt Regular"/>
          <w:spacing w:val="40"/>
          <w:sz w:val="18"/>
          <w:szCs w:val="18"/>
        </w:rPr>
        <w:t> </w:t>
      </w:r>
      <w:r>
        <w:rPr>
          <w:rFonts w:ascii="Theinhardt Regular" w:hAnsi="Theinhardt Regular" w:cs="Theinhardt Regular" w:eastAsia="Theinhardt Regular"/>
          <w:spacing w:val="-1"/>
          <w:sz w:val="18"/>
          <w:szCs w:val="18"/>
        </w:rPr>
        <w:t>öffentlichen</w:t>
      </w:r>
      <w:r>
        <w:rPr>
          <w:rFonts w:ascii="Theinhardt Regular" w:hAnsi="Theinhardt Regular" w:cs="Theinhardt Regular" w:eastAsia="Theinhardt Regular"/>
          <w:spacing w:val="40"/>
          <w:sz w:val="18"/>
          <w:szCs w:val="18"/>
        </w:rPr>
        <w:t> </w:t>
      </w:r>
      <w:r>
        <w:rPr>
          <w:rFonts w:ascii="Theinhardt Regular" w:hAnsi="Theinhardt Regular" w:cs="Theinhardt Regular" w:eastAsia="Theinhardt Regular"/>
          <w:spacing w:val="1"/>
          <w:sz w:val="18"/>
          <w:szCs w:val="18"/>
        </w:rPr>
        <w:t>Netz</w:t>
      </w:r>
    </w:p>
    <w:p>
      <w:pPr>
        <w:spacing w:line="234" w:lineRule="exact" w:before="9"/>
        <w:ind w:left="166" w:right="0" w:firstLine="0"/>
        <w:jc w:val="left"/>
        <w:rPr>
          <w:rFonts w:ascii="Theinhardt Regular" w:hAnsi="Theinhardt Regular" w:cs="Theinhardt Regular" w:eastAsia="Theinhardt Regular"/>
          <w:sz w:val="18"/>
          <w:szCs w:val="18"/>
        </w:rPr>
      </w:pPr>
      <w:r>
        <w:rPr>
          <w:rFonts w:ascii="Theinhardt Regular"/>
          <w:spacing w:val="-1"/>
          <w:sz w:val="18"/>
        </w:rPr>
        <w:t>bezogen.</w:t>
      </w:r>
      <w:r>
        <w:rPr>
          <w:rFonts w:ascii="Theinhardt Regular"/>
          <w:sz w:val="18"/>
        </w:rPr>
      </w:r>
    </w:p>
    <w:p>
      <w:pPr>
        <w:spacing w:line="232" w:lineRule="auto" w:before="2"/>
        <w:ind w:left="166" w:right="0" w:firstLine="226"/>
        <w:jc w:val="both"/>
        <w:rPr>
          <w:rFonts w:ascii="Theinhardt Regular" w:hAnsi="Theinhardt Regular" w:cs="Theinhardt Regular" w:eastAsia="Theinhardt Regular"/>
          <w:sz w:val="18"/>
          <w:szCs w:val="18"/>
        </w:rPr>
      </w:pPr>
      <w:r>
        <w:rPr>
          <w:rFonts w:ascii="Theinhardt Regular" w:hAnsi="Theinhardt Regular" w:cs="Theinhardt Regular" w:eastAsia="Theinhardt Regular"/>
          <w:spacing w:val="-2"/>
          <w:sz w:val="18"/>
          <w:szCs w:val="18"/>
        </w:rPr>
        <w:t>Die</w:t>
      </w:r>
      <w:r>
        <w:rPr>
          <w:rFonts w:ascii="Theinhardt Regular" w:hAnsi="Theinhardt Regular" w:cs="Theinhardt Regular" w:eastAsia="Theinhardt Regular"/>
          <w:spacing w:val="-7"/>
          <w:sz w:val="18"/>
          <w:szCs w:val="18"/>
        </w:rPr>
        <w:t> </w:t>
      </w:r>
      <w:r>
        <w:rPr>
          <w:rFonts w:ascii="Theinhardt Regular" w:hAnsi="Theinhardt Regular" w:cs="Theinhardt Regular" w:eastAsia="Theinhardt Regular"/>
          <w:spacing w:val="-1"/>
          <w:sz w:val="18"/>
          <w:szCs w:val="18"/>
        </w:rPr>
        <w:t>vornehmlich</w:t>
      </w:r>
      <w:r>
        <w:rPr>
          <w:rFonts w:ascii="Theinhardt Regular" w:hAnsi="Theinhardt Regular" w:cs="Theinhardt Regular" w:eastAsia="Theinhardt Regular"/>
          <w:spacing w:val="-7"/>
          <w:sz w:val="18"/>
          <w:szCs w:val="18"/>
        </w:rPr>
        <w:t> </w:t>
      </w:r>
      <w:r>
        <w:rPr>
          <w:rFonts w:ascii="Theinhardt Regular" w:hAnsi="Theinhardt Regular" w:cs="Theinhardt Regular" w:eastAsia="Theinhardt Regular"/>
          <w:spacing w:val="-2"/>
          <w:sz w:val="18"/>
          <w:szCs w:val="18"/>
        </w:rPr>
        <w:t>älteren</w:t>
      </w:r>
      <w:r>
        <w:rPr>
          <w:rFonts w:ascii="Theinhardt Regular" w:hAnsi="Theinhardt Regular" w:cs="Theinhardt Regular" w:eastAsia="Theinhardt Regular"/>
          <w:spacing w:val="-7"/>
          <w:sz w:val="18"/>
          <w:szCs w:val="18"/>
        </w:rPr>
        <w:t> </w:t>
      </w:r>
      <w:r>
        <w:rPr>
          <w:rFonts w:ascii="Theinhardt Regular" w:hAnsi="Theinhardt Regular" w:cs="Theinhardt Regular" w:eastAsia="Theinhardt Regular"/>
          <w:spacing w:val="-1"/>
          <w:sz w:val="18"/>
          <w:szCs w:val="18"/>
        </w:rPr>
        <w:t>Bewohner/innen</w:t>
      </w:r>
      <w:r>
        <w:rPr>
          <w:rFonts w:ascii="Theinhardt Regular" w:hAnsi="Theinhardt Regular" w:cs="Theinhardt Regular" w:eastAsia="Theinhardt Regular"/>
          <w:spacing w:val="28"/>
          <w:sz w:val="18"/>
          <w:szCs w:val="18"/>
        </w:rPr>
        <w:t> </w:t>
      </w:r>
      <w:r>
        <w:rPr>
          <w:rFonts w:ascii="Theinhardt Regular" w:hAnsi="Theinhardt Regular" w:cs="Theinhardt Regular" w:eastAsia="Theinhardt Regular"/>
          <w:spacing w:val="-1"/>
          <w:sz w:val="18"/>
          <w:szCs w:val="18"/>
        </w:rPr>
        <w:t>sollen</w:t>
      </w:r>
      <w:r>
        <w:rPr>
          <w:rFonts w:ascii="Theinhardt Regular" w:hAnsi="Theinhardt Regular" w:cs="Theinhardt Regular" w:eastAsia="Theinhardt Regular"/>
          <w:spacing w:val="-11"/>
          <w:sz w:val="18"/>
          <w:szCs w:val="18"/>
        </w:rPr>
        <w:t> </w:t>
      </w:r>
      <w:r>
        <w:rPr>
          <w:rFonts w:ascii="Theinhardt Regular" w:hAnsi="Theinhardt Regular" w:cs="Theinhardt Regular" w:eastAsia="Theinhardt Regular"/>
          <w:spacing w:val="-1"/>
          <w:sz w:val="18"/>
          <w:szCs w:val="18"/>
        </w:rPr>
        <w:t>in</w:t>
      </w:r>
      <w:r>
        <w:rPr>
          <w:rFonts w:ascii="Theinhardt Regular" w:hAnsi="Theinhardt Regular" w:cs="Theinhardt Regular" w:eastAsia="Theinhardt Regular"/>
          <w:spacing w:val="-11"/>
          <w:sz w:val="18"/>
          <w:szCs w:val="18"/>
        </w:rPr>
        <w:t> </w:t>
      </w:r>
      <w:r>
        <w:rPr>
          <w:rFonts w:ascii="Theinhardt Regular" w:hAnsi="Theinhardt Regular" w:cs="Theinhardt Regular" w:eastAsia="Theinhardt Regular"/>
          <w:spacing w:val="-1"/>
          <w:sz w:val="18"/>
          <w:szCs w:val="18"/>
        </w:rPr>
        <w:t>einem</w:t>
      </w:r>
      <w:r>
        <w:rPr>
          <w:rFonts w:ascii="Theinhardt Regular" w:hAnsi="Theinhardt Regular" w:cs="Theinhardt Regular" w:eastAsia="Theinhardt Regular"/>
          <w:spacing w:val="-11"/>
          <w:sz w:val="18"/>
          <w:szCs w:val="18"/>
        </w:rPr>
        <w:t> </w:t>
      </w:r>
      <w:r>
        <w:rPr>
          <w:rFonts w:ascii="Theinhardt Regular" w:hAnsi="Theinhardt Regular" w:cs="Theinhardt Regular" w:eastAsia="Theinhardt Regular"/>
          <w:spacing w:val="-1"/>
          <w:sz w:val="18"/>
          <w:szCs w:val="18"/>
        </w:rPr>
        <w:t>Haus</w:t>
      </w:r>
      <w:r>
        <w:rPr>
          <w:rFonts w:ascii="Theinhardt Regular" w:hAnsi="Theinhardt Regular" w:cs="Theinhardt Regular" w:eastAsia="Theinhardt Regular"/>
          <w:spacing w:val="-11"/>
          <w:sz w:val="18"/>
          <w:szCs w:val="18"/>
        </w:rPr>
        <w:t> </w:t>
      </w:r>
      <w:r>
        <w:rPr>
          <w:rFonts w:ascii="Theinhardt Regular" w:hAnsi="Theinhardt Regular" w:cs="Theinhardt Regular" w:eastAsia="Theinhardt Regular"/>
          <w:spacing w:val="-1"/>
          <w:sz w:val="18"/>
          <w:szCs w:val="18"/>
        </w:rPr>
        <w:t>wohnen,</w:t>
      </w:r>
      <w:r>
        <w:rPr>
          <w:rFonts w:ascii="Theinhardt Regular" w:hAnsi="Theinhardt Regular" w:cs="Theinhardt Regular" w:eastAsia="Theinhardt Regular"/>
          <w:spacing w:val="-21"/>
          <w:sz w:val="18"/>
          <w:szCs w:val="18"/>
        </w:rPr>
        <w:t> </w:t>
      </w:r>
      <w:r>
        <w:rPr>
          <w:rFonts w:ascii="Theinhardt Regular" w:hAnsi="Theinhardt Regular" w:cs="Theinhardt Regular" w:eastAsia="Theinhardt Regular"/>
          <w:sz w:val="18"/>
          <w:szCs w:val="18"/>
        </w:rPr>
        <w:t>das</w:t>
      </w:r>
      <w:r>
        <w:rPr>
          <w:rFonts w:ascii="Theinhardt Regular" w:hAnsi="Theinhardt Regular" w:cs="Theinhardt Regular" w:eastAsia="Theinhardt Regular"/>
          <w:spacing w:val="-11"/>
          <w:sz w:val="18"/>
          <w:szCs w:val="18"/>
        </w:rPr>
        <w:t> </w:t>
      </w:r>
      <w:r>
        <w:rPr>
          <w:rFonts w:ascii="Theinhardt Regular" w:hAnsi="Theinhardt Regular" w:cs="Theinhardt Regular" w:eastAsia="Theinhardt Regular"/>
          <w:spacing w:val="-1"/>
          <w:sz w:val="18"/>
          <w:szCs w:val="18"/>
        </w:rPr>
        <w:t>die</w:t>
      </w:r>
      <w:r>
        <w:rPr>
          <w:rFonts w:ascii="Theinhardt Regular" w:hAnsi="Theinhardt Regular" w:cs="Theinhardt Regular" w:eastAsia="Theinhardt Regular"/>
          <w:spacing w:val="-11"/>
          <w:sz w:val="18"/>
          <w:szCs w:val="18"/>
        </w:rPr>
        <w:t> </w:t>
      </w:r>
      <w:r>
        <w:rPr>
          <w:rFonts w:ascii="Theinhardt Regular" w:hAnsi="Theinhardt Regular" w:cs="Theinhardt Regular" w:eastAsia="Theinhardt Regular"/>
          <w:spacing w:val="-2"/>
          <w:sz w:val="18"/>
          <w:szCs w:val="18"/>
        </w:rPr>
        <w:t>Anfor-</w:t>
      </w:r>
      <w:r>
        <w:rPr>
          <w:rFonts w:ascii="Theinhardt Regular" w:hAnsi="Theinhardt Regular" w:cs="Theinhardt Regular" w:eastAsia="Theinhardt Regular"/>
          <w:spacing w:val="21"/>
          <w:sz w:val="18"/>
          <w:szCs w:val="18"/>
        </w:rPr>
        <w:t> </w:t>
      </w:r>
      <w:r>
        <w:rPr>
          <w:rFonts w:ascii="Theinhardt Regular" w:hAnsi="Theinhardt Regular" w:cs="Theinhardt Regular" w:eastAsia="Theinhardt Regular"/>
          <w:spacing w:val="-1"/>
          <w:sz w:val="18"/>
          <w:szCs w:val="18"/>
        </w:rPr>
        <w:t>derungen</w:t>
      </w:r>
      <w:r>
        <w:rPr>
          <w:rFonts w:ascii="Theinhardt Regular" w:hAnsi="Theinhardt Regular" w:cs="Theinhardt Regular" w:eastAsia="Theinhardt Regular"/>
          <w:spacing w:val="40"/>
          <w:sz w:val="18"/>
          <w:szCs w:val="18"/>
        </w:rPr>
        <w:t> </w:t>
      </w:r>
      <w:r>
        <w:rPr>
          <w:rFonts w:ascii="Theinhardt Regular" w:hAnsi="Theinhardt Regular" w:cs="Theinhardt Regular" w:eastAsia="Theinhardt Regular"/>
          <w:spacing w:val="-1"/>
          <w:sz w:val="18"/>
          <w:szCs w:val="18"/>
        </w:rPr>
        <w:t>der</w:t>
      </w:r>
      <w:r>
        <w:rPr>
          <w:rFonts w:ascii="Theinhardt Regular" w:hAnsi="Theinhardt Regular" w:cs="Theinhardt Regular" w:eastAsia="Theinhardt Regular"/>
          <w:spacing w:val="41"/>
          <w:sz w:val="18"/>
          <w:szCs w:val="18"/>
        </w:rPr>
        <w:t> </w:t>
      </w:r>
      <w:r>
        <w:rPr>
          <w:rFonts w:ascii="Theinhardt Regular" w:hAnsi="Theinhardt Regular" w:cs="Theinhardt Regular" w:eastAsia="Theinhardt Regular"/>
          <w:spacing w:val="-2"/>
          <w:sz w:val="18"/>
          <w:szCs w:val="18"/>
        </w:rPr>
        <w:t>2’000-Watt-Gesellschaft</w:t>
      </w:r>
      <w:r>
        <w:rPr>
          <w:rFonts w:ascii="Theinhardt Regular" w:hAnsi="Theinhardt Regular" w:cs="Theinhardt Regular" w:eastAsia="Theinhardt Regular"/>
          <w:spacing w:val="40"/>
          <w:sz w:val="18"/>
          <w:szCs w:val="18"/>
        </w:rPr>
        <w:t> </w:t>
      </w:r>
      <w:r>
        <w:rPr>
          <w:rFonts w:ascii="Theinhardt Regular" w:hAnsi="Theinhardt Regular" w:cs="Theinhardt Regular" w:eastAsia="Theinhardt Regular"/>
          <w:spacing w:val="-1"/>
          <w:sz w:val="18"/>
          <w:szCs w:val="18"/>
        </w:rPr>
        <w:t>er-</w:t>
      </w:r>
      <w:r>
        <w:rPr>
          <w:rFonts w:ascii="Theinhardt Regular" w:hAnsi="Theinhardt Regular" w:cs="Theinhardt Regular" w:eastAsia="Theinhardt Regular"/>
          <w:spacing w:val="49"/>
          <w:sz w:val="18"/>
          <w:szCs w:val="18"/>
        </w:rPr>
        <w:t> </w:t>
      </w:r>
      <w:r>
        <w:rPr>
          <w:rFonts w:ascii="Theinhardt Regular" w:hAnsi="Theinhardt Regular" w:cs="Theinhardt Regular" w:eastAsia="Theinhardt Regular"/>
          <w:sz w:val="18"/>
          <w:szCs w:val="18"/>
        </w:rPr>
        <w:t>füllt.</w:t>
      </w:r>
      <w:r>
        <w:rPr>
          <w:rFonts w:ascii="Theinhardt Regular" w:hAnsi="Theinhardt Regular" w:cs="Theinhardt Regular" w:eastAsia="Theinhardt Regular"/>
          <w:spacing w:val="-7"/>
          <w:sz w:val="18"/>
          <w:szCs w:val="18"/>
        </w:rPr>
        <w:t> </w:t>
      </w:r>
      <w:r>
        <w:rPr>
          <w:rFonts w:ascii="Theinhardt Regular" w:hAnsi="Theinhardt Regular" w:cs="Theinhardt Regular" w:eastAsia="Theinhardt Regular"/>
          <w:spacing w:val="-1"/>
          <w:sz w:val="18"/>
          <w:szCs w:val="18"/>
        </w:rPr>
        <w:t>Um</w:t>
      </w:r>
      <w:r>
        <w:rPr>
          <w:rFonts w:ascii="Theinhardt Regular" w:hAnsi="Theinhardt Regular" w:cs="Theinhardt Regular" w:eastAsia="Theinhardt Regular"/>
          <w:spacing w:val="4"/>
          <w:sz w:val="18"/>
          <w:szCs w:val="18"/>
        </w:rPr>
        <w:t> </w:t>
      </w:r>
      <w:r>
        <w:rPr>
          <w:rFonts w:ascii="Theinhardt Regular" w:hAnsi="Theinhardt Regular" w:cs="Theinhardt Regular" w:eastAsia="Theinhardt Regular"/>
          <w:spacing w:val="-1"/>
          <w:sz w:val="18"/>
          <w:szCs w:val="18"/>
        </w:rPr>
        <w:t>zu</w:t>
      </w:r>
      <w:r>
        <w:rPr>
          <w:rFonts w:ascii="Theinhardt Regular" w:hAnsi="Theinhardt Regular" w:cs="Theinhardt Regular" w:eastAsia="Theinhardt Regular"/>
          <w:spacing w:val="4"/>
          <w:sz w:val="18"/>
          <w:szCs w:val="18"/>
        </w:rPr>
        <w:t> </w:t>
      </w:r>
      <w:r>
        <w:rPr>
          <w:rFonts w:ascii="Theinhardt Regular" w:hAnsi="Theinhardt Regular" w:cs="Theinhardt Regular" w:eastAsia="Theinhardt Regular"/>
          <w:spacing w:val="-2"/>
          <w:sz w:val="18"/>
          <w:szCs w:val="18"/>
        </w:rPr>
        <w:t>überprüfen,</w:t>
      </w:r>
      <w:r>
        <w:rPr>
          <w:rFonts w:ascii="Theinhardt Regular" w:hAnsi="Theinhardt Regular" w:cs="Theinhardt Regular" w:eastAsia="Theinhardt Regular"/>
          <w:spacing w:val="-7"/>
          <w:sz w:val="18"/>
          <w:szCs w:val="18"/>
        </w:rPr>
        <w:t> </w:t>
      </w:r>
      <w:r>
        <w:rPr>
          <w:rFonts w:ascii="Theinhardt Regular" w:hAnsi="Theinhardt Regular" w:cs="Theinhardt Regular" w:eastAsia="Theinhardt Regular"/>
          <w:spacing w:val="-1"/>
          <w:sz w:val="18"/>
          <w:szCs w:val="18"/>
        </w:rPr>
        <w:t>ob</w:t>
      </w:r>
      <w:r>
        <w:rPr>
          <w:rFonts w:ascii="Theinhardt Regular" w:hAnsi="Theinhardt Regular" w:cs="Theinhardt Regular" w:eastAsia="Theinhardt Regular"/>
          <w:spacing w:val="4"/>
          <w:sz w:val="18"/>
          <w:szCs w:val="18"/>
        </w:rPr>
        <w:t> </w:t>
      </w:r>
      <w:r>
        <w:rPr>
          <w:rFonts w:ascii="Theinhardt Regular" w:hAnsi="Theinhardt Regular" w:cs="Theinhardt Regular" w:eastAsia="Theinhardt Regular"/>
          <w:spacing w:val="-1"/>
          <w:sz w:val="18"/>
          <w:szCs w:val="18"/>
        </w:rPr>
        <w:t>dieses</w:t>
      </w:r>
      <w:r>
        <w:rPr>
          <w:rFonts w:ascii="Theinhardt Regular" w:hAnsi="Theinhardt Regular" w:cs="Theinhardt Regular" w:eastAsia="Theinhardt Regular"/>
          <w:spacing w:val="4"/>
          <w:sz w:val="18"/>
          <w:szCs w:val="18"/>
        </w:rPr>
        <w:t> </w:t>
      </w:r>
      <w:r>
        <w:rPr>
          <w:rFonts w:ascii="Theinhardt Regular" w:hAnsi="Theinhardt Regular" w:cs="Theinhardt Regular" w:eastAsia="Theinhardt Regular"/>
          <w:spacing w:val="-1"/>
          <w:sz w:val="18"/>
          <w:szCs w:val="18"/>
        </w:rPr>
        <w:t>Ziel</w:t>
      </w:r>
      <w:r>
        <w:rPr>
          <w:rFonts w:ascii="Theinhardt Regular" w:hAnsi="Theinhardt Regular" w:cs="Theinhardt Regular" w:eastAsia="Theinhardt Regular"/>
          <w:spacing w:val="4"/>
          <w:sz w:val="18"/>
          <w:szCs w:val="18"/>
        </w:rPr>
        <w:t> </w:t>
      </w:r>
      <w:r>
        <w:rPr>
          <w:rFonts w:ascii="Theinhardt Regular" w:hAnsi="Theinhardt Regular" w:cs="Theinhardt Regular" w:eastAsia="Theinhardt Regular"/>
          <w:spacing w:val="-1"/>
          <w:sz w:val="18"/>
          <w:szCs w:val="18"/>
        </w:rPr>
        <w:t>auch</w:t>
      </w:r>
      <w:r>
        <w:rPr>
          <w:rFonts w:ascii="Theinhardt Regular" w:hAnsi="Theinhardt Regular" w:cs="Theinhardt Regular" w:eastAsia="Theinhardt Regular"/>
          <w:spacing w:val="26"/>
          <w:sz w:val="18"/>
          <w:szCs w:val="18"/>
        </w:rPr>
        <w:t> </w:t>
      </w:r>
      <w:r>
        <w:rPr>
          <w:rFonts w:ascii="Theinhardt Regular" w:hAnsi="Theinhardt Regular" w:cs="Theinhardt Regular" w:eastAsia="Theinhardt Regular"/>
          <w:spacing w:val="-2"/>
          <w:sz w:val="18"/>
          <w:szCs w:val="18"/>
        </w:rPr>
        <w:t>erreicht</w:t>
      </w:r>
      <w:r>
        <w:rPr>
          <w:rFonts w:ascii="Theinhardt Regular" w:hAnsi="Theinhardt Regular" w:cs="Theinhardt Regular" w:eastAsia="Theinhardt Regular"/>
          <w:spacing w:val="37"/>
          <w:sz w:val="18"/>
          <w:szCs w:val="18"/>
        </w:rPr>
        <w:t> </w:t>
      </w:r>
      <w:r>
        <w:rPr>
          <w:rFonts w:ascii="Theinhardt Regular" w:hAnsi="Theinhardt Regular" w:cs="Theinhardt Regular" w:eastAsia="Theinhardt Regular"/>
          <w:spacing w:val="-2"/>
          <w:sz w:val="18"/>
          <w:szCs w:val="18"/>
        </w:rPr>
        <w:t>wird,</w:t>
      </w:r>
      <w:r>
        <w:rPr>
          <w:rFonts w:ascii="Theinhardt Regular" w:hAnsi="Theinhardt Regular" w:cs="Theinhardt Regular" w:eastAsia="Theinhardt Regular"/>
          <w:spacing w:val="27"/>
          <w:sz w:val="18"/>
          <w:szCs w:val="18"/>
        </w:rPr>
        <w:t> </w:t>
      </w:r>
      <w:r>
        <w:rPr>
          <w:rFonts w:ascii="Theinhardt Regular" w:hAnsi="Theinhardt Regular" w:cs="Theinhardt Regular" w:eastAsia="Theinhardt Regular"/>
          <w:spacing w:val="-1"/>
          <w:sz w:val="18"/>
          <w:szCs w:val="18"/>
        </w:rPr>
        <w:t>zeichnet</w:t>
      </w:r>
      <w:r>
        <w:rPr>
          <w:rFonts w:ascii="Theinhardt Regular" w:hAnsi="Theinhardt Regular" w:cs="Theinhardt Regular" w:eastAsia="Theinhardt Regular"/>
          <w:spacing w:val="37"/>
          <w:sz w:val="18"/>
          <w:szCs w:val="18"/>
        </w:rPr>
        <w:t> </w:t>
      </w:r>
      <w:r>
        <w:rPr>
          <w:rFonts w:ascii="Theinhardt Regular" w:hAnsi="Theinhardt Regular" w:cs="Theinhardt Regular" w:eastAsia="Theinhardt Regular"/>
          <w:spacing w:val="-1"/>
          <w:sz w:val="18"/>
          <w:szCs w:val="18"/>
        </w:rPr>
        <w:t>ein</w:t>
      </w:r>
      <w:r>
        <w:rPr>
          <w:rFonts w:ascii="Theinhardt Regular" w:hAnsi="Theinhardt Regular" w:cs="Theinhardt Regular" w:eastAsia="Theinhardt Regular"/>
          <w:spacing w:val="38"/>
          <w:sz w:val="18"/>
          <w:szCs w:val="18"/>
        </w:rPr>
        <w:t> </w:t>
      </w:r>
      <w:r>
        <w:rPr>
          <w:rFonts w:ascii="Theinhardt Regular" w:hAnsi="Theinhardt Regular" w:cs="Theinhardt Regular" w:eastAsia="Theinhardt Regular"/>
          <w:spacing w:val="-2"/>
          <w:sz w:val="18"/>
          <w:szCs w:val="18"/>
        </w:rPr>
        <w:t>Monitoring-Sys-</w:t>
      </w:r>
      <w:r>
        <w:rPr>
          <w:rFonts w:ascii="Theinhardt Regular" w:hAnsi="Theinhardt Regular" w:cs="Theinhardt Regular" w:eastAsia="Theinhardt Regular"/>
          <w:spacing w:val="31"/>
          <w:sz w:val="18"/>
          <w:szCs w:val="18"/>
        </w:rPr>
        <w:t> </w:t>
      </w:r>
      <w:r>
        <w:rPr>
          <w:rFonts w:ascii="Theinhardt Regular" w:hAnsi="Theinhardt Regular" w:cs="Theinhardt Regular" w:eastAsia="Theinhardt Regular"/>
          <w:spacing w:val="-1"/>
          <w:sz w:val="18"/>
          <w:szCs w:val="18"/>
        </w:rPr>
        <w:t>tem</w:t>
      </w:r>
      <w:r>
        <w:rPr>
          <w:rFonts w:ascii="Theinhardt Regular" w:hAnsi="Theinhardt Regular" w:cs="Theinhardt Regular" w:eastAsia="Theinhardt Regular"/>
          <w:spacing w:val="27"/>
          <w:sz w:val="18"/>
          <w:szCs w:val="18"/>
        </w:rPr>
        <w:t> </w:t>
      </w:r>
      <w:r>
        <w:rPr>
          <w:rFonts w:ascii="Theinhardt Regular" w:hAnsi="Theinhardt Regular" w:cs="Theinhardt Regular" w:eastAsia="Theinhardt Regular"/>
          <w:spacing w:val="-1"/>
          <w:sz w:val="18"/>
          <w:szCs w:val="18"/>
        </w:rPr>
        <w:t>der</w:t>
      </w:r>
      <w:r>
        <w:rPr>
          <w:rFonts w:ascii="Theinhardt Regular" w:hAnsi="Theinhardt Regular" w:cs="Theinhardt Regular" w:eastAsia="Theinhardt Regular"/>
          <w:spacing w:val="28"/>
          <w:sz w:val="18"/>
          <w:szCs w:val="18"/>
        </w:rPr>
        <w:t> </w:t>
      </w:r>
      <w:r>
        <w:rPr>
          <w:rFonts w:ascii="Theinhardt Regular" w:hAnsi="Theinhardt Regular" w:cs="Theinhardt Regular" w:eastAsia="Theinhardt Regular"/>
          <w:spacing w:val="-2"/>
          <w:sz w:val="18"/>
          <w:szCs w:val="18"/>
        </w:rPr>
        <w:t>Fachhochschule</w:t>
      </w:r>
      <w:r>
        <w:rPr>
          <w:rFonts w:ascii="Theinhardt Regular" w:hAnsi="Theinhardt Regular" w:cs="Theinhardt Regular" w:eastAsia="Theinhardt Regular"/>
          <w:spacing w:val="27"/>
          <w:sz w:val="18"/>
          <w:szCs w:val="18"/>
        </w:rPr>
        <w:t> </w:t>
      </w:r>
      <w:r>
        <w:rPr>
          <w:rFonts w:ascii="Theinhardt Regular" w:hAnsi="Theinhardt Regular" w:cs="Theinhardt Regular" w:eastAsia="Theinhardt Regular"/>
          <w:spacing w:val="-2"/>
          <w:sz w:val="18"/>
          <w:szCs w:val="18"/>
        </w:rPr>
        <w:t>Nordwestschweiz</w:t>
      </w:r>
      <w:r>
        <w:rPr>
          <w:rFonts w:ascii="Theinhardt Regular" w:hAnsi="Theinhardt Regular" w:cs="Theinhardt Regular" w:eastAsia="Theinhardt Regular"/>
          <w:spacing w:val="24"/>
          <w:sz w:val="18"/>
          <w:szCs w:val="18"/>
        </w:rPr>
        <w:t> </w:t>
      </w:r>
      <w:r>
        <w:rPr>
          <w:rFonts w:ascii="Theinhardt Regular" w:hAnsi="Theinhardt Regular" w:cs="Theinhardt Regular" w:eastAsia="Theinhardt Regular"/>
          <w:spacing w:val="-2"/>
          <w:sz w:val="18"/>
          <w:szCs w:val="18"/>
        </w:rPr>
        <w:t>(FHNW)</w:t>
      </w:r>
      <w:r>
        <w:rPr>
          <w:rFonts w:ascii="Theinhardt Regular" w:hAnsi="Theinhardt Regular" w:cs="Theinhardt Regular" w:eastAsia="Theinhardt Regular"/>
          <w:spacing w:val="24"/>
          <w:sz w:val="18"/>
          <w:szCs w:val="18"/>
        </w:rPr>
        <w:t> </w:t>
      </w:r>
      <w:r>
        <w:rPr>
          <w:rFonts w:ascii="Theinhardt Regular" w:hAnsi="Theinhardt Regular" w:cs="Theinhardt Regular" w:eastAsia="Theinhardt Regular"/>
          <w:spacing w:val="-1"/>
          <w:sz w:val="18"/>
          <w:szCs w:val="18"/>
        </w:rPr>
        <w:t>über</w:t>
      </w:r>
      <w:r>
        <w:rPr>
          <w:rFonts w:ascii="Theinhardt Regular" w:hAnsi="Theinhardt Regular" w:cs="Theinhardt Regular" w:eastAsia="Theinhardt Regular"/>
          <w:spacing w:val="24"/>
          <w:sz w:val="18"/>
          <w:szCs w:val="18"/>
        </w:rPr>
        <w:t> </w:t>
      </w:r>
      <w:r>
        <w:rPr>
          <w:rFonts w:ascii="Theinhardt Regular" w:hAnsi="Theinhardt Regular" w:cs="Theinhardt Regular" w:eastAsia="Theinhardt Regular"/>
          <w:spacing w:val="-1"/>
          <w:sz w:val="18"/>
          <w:szCs w:val="18"/>
        </w:rPr>
        <w:t>einen</w:t>
      </w:r>
      <w:r>
        <w:rPr>
          <w:rFonts w:ascii="Theinhardt Regular" w:hAnsi="Theinhardt Regular" w:cs="Theinhardt Regular" w:eastAsia="Theinhardt Regular"/>
          <w:spacing w:val="24"/>
          <w:sz w:val="18"/>
          <w:szCs w:val="18"/>
        </w:rPr>
        <w:t> </w:t>
      </w:r>
      <w:r>
        <w:rPr>
          <w:rFonts w:ascii="Theinhardt Regular" w:hAnsi="Theinhardt Regular" w:cs="Theinhardt Regular" w:eastAsia="Theinhardt Regular"/>
          <w:spacing w:val="-2"/>
          <w:sz w:val="18"/>
          <w:szCs w:val="18"/>
        </w:rPr>
        <w:t>Zeitraum</w:t>
      </w:r>
      <w:r>
        <w:rPr>
          <w:rFonts w:ascii="Theinhardt Regular" w:hAnsi="Theinhardt Regular" w:cs="Theinhardt Regular" w:eastAsia="Theinhardt Regular"/>
          <w:spacing w:val="24"/>
          <w:sz w:val="18"/>
          <w:szCs w:val="18"/>
        </w:rPr>
        <w:t> </w:t>
      </w:r>
      <w:r>
        <w:rPr>
          <w:rFonts w:ascii="Theinhardt Regular" w:hAnsi="Theinhardt Regular" w:cs="Theinhardt Regular" w:eastAsia="Theinhardt Regular"/>
          <w:spacing w:val="-1"/>
          <w:sz w:val="18"/>
          <w:szCs w:val="18"/>
        </w:rPr>
        <w:t>von</w:t>
      </w:r>
      <w:r>
        <w:rPr>
          <w:rFonts w:ascii="Theinhardt Regular" w:hAnsi="Theinhardt Regular" w:cs="Theinhardt Regular" w:eastAsia="Theinhardt Regular"/>
          <w:spacing w:val="24"/>
          <w:sz w:val="18"/>
          <w:szCs w:val="18"/>
        </w:rPr>
        <w:t> </w:t>
      </w:r>
      <w:r>
        <w:rPr>
          <w:rFonts w:ascii="Theinhardt Regular" w:hAnsi="Theinhardt Regular" w:cs="Theinhardt Regular" w:eastAsia="Theinhardt Regular"/>
          <w:spacing w:val="-3"/>
          <w:sz w:val="18"/>
          <w:szCs w:val="18"/>
        </w:rPr>
        <w:t>drei</w:t>
      </w:r>
      <w:r>
        <w:rPr>
          <w:rFonts w:ascii="Theinhardt Regular" w:hAnsi="Theinhardt Regular" w:cs="Theinhardt Regular" w:eastAsia="Theinhardt Regular"/>
          <w:spacing w:val="24"/>
          <w:sz w:val="18"/>
          <w:szCs w:val="18"/>
        </w:rPr>
        <w:t> </w:t>
      </w:r>
      <w:r>
        <w:rPr>
          <w:rFonts w:ascii="Theinhardt Regular" w:hAnsi="Theinhardt Regular" w:cs="Theinhardt Regular" w:eastAsia="Theinhardt Regular"/>
          <w:spacing w:val="-1"/>
          <w:sz w:val="18"/>
          <w:szCs w:val="18"/>
        </w:rPr>
        <w:t>Jah-</w:t>
      </w:r>
      <w:r>
        <w:rPr>
          <w:rFonts w:ascii="Theinhardt Regular" w:hAnsi="Theinhardt Regular" w:cs="Theinhardt Regular" w:eastAsia="Theinhardt Regular"/>
          <w:spacing w:val="39"/>
          <w:sz w:val="18"/>
          <w:szCs w:val="18"/>
        </w:rPr>
        <w:t> </w:t>
      </w:r>
      <w:r>
        <w:rPr>
          <w:rFonts w:ascii="Theinhardt Regular" w:hAnsi="Theinhardt Regular" w:cs="Theinhardt Regular" w:eastAsia="Theinhardt Regular"/>
          <w:spacing w:val="-3"/>
          <w:sz w:val="18"/>
          <w:szCs w:val="18"/>
        </w:rPr>
        <w:t>ren</w:t>
      </w:r>
      <w:r>
        <w:rPr>
          <w:rFonts w:ascii="Theinhardt Regular" w:hAnsi="Theinhardt Regular" w:cs="Theinhardt Regular" w:eastAsia="Theinhardt Regular"/>
          <w:spacing w:val="-4"/>
          <w:sz w:val="18"/>
          <w:szCs w:val="18"/>
        </w:rPr>
        <w:t> </w:t>
      </w:r>
      <w:r>
        <w:rPr>
          <w:rFonts w:ascii="Theinhardt Regular" w:hAnsi="Theinhardt Regular" w:cs="Theinhardt Regular" w:eastAsia="Theinhardt Regular"/>
          <w:spacing w:val="-2"/>
          <w:sz w:val="18"/>
          <w:szCs w:val="18"/>
        </w:rPr>
        <w:t>hinweg</w:t>
      </w:r>
      <w:r>
        <w:rPr>
          <w:rFonts w:ascii="Theinhardt Regular" w:hAnsi="Theinhardt Regular" w:cs="Theinhardt Regular" w:eastAsia="Theinhardt Regular"/>
          <w:spacing w:val="-4"/>
          <w:sz w:val="18"/>
          <w:szCs w:val="18"/>
        </w:rPr>
        <w:t> </w:t>
      </w:r>
      <w:r>
        <w:rPr>
          <w:rFonts w:ascii="Theinhardt Regular" w:hAnsi="Theinhardt Regular" w:cs="Theinhardt Regular" w:eastAsia="Theinhardt Regular"/>
          <w:spacing w:val="-1"/>
          <w:sz w:val="18"/>
          <w:szCs w:val="18"/>
        </w:rPr>
        <w:t>sämtliche</w:t>
      </w:r>
      <w:r>
        <w:rPr>
          <w:rFonts w:ascii="Theinhardt Regular" w:hAnsi="Theinhardt Regular" w:cs="Theinhardt Regular" w:eastAsia="Theinhardt Regular"/>
          <w:spacing w:val="-4"/>
          <w:sz w:val="18"/>
          <w:szCs w:val="18"/>
        </w:rPr>
        <w:t> </w:t>
      </w:r>
      <w:r>
        <w:rPr>
          <w:rFonts w:ascii="Theinhardt Regular" w:hAnsi="Theinhardt Regular" w:cs="Theinhardt Regular" w:eastAsia="Theinhardt Regular"/>
          <w:spacing w:val="-2"/>
          <w:sz w:val="18"/>
          <w:szCs w:val="18"/>
        </w:rPr>
        <w:t>Energieflüsse</w:t>
      </w:r>
      <w:r>
        <w:rPr>
          <w:rFonts w:ascii="Theinhardt Regular" w:hAnsi="Theinhardt Regular" w:cs="Theinhardt Regular" w:eastAsia="Theinhardt Regular"/>
          <w:spacing w:val="-4"/>
          <w:sz w:val="18"/>
          <w:szCs w:val="18"/>
        </w:rPr>
        <w:t> </w:t>
      </w:r>
      <w:r>
        <w:rPr>
          <w:rFonts w:ascii="Theinhardt Regular" w:hAnsi="Theinhardt Regular" w:cs="Theinhardt Regular" w:eastAsia="Theinhardt Regular"/>
          <w:spacing w:val="-3"/>
          <w:sz w:val="18"/>
          <w:szCs w:val="18"/>
        </w:rPr>
        <w:t>auf.</w:t>
      </w:r>
      <w:r>
        <w:rPr>
          <w:rFonts w:ascii="Theinhardt Regular" w:hAnsi="Theinhardt Regular" w:cs="Theinhardt Regular" w:eastAsia="Theinhardt Regular"/>
          <w:spacing w:val="-15"/>
          <w:sz w:val="18"/>
          <w:szCs w:val="18"/>
        </w:rPr>
        <w:t> </w:t>
      </w:r>
      <w:r>
        <w:rPr>
          <w:rFonts w:ascii="Theinhardt Regular" w:hAnsi="Theinhardt Regular" w:cs="Theinhardt Regular" w:eastAsia="Theinhardt Regular"/>
          <w:sz w:val="18"/>
          <w:szCs w:val="18"/>
        </w:rPr>
        <w:t>Das</w:t>
      </w:r>
      <w:r>
        <w:rPr>
          <w:rFonts w:ascii="Theinhardt Regular" w:hAnsi="Theinhardt Regular" w:cs="Theinhardt Regular" w:eastAsia="Theinhardt Regular"/>
          <w:spacing w:val="33"/>
          <w:sz w:val="18"/>
          <w:szCs w:val="18"/>
        </w:rPr>
        <w:t> </w:t>
      </w:r>
      <w:r>
        <w:rPr>
          <w:rFonts w:ascii="Theinhardt Regular" w:hAnsi="Theinhardt Regular" w:cs="Theinhardt Regular" w:eastAsia="Theinhardt Regular"/>
          <w:spacing w:val="-1"/>
          <w:sz w:val="18"/>
          <w:szCs w:val="18"/>
        </w:rPr>
        <w:t>MFH</w:t>
      </w:r>
      <w:r>
        <w:rPr>
          <w:rFonts w:ascii="Theinhardt Regular" w:hAnsi="Theinhardt Regular" w:cs="Theinhardt Regular" w:eastAsia="Theinhardt Regular"/>
          <w:spacing w:val="17"/>
          <w:sz w:val="18"/>
          <w:szCs w:val="18"/>
        </w:rPr>
        <w:t> </w:t>
      </w:r>
      <w:r>
        <w:rPr>
          <w:rFonts w:ascii="Theinhardt Regular" w:hAnsi="Theinhardt Regular" w:cs="Theinhardt Regular" w:eastAsia="Theinhardt Regular"/>
          <w:spacing w:val="-1"/>
          <w:sz w:val="18"/>
          <w:szCs w:val="18"/>
        </w:rPr>
        <w:t>an</w:t>
      </w:r>
      <w:r>
        <w:rPr>
          <w:rFonts w:ascii="Theinhardt Regular" w:hAnsi="Theinhardt Regular" w:cs="Theinhardt Regular" w:eastAsia="Theinhardt Regular"/>
          <w:spacing w:val="17"/>
          <w:sz w:val="18"/>
          <w:szCs w:val="18"/>
        </w:rPr>
        <w:t> </w:t>
      </w:r>
      <w:r>
        <w:rPr>
          <w:rFonts w:ascii="Theinhardt Regular" w:hAnsi="Theinhardt Regular" w:cs="Theinhardt Regular" w:eastAsia="Theinhardt Regular"/>
          <w:spacing w:val="-1"/>
          <w:sz w:val="18"/>
          <w:szCs w:val="18"/>
        </w:rPr>
        <w:t>der</w:t>
      </w:r>
      <w:r>
        <w:rPr>
          <w:rFonts w:ascii="Theinhardt Regular" w:hAnsi="Theinhardt Regular" w:cs="Theinhardt Regular" w:eastAsia="Theinhardt Regular"/>
          <w:spacing w:val="17"/>
          <w:sz w:val="18"/>
          <w:szCs w:val="18"/>
        </w:rPr>
        <w:t> </w:t>
      </w:r>
      <w:r>
        <w:rPr>
          <w:rFonts w:ascii="Theinhardt Regular" w:hAnsi="Theinhardt Regular" w:cs="Theinhardt Regular" w:eastAsia="Theinhardt Regular"/>
          <w:spacing w:val="-2"/>
          <w:sz w:val="18"/>
          <w:szCs w:val="18"/>
        </w:rPr>
        <w:t>Aescherstrasse</w:t>
      </w:r>
      <w:r>
        <w:rPr>
          <w:rFonts w:ascii="Theinhardt Regular" w:hAnsi="Theinhardt Regular" w:cs="Theinhardt Regular" w:eastAsia="Theinhardt Regular"/>
          <w:spacing w:val="17"/>
          <w:sz w:val="18"/>
          <w:szCs w:val="18"/>
        </w:rPr>
        <w:t> </w:t>
      </w:r>
      <w:r>
        <w:rPr>
          <w:rFonts w:ascii="Theinhardt Regular" w:hAnsi="Theinhardt Regular" w:cs="Theinhardt Regular" w:eastAsia="Theinhardt Regular"/>
          <w:spacing w:val="-1"/>
          <w:sz w:val="18"/>
          <w:szCs w:val="18"/>
        </w:rPr>
        <w:t>in</w:t>
      </w:r>
      <w:r>
        <w:rPr>
          <w:rFonts w:ascii="Theinhardt Regular" w:hAnsi="Theinhardt Regular" w:cs="Theinhardt Regular" w:eastAsia="Theinhardt Regular"/>
          <w:spacing w:val="17"/>
          <w:sz w:val="18"/>
          <w:szCs w:val="18"/>
        </w:rPr>
        <w:t> </w:t>
      </w:r>
      <w:r>
        <w:rPr>
          <w:rFonts w:ascii="Theinhardt Regular" w:hAnsi="Theinhardt Regular" w:cs="Theinhardt Regular" w:eastAsia="Theinhardt Regular"/>
          <w:sz w:val="18"/>
          <w:szCs w:val="18"/>
        </w:rPr>
        <w:t>Basel</w:t>
      </w:r>
      <w:r>
        <w:rPr>
          <w:rFonts w:ascii="Theinhardt Regular" w:hAnsi="Theinhardt Regular" w:cs="Theinhardt Regular" w:eastAsia="Theinhardt Regular"/>
          <w:spacing w:val="17"/>
          <w:sz w:val="18"/>
          <w:szCs w:val="18"/>
        </w:rPr>
        <w:t> </w:t>
      </w:r>
      <w:r>
        <w:rPr>
          <w:rFonts w:ascii="Theinhardt Regular" w:hAnsi="Theinhardt Regular" w:cs="Theinhardt Regular" w:eastAsia="Theinhardt Regular"/>
          <w:spacing w:val="-1"/>
          <w:sz w:val="18"/>
          <w:szCs w:val="18"/>
        </w:rPr>
        <w:t>erhält</w:t>
      </w:r>
      <w:r>
        <w:rPr>
          <w:rFonts w:ascii="Theinhardt Regular" w:hAnsi="Theinhardt Regular" w:cs="Theinhardt Regular" w:eastAsia="Theinhardt Regular"/>
          <w:spacing w:val="33"/>
          <w:sz w:val="18"/>
          <w:szCs w:val="18"/>
        </w:rPr>
        <w:t> </w:t>
      </w:r>
      <w:r>
        <w:rPr>
          <w:rFonts w:ascii="Theinhardt Regular" w:hAnsi="Theinhardt Regular" w:cs="Theinhardt Regular" w:eastAsia="Theinhardt Regular"/>
          <w:spacing w:val="-1"/>
          <w:sz w:val="18"/>
          <w:szCs w:val="18"/>
        </w:rPr>
        <w:t>dafür</w:t>
      </w:r>
      <w:r>
        <w:rPr>
          <w:rFonts w:ascii="Theinhardt Regular" w:hAnsi="Theinhardt Regular" w:cs="Theinhardt Regular" w:eastAsia="Theinhardt Regular"/>
          <w:spacing w:val="-2"/>
          <w:sz w:val="18"/>
          <w:szCs w:val="18"/>
        </w:rPr>
        <w:t> </w:t>
      </w:r>
      <w:r>
        <w:rPr>
          <w:rFonts w:ascii="Theinhardt Regular" w:hAnsi="Theinhardt Regular" w:cs="Theinhardt Regular" w:eastAsia="Theinhardt Regular"/>
          <w:spacing w:val="-1"/>
          <w:sz w:val="18"/>
          <w:szCs w:val="18"/>
        </w:rPr>
        <w:t>den</w:t>
      </w:r>
      <w:r>
        <w:rPr>
          <w:rFonts w:ascii="Theinhardt Regular" w:hAnsi="Theinhardt Regular" w:cs="Theinhardt Regular" w:eastAsia="Theinhardt Regular"/>
          <w:spacing w:val="-2"/>
          <w:sz w:val="18"/>
          <w:szCs w:val="18"/>
        </w:rPr>
        <w:t> Schweizer Solarpreis </w:t>
      </w:r>
      <w:r>
        <w:rPr>
          <w:rFonts w:ascii="Theinhardt Regular" w:hAnsi="Theinhardt Regular" w:cs="Theinhardt Regular" w:eastAsia="Theinhardt Regular"/>
          <w:spacing w:val="-1"/>
          <w:sz w:val="18"/>
          <w:szCs w:val="18"/>
        </w:rPr>
        <w:t>2016.</w:t>
      </w:r>
      <w:r>
        <w:rPr>
          <w:rFonts w:ascii="Theinhardt Regular" w:hAnsi="Theinhardt Regular" w:cs="Theinhardt Regular" w:eastAsia="Theinhardt Regular"/>
          <w:sz w:val="18"/>
          <w:szCs w:val="18"/>
        </w:rPr>
      </w:r>
    </w:p>
    <w:p>
      <w:pPr>
        <w:pStyle w:val="BodyText"/>
        <w:spacing w:line="230" w:lineRule="exact" w:before="7"/>
        <w:ind w:right="0" w:firstLine="0"/>
        <w:jc w:val="both"/>
        <w:rPr>
          <w:i w:val="0"/>
        </w:rPr>
      </w:pPr>
      <w:r>
        <w:rPr>
          <w:i w:val="0"/>
        </w:rPr>
        <w:br w:type="column"/>
      </w:r>
      <w:r>
        <w:rPr>
          <w:spacing w:val="-2"/>
        </w:rPr>
        <w:t>posée</w:t>
      </w:r>
      <w:r>
        <w:rPr>
          <w:spacing w:val="21"/>
        </w:rPr>
        <w:t> </w:t>
      </w:r>
      <w:r>
        <w:rPr>
          <w:spacing w:val="-2"/>
        </w:rPr>
        <w:t>de</w:t>
      </w:r>
      <w:r>
        <w:rPr>
          <w:spacing w:val="21"/>
        </w:rPr>
        <w:t> </w:t>
      </w:r>
      <w:r>
        <w:rPr>
          <w:spacing w:val="-2"/>
        </w:rPr>
        <w:t>cellules</w:t>
      </w:r>
      <w:r>
        <w:rPr>
          <w:spacing w:val="21"/>
        </w:rPr>
        <w:t> </w:t>
      </w:r>
      <w:r>
        <w:rPr>
          <w:spacing w:val="-2"/>
        </w:rPr>
        <w:t>monocristallines</w:t>
      </w:r>
      <w:r>
        <w:rPr>
          <w:spacing w:val="21"/>
        </w:rPr>
        <w:t> </w:t>
      </w:r>
      <w:r>
        <w:rPr>
          <w:spacing w:val="-1"/>
        </w:rPr>
        <w:t>et</w:t>
      </w:r>
      <w:r>
        <w:rPr>
          <w:spacing w:val="21"/>
        </w:rPr>
        <w:t> </w:t>
      </w:r>
      <w:r>
        <w:rPr>
          <w:spacing w:val="-2"/>
        </w:rPr>
        <w:t>intég-</w:t>
      </w:r>
      <w:r>
        <w:rPr>
          <w:spacing w:val="39"/>
        </w:rPr>
        <w:t> </w:t>
      </w:r>
      <w:r>
        <w:rPr>
          <w:spacing w:val="-3"/>
        </w:rPr>
        <w:t>rée</w:t>
      </w:r>
      <w:r>
        <w:rPr>
          <w:spacing w:val="-5"/>
        </w:rPr>
        <w:t> </w:t>
      </w:r>
      <w:r>
        <w:rPr/>
        <w:t>au</w:t>
      </w:r>
      <w:r>
        <w:rPr>
          <w:spacing w:val="-5"/>
        </w:rPr>
        <w:t> </w:t>
      </w:r>
      <w:r>
        <w:rPr>
          <w:spacing w:val="-2"/>
        </w:rPr>
        <w:t>toit</w:t>
      </w:r>
      <w:r>
        <w:rPr>
          <w:spacing w:val="-5"/>
        </w:rPr>
        <w:t> </w:t>
      </w:r>
      <w:r>
        <w:rPr/>
        <w:t>à</w:t>
      </w:r>
      <w:r>
        <w:rPr>
          <w:spacing w:val="-5"/>
        </w:rPr>
        <w:t> </w:t>
      </w:r>
      <w:r>
        <w:rPr>
          <w:spacing w:val="-2"/>
        </w:rPr>
        <w:t>pignons</w:t>
      </w:r>
      <w:r>
        <w:rPr>
          <w:spacing w:val="-5"/>
        </w:rPr>
        <w:t> </w:t>
      </w:r>
      <w:r>
        <w:rPr>
          <w:spacing w:val="-2"/>
        </w:rPr>
        <w:t>orienté</w:t>
      </w:r>
      <w:r>
        <w:rPr>
          <w:spacing w:val="-5"/>
        </w:rPr>
        <w:t> </w:t>
      </w:r>
      <w:r>
        <w:rPr>
          <w:spacing w:val="-2"/>
        </w:rPr>
        <w:t>est-ouest</w:t>
      </w:r>
      <w:r>
        <w:rPr>
          <w:spacing w:val="-5"/>
        </w:rPr>
        <w:t> </w:t>
      </w:r>
      <w:r>
        <w:rPr>
          <w:spacing w:val="-1"/>
        </w:rPr>
        <w:t>fournit</w:t>
      </w:r>
      <w:r>
        <w:rPr>
          <w:spacing w:val="23"/>
        </w:rPr>
        <w:t> </w:t>
      </w:r>
      <w:r>
        <w:rPr>
          <w:spacing w:val="-2"/>
        </w:rPr>
        <w:t>deux</w:t>
      </w:r>
      <w:r>
        <w:rPr>
          <w:spacing w:val="-1"/>
        </w:rPr>
        <w:t> </w:t>
      </w:r>
      <w:r>
        <w:rPr>
          <w:spacing w:val="-2"/>
        </w:rPr>
        <w:t>pics</w:t>
      </w:r>
      <w:r>
        <w:rPr>
          <w:spacing w:val="-1"/>
        </w:rPr>
        <w:t> </w:t>
      </w:r>
      <w:r>
        <w:rPr>
          <w:spacing w:val="-2"/>
        </w:rPr>
        <w:t>de</w:t>
      </w:r>
      <w:r>
        <w:rPr>
          <w:spacing w:val="-1"/>
        </w:rPr>
        <w:t> </w:t>
      </w:r>
      <w:r>
        <w:rPr>
          <w:spacing w:val="-2"/>
        </w:rPr>
        <w:t>puissance:</w:t>
      </w:r>
      <w:r>
        <w:rPr>
          <w:spacing w:val="-1"/>
        </w:rPr>
        <w:t> </w:t>
      </w:r>
      <w:r>
        <w:rPr>
          <w:spacing w:val="-2"/>
        </w:rPr>
        <w:t>le</w:t>
      </w:r>
      <w:r>
        <w:rPr>
          <w:spacing w:val="-1"/>
        </w:rPr>
        <w:t> matin </w:t>
      </w:r>
      <w:r>
        <w:rPr/>
        <w:t>du</w:t>
      </w:r>
      <w:r>
        <w:rPr>
          <w:spacing w:val="-1"/>
        </w:rPr>
        <w:t> </w:t>
      </w:r>
      <w:r>
        <w:rPr>
          <w:spacing w:val="-3"/>
        </w:rPr>
        <w:t>côté</w:t>
      </w:r>
      <w:r>
        <w:rPr>
          <w:spacing w:val="-1"/>
        </w:rPr>
        <w:t> est,</w:t>
      </w:r>
      <w:r>
        <w:rPr>
          <w:spacing w:val="31"/>
        </w:rPr>
        <w:t> </w:t>
      </w:r>
      <w:r>
        <w:rPr>
          <w:spacing w:val="-1"/>
        </w:rPr>
        <w:t>et</w:t>
      </w:r>
      <w:r>
        <w:rPr>
          <w:spacing w:val="-2"/>
        </w:rPr>
        <w:t> l’après-midi </w:t>
      </w:r>
      <w:r>
        <w:rPr/>
        <w:t>à</w:t>
      </w:r>
      <w:r>
        <w:rPr>
          <w:spacing w:val="-2"/>
        </w:rPr>
        <w:t> l’ouest.</w:t>
      </w:r>
      <w:r>
        <w:rPr>
          <w:i w:val="0"/>
        </w:rPr>
      </w:r>
    </w:p>
    <w:p>
      <w:pPr>
        <w:pStyle w:val="BodyText"/>
        <w:spacing w:line="230" w:lineRule="exact"/>
        <w:ind w:right="4"/>
        <w:jc w:val="both"/>
        <w:rPr>
          <w:i w:val="0"/>
        </w:rPr>
      </w:pPr>
      <w:r>
        <w:rPr>
          <w:spacing w:val="-3"/>
        </w:rPr>
        <w:t>Loin</w:t>
      </w:r>
      <w:r>
        <w:rPr>
          <w:spacing w:val="-2"/>
        </w:rPr>
        <w:t> de dénaturer le paysage,</w:t>
      </w:r>
      <w:r>
        <w:rPr>
          <w:spacing w:val="-9"/>
        </w:rPr>
        <w:t> </w:t>
      </w:r>
      <w:r>
        <w:rPr>
          <w:spacing w:val="-2"/>
        </w:rPr>
        <w:t>les lucarnes</w:t>
      </w:r>
      <w:r>
        <w:rPr>
          <w:spacing w:val="24"/>
        </w:rPr>
        <w:t> </w:t>
      </w:r>
      <w:r>
        <w:rPr>
          <w:spacing w:val="-1"/>
        </w:rPr>
        <w:t>qui</w:t>
      </w:r>
      <w:r>
        <w:rPr>
          <w:spacing w:val="23"/>
        </w:rPr>
        <w:t> </w:t>
      </w:r>
      <w:r>
        <w:rPr>
          <w:spacing w:val="-2"/>
        </w:rPr>
        <w:t>dépassent</w:t>
      </w:r>
      <w:r>
        <w:rPr>
          <w:spacing w:val="24"/>
        </w:rPr>
        <w:t> </w:t>
      </w:r>
      <w:r>
        <w:rPr/>
        <w:t>du</w:t>
      </w:r>
      <w:r>
        <w:rPr>
          <w:spacing w:val="23"/>
        </w:rPr>
        <w:t> </w:t>
      </w:r>
      <w:r>
        <w:rPr>
          <w:spacing w:val="-2"/>
        </w:rPr>
        <w:t>toit</w:t>
      </w:r>
      <w:r>
        <w:rPr>
          <w:spacing w:val="24"/>
        </w:rPr>
        <w:t> </w:t>
      </w:r>
      <w:r>
        <w:rPr>
          <w:spacing w:val="-1"/>
        </w:rPr>
        <w:t>apportent</w:t>
      </w:r>
      <w:r>
        <w:rPr>
          <w:spacing w:val="24"/>
        </w:rPr>
        <w:t> </w:t>
      </w:r>
      <w:r>
        <w:rPr>
          <w:spacing w:val="-2"/>
        </w:rPr>
        <w:t>de</w:t>
      </w:r>
      <w:r>
        <w:rPr>
          <w:spacing w:val="23"/>
        </w:rPr>
        <w:t> </w:t>
      </w:r>
      <w:r>
        <w:rPr>
          <w:spacing w:val="-3"/>
        </w:rPr>
        <w:t>l’ombre</w:t>
      </w:r>
      <w:r>
        <w:rPr>
          <w:spacing w:val="29"/>
        </w:rPr>
        <w:t> </w:t>
      </w:r>
      <w:r>
        <w:rPr/>
        <w:t>aux</w:t>
      </w:r>
      <w:r>
        <w:rPr>
          <w:spacing w:val="10"/>
        </w:rPr>
        <w:t> </w:t>
      </w:r>
      <w:r>
        <w:rPr>
          <w:spacing w:val="-2"/>
        </w:rPr>
        <w:t>différentes</w:t>
      </w:r>
      <w:r>
        <w:rPr>
          <w:spacing w:val="10"/>
        </w:rPr>
        <w:t> </w:t>
      </w:r>
      <w:r>
        <w:rPr/>
        <w:t>surfaces</w:t>
      </w:r>
      <w:r>
        <w:rPr>
          <w:spacing w:val="10"/>
        </w:rPr>
        <w:t> </w:t>
      </w:r>
      <w:r>
        <w:rPr>
          <w:spacing w:val="-2"/>
        </w:rPr>
        <w:t>de</w:t>
      </w:r>
      <w:r>
        <w:rPr>
          <w:spacing w:val="10"/>
        </w:rPr>
        <w:t> </w:t>
      </w:r>
      <w:r>
        <w:rPr/>
        <w:t>la</w:t>
      </w:r>
      <w:r>
        <w:rPr>
          <w:spacing w:val="10"/>
        </w:rPr>
        <w:t> </w:t>
      </w:r>
      <w:r>
        <w:rPr>
          <w:spacing w:val="-2"/>
        </w:rPr>
        <w:t>toiture</w:t>
      </w:r>
      <w:r>
        <w:rPr>
          <w:spacing w:val="10"/>
        </w:rPr>
        <w:t> </w:t>
      </w:r>
      <w:r>
        <w:rPr>
          <w:spacing w:val="-3"/>
        </w:rPr>
        <w:t>dotées</w:t>
      </w:r>
      <w:r>
        <w:rPr>
          <w:spacing w:val="22"/>
        </w:rPr>
        <w:t> </w:t>
      </w:r>
      <w:r>
        <w:rPr>
          <w:spacing w:val="-2"/>
        </w:rPr>
        <w:t>de</w:t>
      </w:r>
      <w:r>
        <w:rPr>
          <w:spacing w:val="23"/>
        </w:rPr>
        <w:t> </w:t>
      </w:r>
      <w:r>
        <w:rPr>
          <w:spacing w:val="-2"/>
        </w:rPr>
        <w:t>modules</w:t>
      </w:r>
      <w:r>
        <w:rPr>
          <w:spacing w:val="23"/>
        </w:rPr>
        <w:t> </w:t>
      </w:r>
      <w:r>
        <w:rPr>
          <w:spacing w:val="-2"/>
        </w:rPr>
        <w:t>aveugles,</w:t>
      </w:r>
      <w:r>
        <w:rPr>
          <w:spacing w:val="16"/>
        </w:rPr>
        <w:t> </w:t>
      </w:r>
      <w:r>
        <w:rPr>
          <w:spacing w:val="-2"/>
        </w:rPr>
        <w:t>particulièrement</w:t>
      </w:r>
      <w:r>
        <w:rPr>
          <w:spacing w:val="23"/>
        </w:rPr>
        <w:t> </w:t>
      </w:r>
      <w:r>
        <w:rPr>
          <w:spacing w:val="-2"/>
        </w:rPr>
        <w:t>inté-</w:t>
      </w:r>
      <w:r>
        <w:rPr>
          <w:spacing w:val="25"/>
        </w:rPr>
        <w:t> </w:t>
      </w:r>
      <w:r>
        <w:rPr>
          <w:spacing w:val="-2"/>
        </w:rPr>
        <w:t>ressants</w:t>
      </w:r>
      <w:r>
        <w:rPr>
          <w:spacing w:val="5"/>
        </w:rPr>
        <w:t> </w:t>
      </w:r>
      <w:r>
        <w:rPr>
          <w:spacing w:val="-1"/>
        </w:rPr>
        <w:t>pour</w:t>
      </w:r>
      <w:r>
        <w:rPr>
          <w:spacing w:val="5"/>
        </w:rPr>
        <w:t> </w:t>
      </w:r>
      <w:r>
        <w:rPr/>
        <w:t>la</w:t>
      </w:r>
      <w:r>
        <w:rPr>
          <w:spacing w:val="5"/>
        </w:rPr>
        <w:t> </w:t>
      </w:r>
      <w:r>
        <w:rPr>
          <w:spacing w:val="-2"/>
        </w:rPr>
        <w:t>production</w:t>
      </w:r>
      <w:r>
        <w:rPr>
          <w:spacing w:val="5"/>
        </w:rPr>
        <w:t> </w:t>
      </w:r>
      <w:r>
        <w:rPr>
          <w:spacing w:val="-3"/>
        </w:rPr>
        <w:t>d’énergie</w:t>
      </w:r>
      <w:r>
        <w:rPr>
          <w:spacing w:val="5"/>
        </w:rPr>
        <w:t> </w:t>
      </w:r>
      <w:r>
        <w:rPr>
          <w:spacing w:val="-2"/>
        </w:rPr>
        <w:t>solaire</w:t>
      </w:r>
      <w:r>
        <w:rPr>
          <w:spacing w:val="27"/>
        </w:rPr>
        <w:t> </w:t>
      </w:r>
      <w:r>
        <w:rPr>
          <w:spacing w:val="-3"/>
        </w:rPr>
        <w:t>avec</w:t>
      </w:r>
      <w:r>
        <w:rPr>
          <w:spacing w:val="-2"/>
        </w:rPr>
        <w:t> de </w:t>
      </w:r>
      <w:r>
        <w:rPr>
          <w:spacing w:val="-1"/>
        </w:rPr>
        <w:t>150 </w:t>
      </w:r>
      <w:r>
        <w:rPr/>
        <w:t>à</w:t>
      </w:r>
      <w:r>
        <w:rPr>
          <w:spacing w:val="-2"/>
        </w:rPr>
        <w:t> </w:t>
      </w:r>
      <w:r>
        <w:rPr>
          <w:spacing w:val="-1"/>
        </w:rPr>
        <w:t>180 </w:t>
      </w:r>
      <w:r>
        <w:rPr>
          <w:spacing w:val="-2"/>
        </w:rPr>
        <w:t>kWh/m</w:t>
      </w:r>
      <w:r>
        <w:rPr>
          <w:spacing w:val="-2"/>
          <w:position w:val="6"/>
          <w:sz w:val="10"/>
          <w:szCs w:val="10"/>
        </w:rPr>
        <w:t>2</w:t>
      </w:r>
      <w:r>
        <w:rPr>
          <w:spacing w:val="-2"/>
        </w:rPr>
        <w:t>a.</w:t>
      </w:r>
      <w:r>
        <w:rPr>
          <w:i w:val="0"/>
        </w:rPr>
      </w:r>
    </w:p>
    <w:p>
      <w:pPr>
        <w:pStyle w:val="BodyText"/>
        <w:spacing w:line="232" w:lineRule="auto" w:before="12"/>
        <w:ind w:right="5"/>
        <w:jc w:val="both"/>
        <w:rPr>
          <w:i w:val="0"/>
        </w:rPr>
      </w:pPr>
      <w:r>
        <w:rPr>
          <w:spacing w:val="-3"/>
        </w:rPr>
        <w:t>L’installation</w:t>
      </w:r>
      <w:r>
        <w:rPr>
          <w:spacing w:val="-10"/>
        </w:rPr>
        <w:t> </w:t>
      </w:r>
      <w:r>
        <w:rPr/>
        <w:t>PV</w:t>
      </w:r>
      <w:r>
        <w:rPr>
          <w:spacing w:val="-10"/>
        </w:rPr>
        <w:t> </w:t>
      </w:r>
      <w:r>
        <w:rPr>
          <w:spacing w:val="-2"/>
        </w:rPr>
        <w:t>de</w:t>
      </w:r>
      <w:r>
        <w:rPr>
          <w:spacing w:val="-10"/>
        </w:rPr>
        <w:t> </w:t>
      </w:r>
      <w:r>
        <w:rPr>
          <w:spacing w:val="-1"/>
        </w:rPr>
        <w:t>17.6</w:t>
      </w:r>
      <w:r>
        <w:rPr>
          <w:spacing w:val="-10"/>
        </w:rPr>
        <w:t> </w:t>
      </w:r>
      <w:r>
        <w:rPr>
          <w:spacing w:val="-1"/>
        </w:rPr>
        <w:t>kW</w:t>
      </w:r>
      <w:r>
        <w:rPr>
          <w:spacing w:val="-10"/>
        </w:rPr>
        <w:t> </w:t>
      </w:r>
      <w:r>
        <w:rPr>
          <w:spacing w:val="-2"/>
        </w:rPr>
        <w:t>produit</w:t>
      </w:r>
      <w:r>
        <w:rPr>
          <w:spacing w:val="-10"/>
        </w:rPr>
        <w:t> </w:t>
      </w:r>
      <w:r>
        <w:rPr/>
        <w:t>au</w:t>
      </w:r>
      <w:r>
        <w:rPr>
          <w:spacing w:val="-10"/>
        </w:rPr>
        <w:t> </w:t>
      </w:r>
      <w:r>
        <w:rPr>
          <w:spacing w:val="-2"/>
        </w:rPr>
        <w:t>to-</w:t>
      </w:r>
      <w:r>
        <w:rPr>
          <w:spacing w:val="41"/>
        </w:rPr>
        <w:t> </w:t>
      </w:r>
      <w:r>
        <w:rPr>
          <w:spacing w:val="-1"/>
        </w:rPr>
        <w:t>tal</w:t>
      </w:r>
      <w:r>
        <w:rPr>
          <w:spacing w:val="-15"/>
        </w:rPr>
        <w:t> </w:t>
      </w:r>
      <w:r>
        <w:rPr>
          <w:spacing w:val="-1"/>
        </w:rPr>
        <w:t>13’700</w:t>
      </w:r>
      <w:r>
        <w:rPr>
          <w:spacing w:val="-15"/>
        </w:rPr>
        <w:t> </w:t>
      </w:r>
      <w:r>
        <w:rPr>
          <w:spacing w:val="-3"/>
        </w:rPr>
        <w:t>kWh/a,</w:t>
      </w:r>
      <w:r>
        <w:rPr>
          <w:spacing w:val="-22"/>
        </w:rPr>
        <w:t> </w:t>
      </w:r>
      <w:r>
        <w:rPr>
          <w:spacing w:val="-1"/>
        </w:rPr>
        <w:t>couvrant</w:t>
      </w:r>
      <w:r>
        <w:rPr>
          <w:spacing w:val="-15"/>
        </w:rPr>
        <w:t> </w:t>
      </w:r>
      <w:r>
        <w:rPr>
          <w:spacing w:val="-1"/>
        </w:rPr>
        <w:t>58%</w:t>
      </w:r>
      <w:r>
        <w:rPr>
          <w:spacing w:val="-15"/>
        </w:rPr>
        <w:t> </w:t>
      </w:r>
      <w:r>
        <w:rPr>
          <w:spacing w:val="-2"/>
        </w:rPr>
        <w:t>des</w:t>
      </w:r>
      <w:r>
        <w:rPr>
          <w:spacing w:val="-15"/>
        </w:rPr>
        <w:t> </w:t>
      </w:r>
      <w:r>
        <w:rPr>
          <w:spacing w:val="-2"/>
        </w:rPr>
        <w:t>besoins</w:t>
      </w:r>
      <w:r>
        <w:rPr>
          <w:spacing w:val="28"/>
        </w:rPr>
        <w:t> </w:t>
      </w:r>
      <w:r>
        <w:rPr/>
        <w:t>du </w:t>
      </w:r>
      <w:r>
        <w:rPr>
          <w:spacing w:val="-1"/>
        </w:rPr>
        <w:t>bâtiment.</w:t>
      </w:r>
      <w:r>
        <w:rPr>
          <w:spacing w:val="-8"/>
        </w:rPr>
        <w:t> </w:t>
      </w:r>
      <w:r>
        <w:rPr>
          <w:spacing w:val="-5"/>
        </w:rPr>
        <w:t>Le</w:t>
      </w:r>
      <w:r>
        <w:rPr/>
        <w:t> </w:t>
      </w:r>
      <w:r>
        <w:rPr>
          <w:spacing w:val="-2"/>
        </w:rPr>
        <w:t>réseau</w:t>
      </w:r>
      <w:r>
        <w:rPr/>
        <w:t> </w:t>
      </w:r>
      <w:r>
        <w:rPr>
          <w:spacing w:val="-2"/>
        </w:rPr>
        <w:t>public</w:t>
      </w:r>
      <w:r>
        <w:rPr/>
        <w:t> </w:t>
      </w:r>
      <w:r>
        <w:rPr>
          <w:spacing w:val="-1"/>
        </w:rPr>
        <w:t>fournit</w:t>
      </w:r>
      <w:r>
        <w:rPr/>
        <w:t> </w:t>
      </w:r>
      <w:r>
        <w:rPr>
          <w:spacing w:val="-2"/>
        </w:rPr>
        <w:t>le</w:t>
      </w:r>
      <w:r>
        <w:rPr/>
        <w:t> </w:t>
      </w:r>
      <w:r>
        <w:rPr>
          <w:spacing w:val="-3"/>
        </w:rPr>
        <w:t>reste</w:t>
      </w:r>
      <w:r>
        <w:rPr>
          <w:spacing w:val="23"/>
        </w:rPr>
        <w:t> </w:t>
      </w:r>
      <w:r>
        <w:rPr>
          <w:spacing w:val="-2"/>
        </w:rPr>
        <w:t>sous forme </w:t>
      </w:r>
      <w:r>
        <w:rPr>
          <w:spacing w:val="-3"/>
        </w:rPr>
        <w:t>d’électricité.</w:t>
      </w:r>
      <w:r>
        <w:rPr>
          <w:i w:val="0"/>
        </w:rPr>
      </w:r>
    </w:p>
    <w:p>
      <w:pPr>
        <w:pStyle w:val="BodyText"/>
        <w:spacing w:line="232" w:lineRule="auto"/>
        <w:ind w:right="0"/>
        <w:jc w:val="both"/>
        <w:rPr>
          <w:i w:val="0"/>
        </w:rPr>
      </w:pPr>
      <w:r>
        <w:rPr>
          <w:spacing w:val="-4"/>
        </w:rPr>
        <w:t>Les</w:t>
      </w:r>
      <w:r>
        <w:rPr>
          <w:spacing w:val="9"/>
        </w:rPr>
        <w:t> </w:t>
      </w:r>
      <w:r>
        <w:rPr>
          <w:spacing w:val="-2"/>
        </w:rPr>
        <w:t>habitantes</w:t>
      </w:r>
      <w:r>
        <w:rPr>
          <w:spacing w:val="9"/>
        </w:rPr>
        <w:t> </w:t>
      </w:r>
      <w:r>
        <w:rPr>
          <w:spacing w:val="-1"/>
        </w:rPr>
        <w:t>et</w:t>
      </w:r>
      <w:r>
        <w:rPr>
          <w:spacing w:val="9"/>
        </w:rPr>
        <w:t> </w:t>
      </w:r>
      <w:r>
        <w:rPr>
          <w:spacing w:val="-1"/>
        </w:rPr>
        <w:t>habitants,</w:t>
      </w:r>
      <w:r>
        <w:rPr>
          <w:spacing w:val="2"/>
        </w:rPr>
        <w:t> </w:t>
      </w:r>
      <w:r>
        <w:rPr>
          <w:spacing w:val="-2"/>
        </w:rPr>
        <w:t>principale-</w:t>
      </w:r>
      <w:r>
        <w:rPr>
          <w:spacing w:val="49"/>
        </w:rPr>
        <w:t> </w:t>
      </w:r>
      <w:r>
        <w:rPr>
          <w:spacing w:val="-2"/>
        </w:rPr>
        <w:t>ment</w:t>
      </w:r>
      <w:r>
        <w:rPr>
          <w:spacing w:val="19"/>
        </w:rPr>
        <w:t> </w:t>
      </w:r>
      <w:r>
        <w:rPr>
          <w:spacing w:val="-2"/>
        </w:rPr>
        <w:t>des</w:t>
      </w:r>
      <w:r>
        <w:rPr>
          <w:spacing w:val="19"/>
        </w:rPr>
        <w:t> </w:t>
      </w:r>
      <w:r>
        <w:rPr>
          <w:spacing w:val="-2"/>
        </w:rPr>
        <w:t>personnes</w:t>
      </w:r>
      <w:r>
        <w:rPr>
          <w:spacing w:val="19"/>
        </w:rPr>
        <w:t> </w:t>
      </w:r>
      <w:r>
        <w:rPr>
          <w:spacing w:val="-2"/>
        </w:rPr>
        <w:t>âgées,</w:t>
      </w:r>
      <w:r>
        <w:rPr>
          <w:spacing w:val="12"/>
        </w:rPr>
        <w:t> </w:t>
      </w:r>
      <w:r>
        <w:rPr>
          <w:spacing w:val="-2"/>
        </w:rPr>
        <w:t>doivent</w:t>
      </w:r>
      <w:r>
        <w:rPr>
          <w:spacing w:val="19"/>
        </w:rPr>
        <w:t> </w:t>
      </w:r>
      <w:r>
        <w:rPr>
          <w:spacing w:val="-2"/>
        </w:rPr>
        <w:t>pouvoir</w:t>
      </w:r>
      <w:r>
        <w:rPr>
          <w:spacing w:val="35"/>
        </w:rPr>
        <w:t> </w:t>
      </w:r>
      <w:r>
        <w:rPr>
          <w:spacing w:val="-2"/>
        </w:rPr>
        <w:t>vivre</w:t>
      </w:r>
      <w:r>
        <w:rPr>
          <w:spacing w:val="12"/>
        </w:rPr>
        <w:t> </w:t>
      </w:r>
      <w:r>
        <w:rPr>
          <w:spacing w:val="-1"/>
        </w:rPr>
        <w:t>dans</w:t>
      </w:r>
      <w:r>
        <w:rPr>
          <w:spacing w:val="12"/>
        </w:rPr>
        <w:t> </w:t>
      </w:r>
      <w:r>
        <w:rPr>
          <w:spacing w:val="-1"/>
        </w:rPr>
        <w:t>un</w:t>
      </w:r>
      <w:r>
        <w:rPr>
          <w:spacing w:val="12"/>
        </w:rPr>
        <w:t> </w:t>
      </w:r>
      <w:r>
        <w:rPr>
          <w:spacing w:val="-2"/>
        </w:rPr>
        <w:t>espace</w:t>
      </w:r>
      <w:r>
        <w:rPr>
          <w:spacing w:val="12"/>
        </w:rPr>
        <w:t> </w:t>
      </w:r>
      <w:r>
        <w:rPr>
          <w:spacing w:val="-2"/>
        </w:rPr>
        <w:t>répondant</w:t>
      </w:r>
      <w:r>
        <w:rPr>
          <w:spacing w:val="12"/>
        </w:rPr>
        <w:t> </w:t>
      </w:r>
      <w:r>
        <w:rPr/>
        <w:t>aux</w:t>
      </w:r>
      <w:r>
        <w:rPr>
          <w:spacing w:val="12"/>
        </w:rPr>
        <w:t> </w:t>
      </w:r>
      <w:r>
        <w:rPr>
          <w:spacing w:val="-3"/>
        </w:rPr>
        <w:t>exigen-</w:t>
      </w:r>
      <w:r>
        <w:rPr>
          <w:spacing w:val="31"/>
        </w:rPr>
        <w:t> </w:t>
      </w:r>
      <w:r>
        <w:rPr>
          <w:spacing w:val="-2"/>
        </w:rPr>
        <w:t>ces de</w:t>
      </w:r>
      <w:r>
        <w:rPr>
          <w:spacing w:val="-1"/>
        </w:rPr>
        <w:t> </w:t>
      </w:r>
      <w:r>
        <w:rPr/>
        <w:t>la</w:t>
      </w:r>
      <w:r>
        <w:rPr>
          <w:spacing w:val="-1"/>
        </w:rPr>
        <w:t> </w:t>
      </w:r>
      <w:r>
        <w:rPr>
          <w:spacing w:val="-3"/>
        </w:rPr>
        <w:t>société</w:t>
      </w:r>
      <w:r>
        <w:rPr>
          <w:spacing w:val="-1"/>
        </w:rPr>
        <w:t> </w:t>
      </w:r>
      <w:r>
        <w:rPr/>
        <w:t>à</w:t>
      </w:r>
      <w:r>
        <w:rPr>
          <w:spacing w:val="-1"/>
        </w:rPr>
        <w:t> 2’000 </w:t>
      </w:r>
      <w:r>
        <w:rPr/>
        <w:t>watts.</w:t>
      </w:r>
      <w:r>
        <w:rPr>
          <w:spacing w:val="-8"/>
        </w:rPr>
        <w:t> </w:t>
      </w:r>
      <w:r>
        <w:rPr>
          <w:spacing w:val="-2"/>
        </w:rPr>
        <w:t>Pour</w:t>
      </w:r>
      <w:r>
        <w:rPr>
          <w:spacing w:val="-1"/>
        </w:rPr>
        <w:t> </w:t>
      </w:r>
      <w:r>
        <w:rPr>
          <w:spacing w:val="-2"/>
        </w:rPr>
        <w:t>vérifier</w:t>
      </w:r>
      <w:r>
        <w:rPr>
          <w:spacing w:val="29"/>
        </w:rPr>
        <w:t> </w:t>
      </w:r>
      <w:r>
        <w:rPr>
          <w:spacing w:val="-1"/>
        </w:rPr>
        <w:t>si</w:t>
      </w:r>
      <w:r>
        <w:rPr>
          <w:spacing w:val="-4"/>
        </w:rPr>
        <w:t> </w:t>
      </w:r>
      <w:r>
        <w:rPr>
          <w:spacing w:val="-2"/>
        </w:rPr>
        <w:t>cet</w:t>
      </w:r>
      <w:r>
        <w:rPr>
          <w:spacing w:val="-4"/>
        </w:rPr>
        <w:t> </w:t>
      </w:r>
      <w:r>
        <w:rPr>
          <w:spacing w:val="-2"/>
        </w:rPr>
        <w:t>objectif</w:t>
      </w:r>
      <w:r>
        <w:rPr>
          <w:spacing w:val="-4"/>
        </w:rPr>
        <w:t> </w:t>
      </w:r>
      <w:r>
        <w:rPr>
          <w:spacing w:val="-1"/>
        </w:rPr>
        <w:t>sera</w:t>
      </w:r>
      <w:r>
        <w:rPr>
          <w:spacing w:val="-4"/>
        </w:rPr>
        <w:t> </w:t>
      </w:r>
      <w:r>
        <w:rPr>
          <w:spacing w:val="-2"/>
        </w:rPr>
        <w:t>bien</w:t>
      </w:r>
      <w:r>
        <w:rPr>
          <w:spacing w:val="-4"/>
        </w:rPr>
        <w:t> </w:t>
      </w:r>
      <w:r>
        <w:rPr>
          <w:spacing w:val="-1"/>
        </w:rPr>
        <w:t>atteint,</w:t>
      </w:r>
      <w:r>
        <w:rPr>
          <w:spacing w:val="-11"/>
        </w:rPr>
        <w:t> </w:t>
      </w:r>
      <w:r>
        <w:rPr/>
        <w:t>la</w:t>
      </w:r>
      <w:r>
        <w:rPr>
          <w:spacing w:val="-4"/>
        </w:rPr>
        <w:t> </w:t>
      </w:r>
      <w:r>
        <w:rPr>
          <w:spacing w:val="-2"/>
        </w:rPr>
        <w:t>HES-SO</w:t>
      </w:r>
      <w:r>
        <w:rPr>
          <w:spacing w:val="-4"/>
        </w:rPr>
        <w:t> </w:t>
      </w:r>
      <w:r>
        <w:rPr/>
        <w:t>du</w:t>
      </w:r>
      <w:r>
        <w:rPr>
          <w:spacing w:val="27"/>
        </w:rPr>
        <w:t> </w:t>
      </w:r>
      <w:r>
        <w:rPr>
          <w:spacing w:val="-2"/>
        </w:rPr>
        <w:t>nord-est</w:t>
      </w:r>
      <w:r>
        <w:rPr>
          <w:spacing w:val="-1"/>
        </w:rPr>
        <w:t> </w:t>
      </w:r>
      <w:r>
        <w:rPr>
          <w:spacing w:val="-2"/>
        </w:rPr>
        <w:t>de</w:t>
      </w:r>
      <w:r>
        <w:rPr>
          <w:spacing w:val="-1"/>
        </w:rPr>
        <w:t> </w:t>
      </w:r>
      <w:r>
        <w:rPr/>
        <w:t>la</w:t>
      </w:r>
      <w:r>
        <w:rPr>
          <w:spacing w:val="-1"/>
        </w:rPr>
        <w:t> Suisse </w:t>
      </w:r>
      <w:r>
        <w:rPr>
          <w:spacing w:val="-2"/>
        </w:rPr>
        <w:t>(FHNW)</w:t>
      </w:r>
      <w:r>
        <w:rPr>
          <w:spacing w:val="-1"/>
        </w:rPr>
        <w:t> </w:t>
      </w:r>
      <w:r>
        <w:rPr/>
        <w:t>a</w:t>
      </w:r>
      <w:r>
        <w:rPr>
          <w:spacing w:val="-1"/>
        </w:rPr>
        <w:t> mis en </w:t>
      </w:r>
      <w:r>
        <w:rPr>
          <w:spacing w:val="-2"/>
        </w:rPr>
        <w:t>place</w:t>
      </w:r>
      <w:r>
        <w:rPr>
          <w:spacing w:val="21"/>
        </w:rPr>
        <w:t> </w:t>
      </w:r>
      <w:r>
        <w:rPr>
          <w:spacing w:val="-1"/>
        </w:rPr>
        <w:t>un</w:t>
      </w:r>
      <w:r>
        <w:rPr>
          <w:spacing w:val="-13"/>
        </w:rPr>
        <w:t> </w:t>
      </w:r>
      <w:r>
        <w:rPr>
          <w:spacing w:val="-3"/>
        </w:rPr>
        <w:t>système</w:t>
      </w:r>
      <w:r>
        <w:rPr>
          <w:spacing w:val="-13"/>
        </w:rPr>
        <w:t> </w:t>
      </w:r>
      <w:r>
        <w:rPr>
          <w:spacing w:val="-2"/>
        </w:rPr>
        <w:t>de</w:t>
      </w:r>
      <w:r>
        <w:rPr>
          <w:spacing w:val="-13"/>
        </w:rPr>
        <w:t> </w:t>
      </w:r>
      <w:r>
        <w:rPr>
          <w:spacing w:val="-3"/>
        </w:rPr>
        <w:t>contrôle</w:t>
      </w:r>
      <w:r>
        <w:rPr>
          <w:spacing w:val="-13"/>
        </w:rPr>
        <w:t> </w:t>
      </w:r>
      <w:r>
        <w:rPr>
          <w:spacing w:val="-1"/>
        </w:rPr>
        <w:t>qui</w:t>
      </w:r>
      <w:r>
        <w:rPr>
          <w:spacing w:val="-13"/>
        </w:rPr>
        <w:t> </w:t>
      </w:r>
      <w:r>
        <w:rPr>
          <w:spacing w:val="-3"/>
        </w:rPr>
        <w:t>enregistre</w:t>
      </w:r>
      <w:r>
        <w:rPr>
          <w:spacing w:val="-13"/>
        </w:rPr>
        <w:t> </w:t>
      </w:r>
      <w:r>
        <w:rPr>
          <w:spacing w:val="-2"/>
        </w:rPr>
        <w:t>tous</w:t>
      </w:r>
      <w:r>
        <w:rPr>
          <w:spacing w:val="-13"/>
        </w:rPr>
        <w:t> </w:t>
      </w:r>
      <w:r>
        <w:rPr>
          <w:spacing w:val="-2"/>
        </w:rPr>
        <w:t>les</w:t>
      </w:r>
      <w:r>
        <w:rPr>
          <w:spacing w:val="44"/>
        </w:rPr>
        <w:t> </w:t>
      </w:r>
      <w:r>
        <w:rPr>
          <w:spacing w:val="-1"/>
        </w:rPr>
        <w:t>flux</w:t>
      </w:r>
      <w:r>
        <w:rPr>
          <w:spacing w:val="-15"/>
        </w:rPr>
        <w:t> </w:t>
      </w:r>
      <w:r>
        <w:rPr>
          <w:spacing w:val="-3"/>
        </w:rPr>
        <w:t>d’énergie</w:t>
      </w:r>
      <w:r>
        <w:rPr>
          <w:spacing w:val="-15"/>
        </w:rPr>
        <w:t> </w:t>
      </w:r>
      <w:r>
        <w:rPr>
          <w:spacing w:val="-1"/>
        </w:rPr>
        <w:t>durant</w:t>
      </w:r>
      <w:r>
        <w:rPr>
          <w:spacing w:val="-15"/>
        </w:rPr>
        <w:t> </w:t>
      </w:r>
      <w:r>
        <w:rPr>
          <w:spacing w:val="-2"/>
        </w:rPr>
        <w:t>une</w:t>
      </w:r>
      <w:r>
        <w:rPr>
          <w:spacing w:val="-15"/>
        </w:rPr>
        <w:t> </w:t>
      </w:r>
      <w:r>
        <w:rPr>
          <w:spacing w:val="-2"/>
        </w:rPr>
        <w:t>période</w:t>
      </w:r>
      <w:r>
        <w:rPr>
          <w:spacing w:val="-15"/>
        </w:rPr>
        <w:t> </w:t>
      </w:r>
      <w:r>
        <w:rPr>
          <w:spacing w:val="-2"/>
        </w:rPr>
        <w:t>de</w:t>
      </w:r>
      <w:r>
        <w:rPr>
          <w:spacing w:val="-15"/>
        </w:rPr>
        <w:t> </w:t>
      </w:r>
      <w:r>
        <w:rPr>
          <w:spacing w:val="-2"/>
        </w:rPr>
        <w:t>trois</w:t>
      </w:r>
      <w:r>
        <w:rPr>
          <w:spacing w:val="-15"/>
        </w:rPr>
        <w:t> </w:t>
      </w:r>
      <w:r>
        <w:rPr/>
        <w:t>ans.</w:t>
      </w:r>
      <w:r>
        <w:rPr>
          <w:spacing w:val="27"/>
        </w:rPr>
        <w:t> </w:t>
      </w:r>
      <w:r>
        <w:rPr>
          <w:spacing w:val="-4"/>
        </w:rPr>
        <w:t>L’immeuble</w:t>
      </w:r>
      <w:r>
        <w:rPr/>
        <w:t> </w:t>
      </w:r>
      <w:r>
        <w:rPr>
          <w:spacing w:val="-2"/>
        </w:rPr>
        <w:t>de</w:t>
      </w:r>
      <w:r>
        <w:rPr/>
        <w:t> </w:t>
      </w:r>
      <w:r>
        <w:rPr>
          <w:spacing w:val="-2"/>
        </w:rPr>
        <w:t>l’Aescherstrasse</w:t>
      </w:r>
      <w:r>
        <w:rPr/>
        <w:t> à </w:t>
      </w:r>
      <w:r>
        <w:rPr>
          <w:spacing w:val="-1"/>
        </w:rPr>
        <w:t>Bâle</w:t>
      </w:r>
      <w:r>
        <w:rPr/>
        <w:t> </w:t>
      </w:r>
      <w:r>
        <w:rPr>
          <w:spacing w:val="-3"/>
        </w:rPr>
        <w:t>reçoit</w:t>
      </w:r>
      <w:r>
        <w:rPr>
          <w:spacing w:val="33"/>
        </w:rPr>
        <w:t> </w:t>
      </w:r>
      <w:r>
        <w:rPr>
          <w:spacing w:val="-1"/>
        </w:rPr>
        <w:t>pour</w:t>
      </w:r>
      <w:r>
        <w:rPr>
          <w:spacing w:val="-2"/>
        </w:rPr>
        <w:t> cela le </w:t>
      </w:r>
      <w:r>
        <w:rPr>
          <w:spacing w:val="-1"/>
        </w:rPr>
        <w:t>Prix</w:t>
      </w:r>
      <w:r>
        <w:rPr>
          <w:spacing w:val="-2"/>
        </w:rPr>
        <w:t> Solaire </w:t>
      </w:r>
      <w:r>
        <w:rPr>
          <w:spacing w:val="-1"/>
        </w:rPr>
        <w:t>Suisse</w:t>
      </w:r>
      <w:r>
        <w:rPr>
          <w:spacing w:val="-2"/>
        </w:rPr>
        <w:t> </w:t>
      </w:r>
      <w:r>
        <w:rPr>
          <w:spacing w:val="-1"/>
        </w:rPr>
        <w:t>2016.</w:t>
      </w:r>
      <w:r>
        <w:rPr>
          <w:i w:val="0"/>
        </w:rPr>
      </w:r>
    </w:p>
    <w:p>
      <w:pPr>
        <w:tabs>
          <w:tab w:pos="2478" w:val="left" w:leader="none"/>
          <w:tab w:pos="2884" w:val="left" w:leader="none"/>
        </w:tabs>
        <w:spacing w:line="172" w:lineRule="exact" w:before="11"/>
        <w:ind w:left="167" w:right="0" w:firstLine="0"/>
        <w:jc w:val="left"/>
        <w:rPr>
          <w:rFonts w:ascii="Theinhardt Regular" w:hAnsi="Theinhardt Regular" w:cs="Theinhardt Regular" w:eastAsia="Theinhardt Regular"/>
          <w:sz w:val="14"/>
          <w:szCs w:val="14"/>
        </w:rPr>
      </w:pPr>
      <w:r>
        <w:rPr/>
        <w:br w:type="column"/>
      </w:r>
      <w:r>
        <w:rPr>
          <w:rFonts w:ascii="Theinhardt Bold"/>
          <w:b/>
          <w:spacing w:val="1"/>
          <w:sz w:val="14"/>
        </w:rPr>
        <w:t>Energiebilanz</w:t>
      </w:r>
      <w:r>
        <w:rPr>
          <w:rFonts w:ascii="Theinhardt Bold"/>
          <w:b/>
          <w:sz w:val="14"/>
        </w:rPr>
        <w:t> </w:t>
      </w:r>
      <w:r>
        <w:rPr>
          <w:rFonts w:ascii="Theinhardt Regular"/>
          <w:spacing w:val="1"/>
          <w:sz w:val="14"/>
        </w:rPr>
        <w:t>(Endenergie)</w:t>
        <w:tab/>
      </w:r>
      <w:r>
        <w:rPr>
          <w:rFonts w:ascii="Theinhardt Regular"/>
          <w:sz w:val="14"/>
        </w:rPr>
        <w:t>%</w:t>
        <w:tab/>
        <w:t>kWh/a</w:t>
      </w:r>
    </w:p>
    <w:p>
      <w:pPr>
        <w:tabs>
          <w:tab w:pos="2439" w:val="left" w:leader="none"/>
          <w:tab w:pos="2826" w:val="left" w:leader="none"/>
        </w:tabs>
        <w:spacing w:line="160" w:lineRule="exact" w:before="0"/>
        <w:ind w:left="167" w:right="0" w:firstLine="0"/>
        <w:jc w:val="left"/>
        <w:rPr>
          <w:rFonts w:ascii="Theinhardt Bold" w:hAnsi="Theinhardt Bold" w:cs="Theinhardt Bold" w:eastAsia="Theinhardt Bold"/>
          <w:sz w:val="14"/>
          <w:szCs w:val="14"/>
        </w:rPr>
      </w:pPr>
      <w:r>
        <w:rPr>
          <w:rFonts w:ascii="Theinhardt Bold" w:hAnsi="Theinhardt Bold" w:cs="Theinhardt Bold" w:eastAsia="Theinhardt Bold"/>
          <w:b/>
          <w:bCs/>
          <w:spacing w:val="1"/>
          <w:sz w:val="14"/>
          <w:szCs w:val="14"/>
        </w:rPr>
        <w:t>Eigenenergieversorgung:</w:t>
        <w:tab/>
        <w:t>58</w:t>
        <w:tab/>
      </w:r>
      <w:r>
        <w:rPr>
          <w:rFonts w:ascii="Theinhardt Bold" w:hAnsi="Theinhardt Bold" w:cs="Theinhardt Bold" w:eastAsia="Theinhardt Bold"/>
          <w:b/>
          <w:bCs/>
          <w:sz w:val="14"/>
          <w:szCs w:val="14"/>
        </w:rPr>
        <w:t>13’706</w:t>
      </w:r>
      <w:r>
        <w:rPr>
          <w:rFonts w:ascii="Theinhardt Bold" w:hAnsi="Theinhardt Bold" w:cs="Theinhardt Bold" w:eastAsia="Theinhardt Bold"/>
          <w:sz w:val="14"/>
          <w:szCs w:val="14"/>
        </w:rPr>
      </w:r>
    </w:p>
    <w:p>
      <w:pPr>
        <w:tabs>
          <w:tab w:pos="2359" w:val="left" w:leader="none"/>
          <w:tab w:pos="2833" w:val="left" w:leader="none"/>
        </w:tabs>
        <w:spacing w:line="160" w:lineRule="exact" w:before="0"/>
        <w:ind w:left="167" w:right="0" w:firstLine="0"/>
        <w:jc w:val="left"/>
        <w:rPr>
          <w:rFonts w:ascii="Theinhardt Regular" w:hAnsi="Theinhardt Regular" w:cs="Theinhardt Regular" w:eastAsia="Theinhardt Regular"/>
          <w:sz w:val="14"/>
          <w:szCs w:val="14"/>
        </w:rPr>
      </w:pPr>
      <w:r>
        <w:rPr>
          <w:rFonts w:ascii="Theinhardt Regular" w:hAnsi="Theinhardt Regular" w:cs="Theinhardt Regular" w:eastAsia="Theinhardt Regular"/>
          <w:spacing w:val="2"/>
          <w:sz w:val="14"/>
          <w:szCs w:val="14"/>
        </w:rPr>
        <w:t>Gesamtenergiebedarf:</w:t>
        <w:tab/>
      </w:r>
      <w:r>
        <w:rPr>
          <w:rFonts w:ascii="Theinhardt Regular" w:hAnsi="Theinhardt Regular" w:cs="Theinhardt Regular" w:eastAsia="Theinhardt Regular"/>
          <w:spacing w:val="-1"/>
          <w:w w:val="95"/>
          <w:sz w:val="14"/>
          <w:szCs w:val="14"/>
        </w:rPr>
        <w:t>100</w:t>
        <w:tab/>
      </w:r>
      <w:r>
        <w:rPr>
          <w:rFonts w:ascii="Theinhardt Regular" w:hAnsi="Theinhardt Regular" w:cs="Theinhardt Regular" w:eastAsia="Theinhardt Regular"/>
          <w:sz w:val="14"/>
          <w:szCs w:val="14"/>
        </w:rPr>
        <w:t>23’530</w:t>
      </w:r>
    </w:p>
    <w:p>
      <w:pPr>
        <w:tabs>
          <w:tab w:pos="2440" w:val="left" w:leader="none"/>
          <w:tab w:pos="2907" w:val="left" w:leader="none"/>
        </w:tabs>
        <w:spacing w:line="172" w:lineRule="exact" w:before="0"/>
        <w:ind w:left="166" w:right="0" w:firstLine="0"/>
        <w:jc w:val="left"/>
        <w:rPr>
          <w:rFonts w:ascii="Theinhardt Bold" w:hAnsi="Theinhardt Bold" w:cs="Theinhardt Bold" w:eastAsia="Theinhardt Bold"/>
          <w:sz w:val="14"/>
          <w:szCs w:val="14"/>
        </w:rPr>
      </w:pPr>
      <w:r>
        <w:rPr>
          <w:rFonts w:ascii="Theinhardt Regular" w:hAnsi="Theinhardt Regular" w:cs="Theinhardt Regular" w:eastAsia="Theinhardt Regular"/>
          <w:spacing w:val="1"/>
          <w:sz w:val="14"/>
          <w:szCs w:val="14"/>
        </w:rPr>
        <w:t>Fremdenergiebezug:</w:t>
        <w:tab/>
      </w:r>
      <w:r>
        <w:rPr>
          <w:rFonts w:ascii="Theinhardt Bold" w:hAnsi="Theinhardt Bold" w:cs="Theinhardt Bold" w:eastAsia="Theinhardt Bold"/>
          <w:b/>
          <w:bCs/>
          <w:sz w:val="14"/>
          <w:szCs w:val="14"/>
        </w:rPr>
        <w:t>42</w:t>
        <w:tab/>
      </w:r>
      <w:r>
        <w:rPr>
          <w:rFonts w:ascii="Theinhardt Bold" w:hAnsi="Theinhardt Bold" w:cs="Theinhardt Bold" w:eastAsia="Theinhardt Bold"/>
          <w:b/>
          <w:bCs/>
          <w:spacing w:val="1"/>
          <w:sz w:val="14"/>
          <w:szCs w:val="14"/>
        </w:rPr>
        <w:t>9’824</w:t>
      </w:r>
      <w:r>
        <w:rPr>
          <w:rFonts w:ascii="Theinhardt Bold" w:hAnsi="Theinhardt Bold" w:cs="Theinhardt Bold" w:eastAsia="Theinhardt Bold"/>
          <w:sz w:val="14"/>
          <w:szCs w:val="14"/>
        </w:rPr>
      </w:r>
    </w:p>
    <w:p>
      <w:pPr>
        <w:spacing w:line="160" w:lineRule="exact" w:before="39"/>
        <w:ind w:left="166" w:right="980" w:firstLine="0"/>
        <w:jc w:val="left"/>
        <w:rPr>
          <w:rFonts w:ascii="Theinhardt Regular" w:hAnsi="Theinhardt Regular" w:cs="Theinhardt Regular" w:eastAsia="Theinhardt Regular"/>
          <w:sz w:val="14"/>
          <w:szCs w:val="14"/>
        </w:rPr>
      </w:pPr>
      <w:r>
        <w:rPr>
          <w:rFonts w:ascii="Theinhardt Bold" w:hAnsi="Theinhardt Bold"/>
          <w:b/>
          <w:spacing w:val="2"/>
          <w:sz w:val="14"/>
        </w:rPr>
        <w:t>Bestätigt</w:t>
      </w:r>
      <w:r>
        <w:rPr>
          <w:rFonts w:ascii="Theinhardt Bold" w:hAnsi="Theinhardt Bold"/>
          <w:b/>
          <w:sz w:val="14"/>
        </w:rPr>
        <w:t> </w:t>
      </w:r>
      <w:r>
        <w:rPr>
          <w:rFonts w:ascii="Theinhardt Bold" w:hAnsi="Theinhardt Bold"/>
          <w:b/>
          <w:spacing w:val="1"/>
          <w:sz w:val="14"/>
        </w:rPr>
        <w:t>von</w:t>
      </w:r>
      <w:r>
        <w:rPr>
          <w:rFonts w:ascii="Theinhardt Bold" w:hAnsi="Theinhardt Bold"/>
          <w:b/>
          <w:sz w:val="14"/>
        </w:rPr>
        <w:t> </w:t>
      </w:r>
      <w:r>
        <w:rPr>
          <w:rFonts w:ascii="Theinhardt Bold" w:hAnsi="Theinhardt Bold"/>
          <w:b/>
          <w:spacing w:val="2"/>
          <w:sz w:val="14"/>
        </w:rPr>
        <w:t>IWB</w:t>
      </w:r>
      <w:r>
        <w:rPr>
          <w:rFonts w:ascii="Theinhardt Bold" w:hAnsi="Theinhardt Bold"/>
          <w:b/>
          <w:sz w:val="14"/>
        </w:rPr>
        <w:t> </w:t>
      </w:r>
      <w:r>
        <w:rPr>
          <w:rFonts w:ascii="Theinhardt Regular" w:hAnsi="Theinhardt Regular"/>
          <w:sz w:val="14"/>
        </w:rPr>
        <w:t>am </w:t>
      </w:r>
      <w:r>
        <w:rPr>
          <w:rFonts w:ascii="Theinhardt Regular" w:hAnsi="Theinhardt Regular"/>
          <w:spacing w:val="-2"/>
          <w:sz w:val="14"/>
        </w:rPr>
        <w:t>14.06.2016</w:t>
      </w:r>
      <w:r>
        <w:rPr>
          <w:rFonts w:ascii="Theinhardt Regular" w:hAnsi="Theinhardt Regular"/>
          <w:spacing w:val="26"/>
          <w:sz w:val="14"/>
        </w:rPr>
        <w:t> </w:t>
      </w:r>
      <w:r>
        <w:rPr>
          <w:rFonts w:ascii="Theinhardt Regular" w:hAnsi="Theinhardt Regular"/>
          <w:spacing w:val="1"/>
          <w:sz w:val="14"/>
        </w:rPr>
        <w:t>Ulrike</w:t>
      </w:r>
      <w:r>
        <w:rPr>
          <w:rFonts w:ascii="Theinhardt Regular" w:hAnsi="Theinhardt Regular"/>
          <w:sz w:val="14"/>
        </w:rPr>
        <w:t> </w:t>
      </w:r>
      <w:r>
        <w:rPr>
          <w:rFonts w:ascii="Theinhardt Regular" w:hAnsi="Theinhardt Regular"/>
          <w:spacing w:val="1"/>
          <w:sz w:val="14"/>
        </w:rPr>
        <w:t>Strauch,</w:t>
      </w:r>
      <w:r>
        <w:rPr>
          <w:rFonts w:ascii="Theinhardt Regular" w:hAnsi="Theinhardt Regular"/>
          <w:sz w:val="14"/>
        </w:rPr>
        <w:t> </w:t>
      </w:r>
      <w:r>
        <w:rPr>
          <w:rFonts w:ascii="Theinhardt Regular" w:hAnsi="Theinhardt Regular"/>
          <w:spacing w:val="-2"/>
          <w:sz w:val="14"/>
        </w:rPr>
        <w:t>Tel.</w:t>
      </w:r>
      <w:r>
        <w:rPr>
          <w:rFonts w:ascii="Theinhardt Regular" w:hAnsi="Theinhardt Regular"/>
          <w:sz w:val="14"/>
        </w:rPr>
        <w:t> 061 </w:t>
      </w:r>
      <w:r>
        <w:rPr>
          <w:rFonts w:ascii="Theinhardt Regular" w:hAnsi="Theinhardt Regular"/>
          <w:spacing w:val="-1"/>
          <w:sz w:val="14"/>
        </w:rPr>
        <w:t>275</w:t>
      </w:r>
      <w:r>
        <w:rPr>
          <w:rFonts w:ascii="Theinhardt Regular" w:hAnsi="Theinhardt Regular"/>
          <w:sz w:val="14"/>
        </w:rPr>
        <w:t> 53 </w:t>
      </w:r>
      <w:r>
        <w:rPr>
          <w:rFonts w:ascii="Theinhardt Regular" w:hAnsi="Theinhardt Regular"/>
          <w:spacing w:val="-1"/>
          <w:sz w:val="14"/>
        </w:rPr>
        <w:t>92</w:t>
      </w:r>
    </w:p>
    <w:p>
      <w:pPr>
        <w:spacing w:line="240" w:lineRule="auto" w:before="7"/>
        <w:rPr>
          <w:rFonts w:ascii="Theinhardt Regular" w:hAnsi="Theinhardt Regular" w:cs="Theinhardt Regular" w:eastAsia="Theinhardt Regular"/>
          <w:sz w:val="11"/>
          <w:szCs w:val="11"/>
        </w:rPr>
      </w:pPr>
    </w:p>
    <w:p>
      <w:pPr>
        <w:spacing w:before="0"/>
        <w:ind w:left="166" w:right="0" w:firstLine="0"/>
        <w:jc w:val="left"/>
        <w:rPr>
          <w:rFonts w:ascii="Theinhardt Black" w:hAnsi="Theinhardt Black" w:cs="Theinhardt Black" w:eastAsia="Theinhardt Black"/>
          <w:sz w:val="14"/>
          <w:szCs w:val="14"/>
        </w:rPr>
      </w:pPr>
      <w:r>
        <w:rPr>
          <w:rFonts w:ascii="Theinhardt Black"/>
          <w:b/>
          <w:spacing w:val="1"/>
          <w:sz w:val="14"/>
        </w:rPr>
        <w:t>Beteiligte</w:t>
      </w:r>
      <w:r>
        <w:rPr>
          <w:rFonts w:ascii="Theinhardt Black"/>
          <w:b/>
          <w:sz w:val="14"/>
        </w:rPr>
        <w:t> Personen</w:t>
      </w:r>
      <w:r>
        <w:rPr>
          <w:rFonts w:ascii="Theinhardt Black"/>
          <w:sz w:val="14"/>
        </w:rPr>
      </w:r>
    </w:p>
    <w:p>
      <w:pPr>
        <w:spacing w:line="240" w:lineRule="auto" w:before="9"/>
        <w:rPr>
          <w:rFonts w:ascii="Theinhardt Black" w:hAnsi="Theinhardt Black" w:cs="Theinhardt Black" w:eastAsia="Theinhardt Black"/>
          <w:b/>
          <w:bCs/>
          <w:sz w:val="2"/>
          <w:szCs w:val="2"/>
        </w:rPr>
      </w:pPr>
    </w:p>
    <w:p>
      <w:pPr>
        <w:spacing w:line="20" w:lineRule="atLeast"/>
        <w:ind w:left="167" w:right="0" w:firstLine="0"/>
        <w:rPr>
          <w:rFonts w:ascii="Theinhardt Black" w:hAnsi="Theinhardt Black" w:cs="Theinhardt Black" w:eastAsia="Theinhardt Black"/>
          <w:sz w:val="2"/>
          <w:szCs w:val="2"/>
        </w:rPr>
      </w:pPr>
      <w:r>
        <w:rPr>
          <w:rFonts w:ascii="Theinhardt Black" w:hAnsi="Theinhardt Black" w:cs="Theinhardt Black" w:eastAsia="Theinhardt Black"/>
          <w:sz w:val="2"/>
          <w:szCs w:val="2"/>
        </w:rPr>
        <w:pict>
          <v:group style="width:167.25pt;height:.45pt;mso-position-horizontal-relative:char;mso-position-vertical-relative:line" coordorigin="0,0" coordsize="3345,9">
            <v:group style="position:absolute;left:21;top:4;width:3311;height:2" coordorigin="21,4" coordsize="3311,2">
              <v:shape style="position:absolute;left:21;top:4;width:3311;height:2" coordorigin="21,4" coordsize="3311,0" path="m21,4l3332,4e" filled="false" stroked="true" strokeweight=".425pt" strokecolor="#000000">
                <v:path arrowok="t"/>
                <v:stroke dashstyle="dash"/>
              </v:shape>
            </v:group>
            <v:group style="position:absolute;left:4;top:4;width:2;height:2" coordorigin="4,4" coordsize="2,2">
              <v:shape style="position:absolute;left:4;top:4;width:2;height:2" coordorigin="4,4" coordsize="0,0" path="m4,4l4,4e" filled="false" stroked="true" strokeweight=".425pt" strokecolor="#000000">
                <v:path arrowok="t"/>
              </v:shape>
            </v:group>
            <v:group style="position:absolute;left:3341;top:4;width:2;height:2" coordorigin="3341,4" coordsize="2,2">
              <v:shape style="position:absolute;left:3341;top:4;width:2;height:2" coordorigin="3341,4" coordsize="0,0" path="m3341,4l3341,4e" filled="false" stroked="true" strokeweight=".425pt" strokecolor="#000000">
                <v:path arrowok="t"/>
              </v:shape>
            </v:group>
          </v:group>
        </w:pict>
      </w:r>
      <w:r>
        <w:rPr>
          <w:rFonts w:ascii="Theinhardt Black" w:hAnsi="Theinhardt Black" w:cs="Theinhardt Black" w:eastAsia="Theinhardt Black"/>
          <w:sz w:val="2"/>
          <w:szCs w:val="2"/>
        </w:rPr>
      </w:r>
    </w:p>
    <w:p>
      <w:pPr>
        <w:spacing w:line="172" w:lineRule="exact" w:before="20"/>
        <w:ind w:left="166" w:right="0" w:firstLine="0"/>
        <w:jc w:val="left"/>
        <w:rPr>
          <w:rFonts w:ascii="Theinhardt Bold" w:hAnsi="Theinhardt Bold" w:cs="Theinhardt Bold" w:eastAsia="Theinhardt Bold"/>
          <w:sz w:val="14"/>
          <w:szCs w:val="14"/>
        </w:rPr>
      </w:pPr>
      <w:r>
        <w:rPr>
          <w:rFonts w:ascii="Theinhardt Bold" w:hAnsi="Theinhardt Bold"/>
          <w:b/>
          <w:spacing w:val="2"/>
          <w:sz w:val="14"/>
        </w:rPr>
        <w:t>Standort</w:t>
      </w:r>
      <w:r>
        <w:rPr>
          <w:rFonts w:ascii="Theinhardt Bold" w:hAnsi="Theinhardt Bold"/>
          <w:b/>
          <w:sz w:val="14"/>
        </w:rPr>
        <w:t> </w:t>
      </w:r>
      <w:r>
        <w:rPr>
          <w:rFonts w:ascii="Theinhardt Bold" w:hAnsi="Theinhardt Bold"/>
          <w:b/>
          <w:spacing w:val="1"/>
          <w:sz w:val="14"/>
        </w:rPr>
        <w:t>des</w:t>
      </w:r>
      <w:r>
        <w:rPr>
          <w:rFonts w:ascii="Theinhardt Bold" w:hAnsi="Theinhardt Bold"/>
          <w:b/>
          <w:sz w:val="14"/>
        </w:rPr>
        <w:t> </w:t>
      </w:r>
      <w:r>
        <w:rPr>
          <w:rFonts w:ascii="Theinhardt Bold" w:hAnsi="Theinhardt Bold"/>
          <w:b/>
          <w:spacing w:val="1"/>
          <w:sz w:val="14"/>
        </w:rPr>
        <w:t>Gebäudes:</w:t>
      </w:r>
      <w:r>
        <w:rPr>
          <w:rFonts w:ascii="Theinhardt Bold" w:hAnsi="Theinhardt Bold"/>
          <w:sz w:val="14"/>
        </w:rPr>
      </w:r>
    </w:p>
    <w:p>
      <w:pPr>
        <w:spacing w:line="172" w:lineRule="exact" w:before="0"/>
        <w:ind w:left="166" w:right="0" w:firstLine="0"/>
        <w:jc w:val="left"/>
        <w:rPr>
          <w:rFonts w:ascii="Theinhardt Regular" w:hAnsi="Theinhardt Regular" w:cs="Theinhardt Regular" w:eastAsia="Theinhardt Regular"/>
          <w:sz w:val="14"/>
          <w:szCs w:val="14"/>
        </w:rPr>
      </w:pPr>
      <w:r>
        <w:rPr>
          <w:rFonts w:ascii="Theinhardt Regular"/>
          <w:spacing w:val="2"/>
          <w:sz w:val="14"/>
        </w:rPr>
        <w:t>Aescherstrasse</w:t>
      </w:r>
      <w:r>
        <w:rPr>
          <w:rFonts w:ascii="Theinhardt Regular"/>
          <w:sz w:val="14"/>
        </w:rPr>
        <w:t> </w:t>
      </w:r>
      <w:r>
        <w:rPr>
          <w:rFonts w:ascii="Theinhardt Regular"/>
          <w:spacing w:val="-3"/>
          <w:sz w:val="14"/>
        </w:rPr>
        <w:t>12,</w:t>
      </w:r>
      <w:r>
        <w:rPr>
          <w:rFonts w:ascii="Theinhardt Regular"/>
          <w:sz w:val="14"/>
        </w:rPr>
        <w:t> </w:t>
      </w:r>
      <w:r>
        <w:rPr>
          <w:rFonts w:ascii="Theinhardt Regular"/>
          <w:spacing w:val="1"/>
          <w:sz w:val="14"/>
        </w:rPr>
        <w:t>4054</w:t>
      </w:r>
      <w:r>
        <w:rPr>
          <w:rFonts w:ascii="Theinhardt Regular"/>
          <w:sz w:val="14"/>
        </w:rPr>
        <w:t> </w:t>
      </w:r>
      <w:r>
        <w:rPr>
          <w:rFonts w:ascii="Theinhardt Regular"/>
          <w:spacing w:val="2"/>
          <w:sz w:val="14"/>
        </w:rPr>
        <w:t>Basel</w:t>
      </w:r>
    </w:p>
    <w:p>
      <w:pPr>
        <w:spacing w:line="172" w:lineRule="exact" w:before="32"/>
        <w:ind w:left="166" w:right="0" w:firstLine="0"/>
        <w:jc w:val="left"/>
        <w:rPr>
          <w:rFonts w:ascii="Theinhardt Bold" w:hAnsi="Theinhardt Bold" w:cs="Theinhardt Bold" w:eastAsia="Theinhardt Bold"/>
          <w:sz w:val="14"/>
          <w:szCs w:val="14"/>
        </w:rPr>
      </w:pPr>
      <w:r>
        <w:rPr>
          <w:rFonts w:ascii="Theinhardt Bold"/>
          <w:b/>
          <w:spacing w:val="3"/>
          <w:sz w:val="14"/>
        </w:rPr>
        <w:t>B</w:t>
      </w:r>
      <w:r>
        <w:rPr>
          <w:rFonts w:ascii="Theinhardt Bold"/>
          <w:b/>
          <w:spacing w:val="1"/>
          <w:sz w:val="14"/>
        </w:rPr>
        <w:t>au</w:t>
      </w:r>
      <w:r>
        <w:rPr>
          <w:rFonts w:ascii="Theinhardt Bold"/>
          <w:b/>
          <w:spacing w:val="2"/>
          <w:sz w:val="14"/>
        </w:rPr>
        <w:t>he</w:t>
      </w:r>
      <w:r>
        <w:rPr>
          <w:rFonts w:ascii="Theinhardt Bold"/>
          <w:b/>
          <w:spacing w:val="1"/>
          <w:sz w:val="14"/>
        </w:rPr>
        <w:t>r</w:t>
      </w:r>
      <w:r>
        <w:rPr>
          <w:rFonts w:ascii="Theinhardt Bold"/>
          <w:b/>
          <w:spacing w:val="2"/>
          <w:sz w:val="14"/>
        </w:rPr>
        <w:t>rs</w:t>
      </w:r>
      <w:r>
        <w:rPr>
          <w:rFonts w:ascii="Theinhardt Bold"/>
          <w:b/>
          <w:spacing w:val="3"/>
          <w:sz w:val="14"/>
        </w:rPr>
        <w:t>c</w:t>
      </w:r>
      <w:r>
        <w:rPr>
          <w:rFonts w:ascii="Theinhardt Bold"/>
          <w:b/>
          <w:spacing w:val="2"/>
          <w:sz w:val="14"/>
        </w:rPr>
        <w:t>h</w:t>
      </w:r>
      <w:r>
        <w:rPr>
          <w:rFonts w:ascii="Theinhardt Bold"/>
          <w:b/>
          <w:spacing w:val="1"/>
          <w:sz w:val="14"/>
        </w:rPr>
        <w:t>a</w:t>
      </w:r>
      <w:r>
        <w:rPr>
          <w:rFonts w:ascii="Theinhardt Bold"/>
          <w:b/>
          <w:spacing w:val="5"/>
          <w:sz w:val="14"/>
        </w:rPr>
        <w:t>f</w:t>
      </w:r>
      <w:r>
        <w:rPr>
          <w:rFonts w:ascii="Theinhardt Bold"/>
          <w:b/>
          <w:spacing w:val="3"/>
          <w:sz w:val="14"/>
        </w:rPr>
        <w:t>t</w:t>
      </w:r>
      <w:r>
        <w:rPr>
          <w:rFonts w:ascii="Theinhardt Bold"/>
          <w:b/>
          <w:sz w:val="14"/>
        </w:rPr>
        <w:t>:</w:t>
      </w:r>
      <w:r>
        <w:rPr>
          <w:rFonts w:ascii="Theinhardt Bold"/>
          <w:sz w:val="14"/>
        </w:rPr>
      </w:r>
    </w:p>
    <w:p>
      <w:pPr>
        <w:spacing w:line="160" w:lineRule="exact" w:before="0"/>
        <w:ind w:left="166" w:right="0" w:firstLine="0"/>
        <w:jc w:val="left"/>
        <w:rPr>
          <w:rFonts w:ascii="Theinhardt Regular" w:hAnsi="Theinhardt Regular" w:cs="Theinhardt Regular" w:eastAsia="Theinhardt Regular"/>
          <w:sz w:val="14"/>
          <w:szCs w:val="14"/>
        </w:rPr>
      </w:pPr>
      <w:r>
        <w:rPr>
          <w:rFonts w:ascii="Theinhardt Regular"/>
          <w:spacing w:val="1"/>
          <w:sz w:val="14"/>
        </w:rPr>
        <w:t>Einwohnergemeinde</w:t>
      </w:r>
      <w:r>
        <w:rPr>
          <w:rFonts w:ascii="Theinhardt Regular"/>
          <w:sz w:val="14"/>
        </w:rPr>
        <w:t> </w:t>
      </w:r>
      <w:r>
        <w:rPr>
          <w:rFonts w:ascii="Theinhardt Regular"/>
          <w:spacing w:val="2"/>
          <w:sz w:val="14"/>
        </w:rPr>
        <w:t>Basel-Stadt</w:t>
      </w:r>
    </w:p>
    <w:p>
      <w:pPr>
        <w:spacing w:line="207" w:lineRule="auto" w:before="6"/>
        <w:ind w:left="166" w:right="327" w:firstLine="0"/>
        <w:jc w:val="left"/>
        <w:rPr>
          <w:rFonts w:ascii="Theinhardt Regular" w:hAnsi="Theinhardt Regular" w:cs="Theinhardt Regular" w:eastAsia="Theinhardt Regular"/>
          <w:sz w:val="14"/>
          <w:szCs w:val="14"/>
        </w:rPr>
      </w:pPr>
      <w:r>
        <w:rPr>
          <w:rFonts w:ascii="Theinhardt Regular"/>
          <w:spacing w:val="1"/>
          <w:sz w:val="14"/>
        </w:rPr>
        <w:t>Immobilien</w:t>
      </w:r>
      <w:r>
        <w:rPr>
          <w:rFonts w:ascii="Theinhardt Regular"/>
          <w:sz w:val="14"/>
        </w:rPr>
        <w:t> </w:t>
      </w:r>
      <w:r>
        <w:rPr>
          <w:rFonts w:ascii="Theinhardt Regular"/>
          <w:spacing w:val="2"/>
          <w:sz w:val="14"/>
        </w:rPr>
        <w:t>Basel-Stadt,</w:t>
      </w:r>
      <w:r>
        <w:rPr>
          <w:rFonts w:ascii="Theinhardt Regular"/>
          <w:sz w:val="14"/>
        </w:rPr>
        <w:t> </w:t>
      </w:r>
      <w:r>
        <w:rPr>
          <w:rFonts w:ascii="Theinhardt Regular"/>
          <w:spacing w:val="-2"/>
          <w:sz w:val="14"/>
        </w:rPr>
        <w:t>Dr.</w:t>
      </w:r>
      <w:r>
        <w:rPr>
          <w:rFonts w:ascii="Theinhardt Regular"/>
          <w:sz w:val="14"/>
        </w:rPr>
        <w:t> </w:t>
      </w:r>
      <w:r>
        <w:rPr>
          <w:rFonts w:ascii="Theinhardt Regular"/>
          <w:spacing w:val="2"/>
          <w:sz w:val="14"/>
        </w:rPr>
        <w:t>Barbara</w:t>
      </w:r>
      <w:r>
        <w:rPr>
          <w:rFonts w:ascii="Theinhardt Regular"/>
          <w:sz w:val="14"/>
        </w:rPr>
        <w:t> </w:t>
      </w:r>
      <w:r>
        <w:rPr>
          <w:rFonts w:ascii="Theinhardt Regular"/>
          <w:spacing w:val="2"/>
          <w:sz w:val="14"/>
        </w:rPr>
        <w:t>Neidhart</w:t>
      </w:r>
      <w:r>
        <w:rPr>
          <w:rFonts w:ascii="Theinhardt Regular"/>
          <w:spacing w:val="34"/>
          <w:sz w:val="14"/>
        </w:rPr>
        <w:t> </w:t>
      </w:r>
      <w:r>
        <w:rPr>
          <w:rFonts w:ascii="Theinhardt Regular"/>
          <w:spacing w:val="2"/>
          <w:sz w:val="14"/>
        </w:rPr>
        <w:t>Fischmarkt</w:t>
      </w:r>
      <w:r>
        <w:rPr>
          <w:rFonts w:ascii="Theinhardt Regular"/>
          <w:sz w:val="14"/>
        </w:rPr>
        <w:t> </w:t>
      </w:r>
      <w:r>
        <w:rPr>
          <w:rFonts w:ascii="Theinhardt Regular"/>
          <w:spacing w:val="-3"/>
          <w:sz w:val="14"/>
        </w:rPr>
        <w:t>10,</w:t>
      </w:r>
      <w:r>
        <w:rPr>
          <w:rFonts w:ascii="Theinhardt Regular"/>
          <w:sz w:val="14"/>
        </w:rPr>
        <w:t> </w:t>
      </w:r>
      <w:r>
        <w:rPr>
          <w:rFonts w:ascii="Theinhardt Regular"/>
          <w:spacing w:val="1"/>
          <w:sz w:val="14"/>
        </w:rPr>
        <w:t>4001</w:t>
      </w:r>
      <w:r>
        <w:rPr>
          <w:rFonts w:ascii="Theinhardt Regular"/>
          <w:sz w:val="14"/>
        </w:rPr>
        <w:t> </w:t>
      </w:r>
      <w:r>
        <w:rPr>
          <w:rFonts w:ascii="Theinhardt Regular"/>
          <w:spacing w:val="2"/>
          <w:sz w:val="14"/>
        </w:rPr>
        <w:t>Basel</w:t>
      </w:r>
    </w:p>
    <w:p>
      <w:pPr>
        <w:spacing w:line="167" w:lineRule="exact" w:before="0"/>
        <w:ind w:left="166" w:right="0" w:firstLine="0"/>
        <w:jc w:val="left"/>
        <w:rPr>
          <w:rFonts w:ascii="Theinhardt Regular" w:hAnsi="Theinhardt Regular" w:cs="Theinhardt Regular" w:eastAsia="Theinhardt Regular"/>
          <w:sz w:val="14"/>
          <w:szCs w:val="14"/>
        </w:rPr>
      </w:pPr>
      <w:r>
        <w:rPr>
          <w:rFonts w:ascii="Theinhardt Regular"/>
          <w:spacing w:val="-2"/>
          <w:sz w:val="14"/>
        </w:rPr>
        <w:t>Tel.</w:t>
      </w:r>
      <w:r>
        <w:rPr>
          <w:rFonts w:ascii="Theinhardt Regular"/>
          <w:sz w:val="14"/>
        </w:rPr>
        <w:t> 061 </w:t>
      </w:r>
      <w:r>
        <w:rPr>
          <w:rFonts w:ascii="Theinhardt Regular"/>
          <w:spacing w:val="-1"/>
          <w:sz w:val="14"/>
        </w:rPr>
        <w:t>267</w:t>
      </w:r>
      <w:r>
        <w:rPr>
          <w:rFonts w:ascii="Theinhardt Regular"/>
          <w:sz w:val="14"/>
        </w:rPr>
        <w:t> 46 </w:t>
      </w:r>
      <w:r>
        <w:rPr>
          <w:rFonts w:ascii="Theinhardt Regular"/>
          <w:spacing w:val="-4"/>
          <w:sz w:val="14"/>
        </w:rPr>
        <w:t>27</w:t>
      </w:r>
      <w:hyperlink r:id="rId5">
        <w:r>
          <w:rPr>
            <w:rFonts w:ascii="Theinhardt Regular"/>
            <w:spacing w:val="-4"/>
            <w:sz w:val="14"/>
          </w:rPr>
          <w:t>,</w:t>
        </w:r>
        <w:r>
          <w:rPr>
            <w:rFonts w:ascii="Theinhardt Regular"/>
            <w:sz w:val="14"/>
          </w:rPr>
          <w:t> </w:t>
        </w:r>
        <w:r>
          <w:rPr>
            <w:rFonts w:ascii="Theinhardt Regular"/>
            <w:spacing w:val="2"/>
            <w:sz w:val="14"/>
          </w:rPr>
          <w:t>barbara.neidhart@bs.ch</w:t>
        </w:r>
      </w:hyperlink>
    </w:p>
    <w:p>
      <w:pPr>
        <w:spacing w:line="172" w:lineRule="exact" w:before="32"/>
        <w:ind w:left="166" w:right="0" w:firstLine="0"/>
        <w:jc w:val="left"/>
        <w:rPr>
          <w:rFonts w:ascii="Theinhardt Bold" w:hAnsi="Theinhardt Bold" w:cs="Theinhardt Bold" w:eastAsia="Theinhardt Bold"/>
          <w:sz w:val="14"/>
          <w:szCs w:val="14"/>
        </w:rPr>
      </w:pPr>
      <w:r>
        <w:rPr>
          <w:rFonts w:ascii="Theinhardt Bold"/>
          <w:b/>
          <w:spacing w:val="2"/>
          <w:sz w:val="14"/>
        </w:rPr>
        <w:t>Architektur:</w:t>
      </w:r>
      <w:r>
        <w:rPr>
          <w:rFonts w:ascii="Theinhardt Bold"/>
          <w:sz w:val="14"/>
        </w:rPr>
      </w:r>
    </w:p>
    <w:p>
      <w:pPr>
        <w:spacing w:line="160" w:lineRule="exact" w:before="0"/>
        <w:ind w:left="166" w:right="0" w:firstLine="0"/>
        <w:jc w:val="left"/>
        <w:rPr>
          <w:rFonts w:ascii="Theinhardt Regular" w:hAnsi="Theinhardt Regular" w:cs="Theinhardt Regular" w:eastAsia="Theinhardt Regular"/>
          <w:sz w:val="14"/>
          <w:szCs w:val="14"/>
        </w:rPr>
      </w:pPr>
      <w:r>
        <w:rPr>
          <w:rFonts w:ascii="Theinhardt Regular"/>
          <w:spacing w:val="2"/>
          <w:sz w:val="14"/>
        </w:rPr>
        <w:t>OPQMB</w:t>
      </w:r>
      <w:r>
        <w:rPr>
          <w:rFonts w:ascii="Theinhardt Regular"/>
          <w:sz w:val="14"/>
        </w:rPr>
      </w:r>
    </w:p>
    <w:p>
      <w:pPr>
        <w:spacing w:line="207" w:lineRule="auto" w:before="6"/>
        <w:ind w:left="166" w:right="141" w:firstLine="0"/>
        <w:jc w:val="left"/>
        <w:rPr>
          <w:rFonts w:ascii="Theinhardt Regular" w:hAnsi="Theinhardt Regular" w:cs="Theinhardt Regular" w:eastAsia="Theinhardt Regular"/>
          <w:sz w:val="14"/>
          <w:szCs w:val="14"/>
        </w:rPr>
      </w:pPr>
      <w:r>
        <w:rPr>
          <w:rFonts w:ascii="Theinhardt Regular" w:hAnsi="Theinhardt Regular"/>
          <w:spacing w:val="1"/>
          <w:sz w:val="14"/>
        </w:rPr>
        <w:t>Osolin</w:t>
      </w:r>
      <w:r>
        <w:rPr>
          <w:rFonts w:ascii="Theinhardt Regular" w:hAnsi="Theinhardt Regular"/>
          <w:sz w:val="14"/>
        </w:rPr>
        <w:t> &amp; </w:t>
      </w:r>
      <w:r>
        <w:rPr>
          <w:rFonts w:ascii="Theinhardt Regular" w:hAnsi="Theinhardt Regular"/>
          <w:spacing w:val="1"/>
          <w:sz w:val="14"/>
        </w:rPr>
        <w:t>Plüss</w:t>
      </w:r>
      <w:r>
        <w:rPr>
          <w:rFonts w:ascii="Theinhardt Regular" w:hAnsi="Theinhardt Regular"/>
          <w:sz w:val="14"/>
        </w:rPr>
        <w:t> </w:t>
      </w:r>
      <w:r>
        <w:rPr>
          <w:rFonts w:ascii="Theinhardt Regular" w:hAnsi="Theinhardt Regular"/>
          <w:spacing w:val="2"/>
          <w:sz w:val="14"/>
        </w:rPr>
        <w:t>Architekten</w:t>
      </w:r>
      <w:r>
        <w:rPr>
          <w:rFonts w:ascii="Theinhardt Regular" w:hAnsi="Theinhardt Regular"/>
          <w:sz w:val="14"/>
        </w:rPr>
        <w:t> </w:t>
      </w:r>
      <w:r>
        <w:rPr>
          <w:rFonts w:ascii="Theinhardt Regular" w:hAnsi="Theinhardt Regular"/>
          <w:spacing w:val="2"/>
          <w:sz w:val="14"/>
        </w:rPr>
        <w:t>BSA</w:t>
      </w:r>
      <w:r>
        <w:rPr>
          <w:rFonts w:ascii="Theinhardt Regular" w:hAnsi="Theinhardt Regular"/>
          <w:sz w:val="14"/>
        </w:rPr>
        <w:t> AG, </w:t>
      </w:r>
      <w:r>
        <w:rPr>
          <w:rFonts w:ascii="Theinhardt Regular" w:hAnsi="Theinhardt Regular"/>
          <w:spacing w:val="2"/>
          <w:sz w:val="14"/>
        </w:rPr>
        <w:t>Thomas</w:t>
      </w:r>
      <w:r>
        <w:rPr>
          <w:rFonts w:ascii="Theinhardt Regular" w:hAnsi="Theinhardt Regular"/>
          <w:sz w:val="14"/>
        </w:rPr>
        <w:t> </w:t>
      </w:r>
      <w:r>
        <w:rPr>
          <w:rFonts w:ascii="Theinhardt Regular" w:hAnsi="Theinhardt Regular"/>
          <w:spacing w:val="1"/>
          <w:sz w:val="14"/>
        </w:rPr>
        <w:t>Osolin</w:t>
      </w:r>
      <w:r>
        <w:rPr>
          <w:rFonts w:ascii="Theinhardt Regular" w:hAnsi="Theinhardt Regular"/>
          <w:spacing w:val="36"/>
          <w:sz w:val="14"/>
        </w:rPr>
        <w:t> </w:t>
      </w:r>
      <w:r>
        <w:rPr>
          <w:rFonts w:ascii="Theinhardt Regular" w:hAnsi="Theinhardt Regular"/>
          <w:spacing w:val="1"/>
          <w:sz w:val="14"/>
        </w:rPr>
        <w:t>Quade</w:t>
      </w:r>
      <w:r>
        <w:rPr>
          <w:rFonts w:ascii="Theinhardt Regular" w:hAnsi="Theinhardt Regular"/>
          <w:sz w:val="14"/>
        </w:rPr>
        <w:t> </w:t>
      </w:r>
      <w:r>
        <w:rPr>
          <w:rFonts w:ascii="Theinhardt Regular" w:hAnsi="Theinhardt Regular"/>
          <w:spacing w:val="2"/>
          <w:sz w:val="14"/>
        </w:rPr>
        <w:t>Architects</w:t>
      </w:r>
      <w:r>
        <w:rPr>
          <w:rFonts w:ascii="Theinhardt Regular" w:hAnsi="Theinhardt Regular"/>
          <w:sz w:val="14"/>
        </w:rPr>
        <w:t> </w:t>
      </w:r>
      <w:r>
        <w:rPr>
          <w:rFonts w:ascii="Theinhardt Regular" w:hAnsi="Theinhardt Regular"/>
          <w:spacing w:val="2"/>
          <w:sz w:val="14"/>
        </w:rPr>
        <w:t>SIA,</w:t>
      </w:r>
      <w:r>
        <w:rPr>
          <w:rFonts w:ascii="Theinhardt Regular" w:hAnsi="Theinhardt Regular"/>
          <w:sz w:val="14"/>
        </w:rPr>
        <w:t> </w:t>
      </w:r>
      <w:r>
        <w:rPr>
          <w:rFonts w:ascii="Theinhardt Regular" w:hAnsi="Theinhardt Regular"/>
          <w:spacing w:val="2"/>
          <w:sz w:val="14"/>
        </w:rPr>
        <w:t>Carmen</w:t>
      </w:r>
      <w:r>
        <w:rPr>
          <w:rFonts w:ascii="Theinhardt Regular" w:hAnsi="Theinhardt Regular"/>
          <w:sz w:val="14"/>
        </w:rPr>
        <w:t> </w:t>
      </w:r>
      <w:r>
        <w:rPr>
          <w:rFonts w:ascii="Theinhardt Regular" w:hAnsi="Theinhardt Regular"/>
          <w:spacing w:val="1"/>
          <w:sz w:val="14"/>
        </w:rPr>
        <w:t>Quade</w:t>
      </w:r>
    </w:p>
    <w:p>
      <w:pPr>
        <w:spacing w:line="207" w:lineRule="auto" w:before="0"/>
        <w:ind w:left="166" w:right="327" w:firstLine="0"/>
        <w:jc w:val="left"/>
        <w:rPr>
          <w:rFonts w:ascii="Theinhardt Regular" w:hAnsi="Theinhardt Regular" w:cs="Theinhardt Regular" w:eastAsia="Theinhardt Regular"/>
          <w:sz w:val="14"/>
          <w:szCs w:val="14"/>
        </w:rPr>
      </w:pPr>
      <w:r>
        <w:rPr>
          <w:rFonts w:ascii="Theinhardt Regular"/>
          <w:spacing w:val="1"/>
          <w:sz w:val="14"/>
        </w:rPr>
        <w:t>Moosmann</w:t>
      </w:r>
      <w:r>
        <w:rPr>
          <w:rFonts w:ascii="Theinhardt Regular"/>
          <w:sz w:val="14"/>
        </w:rPr>
        <w:t> </w:t>
      </w:r>
      <w:r>
        <w:rPr>
          <w:rFonts w:ascii="Theinhardt Regular"/>
          <w:spacing w:val="2"/>
          <w:sz w:val="14"/>
        </w:rPr>
        <w:t>Bitterli</w:t>
      </w:r>
      <w:r>
        <w:rPr>
          <w:rFonts w:ascii="Theinhardt Regular"/>
          <w:sz w:val="14"/>
        </w:rPr>
        <w:t> </w:t>
      </w:r>
      <w:r>
        <w:rPr>
          <w:rFonts w:ascii="Theinhardt Regular"/>
          <w:spacing w:val="2"/>
          <w:sz w:val="14"/>
        </w:rPr>
        <w:t>Architekten</w:t>
      </w:r>
      <w:r>
        <w:rPr>
          <w:rFonts w:ascii="Theinhardt Regular"/>
          <w:sz w:val="14"/>
        </w:rPr>
        <w:t> </w:t>
      </w:r>
      <w:r>
        <w:rPr>
          <w:rFonts w:ascii="Theinhardt Regular"/>
          <w:spacing w:val="1"/>
          <w:sz w:val="14"/>
        </w:rPr>
        <w:t>SIA</w:t>
      </w:r>
      <w:r>
        <w:rPr>
          <w:rFonts w:ascii="Theinhardt Regular"/>
          <w:sz w:val="14"/>
        </w:rPr>
        <w:t> </w:t>
      </w:r>
      <w:r>
        <w:rPr>
          <w:rFonts w:ascii="Theinhardt Regular"/>
          <w:spacing w:val="4"/>
          <w:sz w:val="14"/>
        </w:rPr>
        <w:t>STV</w:t>
      </w:r>
      <w:r>
        <w:rPr>
          <w:rFonts w:ascii="Theinhardt Regular"/>
          <w:sz w:val="14"/>
        </w:rPr>
        <w:t> </w:t>
      </w:r>
      <w:r>
        <w:rPr>
          <w:rFonts w:ascii="Theinhardt Regular"/>
          <w:spacing w:val="1"/>
          <w:sz w:val="14"/>
        </w:rPr>
        <w:t>GmbH</w:t>
      </w:r>
      <w:r>
        <w:rPr>
          <w:rFonts w:ascii="Theinhardt Regular"/>
          <w:spacing w:val="32"/>
          <w:sz w:val="14"/>
        </w:rPr>
        <w:t> </w:t>
      </w:r>
      <w:r>
        <w:rPr>
          <w:rFonts w:ascii="Theinhardt Regular"/>
          <w:spacing w:val="2"/>
          <w:sz w:val="14"/>
        </w:rPr>
        <w:t>Andreas</w:t>
      </w:r>
      <w:r>
        <w:rPr>
          <w:rFonts w:ascii="Theinhardt Regular"/>
          <w:sz w:val="14"/>
        </w:rPr>
        <w:t> </w:t>
      </w:r>
      <w:r>
        <w:rPr>
          <w:rFonts w:ascii="Theinhardt Regular"/>
          <w:spacing w:val="2"/>
          <w:sz w:val="14"/>
        </w:rPr>
        <w:t>Bitterli,</w:t>
      </w:r>
      <w:r>
        <w:rPr>
          <w:rFonts w:ascii="Theinhardt Regular"/>
          <w:sz w:val="14"/>
        </w:rPr>
        <w:t> </w:t>
      </w:r>
      <w:r>
        <w:rPr>
          <w:rFonts w:ascii="Theinhardt Regular"/>
          <w:spacing w:val="2"/>
          <w:sz w:val="14"/>
        </w:rPr>
        <w:t>Mattenstrasse</w:t>
      </w:r>
      <w:r>
        <w:rPr>
          <w:rFonts w:ascii="Theinhardt Regular"/>
          <w:sz w:val="14"/>
        </w:rPr>
        <w:t> </w:t>
      </w:r>
      <w:r>
        <w:rPr>
          <w:rFonts w:ascii="Theinhardt Regular"/>
          <w:spacing w:val="-1"/>
          <w:sz w:val="14"/>
        </w:rPr>
        <w:t>16a,</w:t>
      </w:r>
      <w:r>
        <w:rPr>
          <w:rFonts w:ascii="Theinhardt Regular"/>
          <w:sz w:val="14"/>
        </w:rPr>
        <w:t> </w:t>
      </w:r>
      <w:r>
        <w:rPr>
          <w:rFonts w:ascii="Theinhardt Regular"/>
          <w:spacing w:val="1"/>
          <w:sz w:val="14"/>
        </w:rPr>
        <w:t>4058</w:t>
      </w:r>
      <w:r>
        <w:rPr>
          <w:rFonts w:ascii="Theinhardt Regular"/>
          <w:sz w:val="14"/>
        </w:rPr>
        <w:t> </w:t>
      </w:r>
      <w:r>
        <w:rPr>
          <w:rFonts w:ascii="Theinhardt Regular"/>
          <w:spacing w:val="2"/>
          <w:sz w:val="14"/>
        </w:rPr>
        <w:t>Basel</w:t>
      </w:r>
      <w:r>
        <w:rPr>
          <w:rFonts w:ascii="Theinhardt Regular"/>
          <w:spacing w:val="40"/>
          <w:sz w:val="14"/>
        </w:rPr>
        <w:t> </w:t>
      </w:r>
      <w:r>
        <w:rPr>
          <w:rFonts w:ascii="Theinhardt Regular"/>
          <w:spacing w:val="-2"/>
          <w:sz w:val="14"/>
        </w:rPr>
        <w:t>Tel.</w:t>
      </w:r>
      <w:r>
        <w:rPr>
          <w:rFonts w:ascii="Theinhardt Regular"/>
          <w:sz w:val="14"/>
        </w:rPr>
        <w:t> 061 </w:t>
      </w:r>
      <w:r>
        <w:rPr>
          <w:rFonts w:ascii="Theinhardt Regular"/>
          <w:spacing w:val="1"/>
          <w:sz w:val="14"/>
        </w:rPr>
        <w:t>683</w:t>
      </w:r>
      <w:r>
        <w:rPr>
          <w:rFonts w:ascii="Theinhardt Regular"/>
          <w:sz w:val="14"/>
        </w:rPr>
        <w:t> 36 </w:t>
      </w:r>
      <w:r>
        <w:rPr>
          <w:rFonts w:ascii="Theinhardt Regular"/>
          <w:spacing w:val="1"/>
          <w:sz w:val="14"/>
        </w:rPr>
        <w:t>00</w:t>
      </w:r>
      <w:hyperlink r:id="rId6">
        <w:r>
          <w:rPr>
            <w:rFonts w:ascii="Theinhardt Regular"/>
            <w:spacing w:val="1"/>
            <w:sz w:val="14"/>
          </w:rPr>
          <w:t>,</w:t>
        </w:r>
        <w:r>
          <w:rPr>
            <w:rFonts w:ascii="Theinhardt Regular"/>
            <w:sz w:val="14"/>
          </w:rPr>
          <w:t> </w:t>
        </w:r>
        <w:r>
          <w:rPr>
            <w:rFonts w:ascii="Theinhardt Regular"/>
            <w:spacing w:val="1"/>
            <w:sz w:val="14"/>
          </w:rPr>
          <w:t>mail@moosmann-bitterli.ch</w:t>
        </w:r>
      </w:hyperlink>
    </w:p>
    <w:p>
      <w:pPr>
        <w:spacing w:line="172" w:lineRule="exact" w:before="38"/>
        <w:ind w:left="166" w:right="0" w:firstLine="0"/>
        <w:jc w:val="left"/>
        <w:rPr>
          <w:rFonts w:ascii="Theinhardt Bold" w:hAnsi="Theinhardt Bold" w:cs="Theinhardt Bold" w:eastAsia="Theinhardt Bold"/>
          <w:sz w:val="14"/>
          <w:szCs w:val="14"/>
        </w:rPr>
      </w:pPr>
      <w:r>
        <w:rPr>
          <w:rFonts w:ascii="Theinhardt Bold"/>
          <w:b/>
          <w:spacing w:val="1"/>
          <w:sz w:val="14"/>
        </w:rPr>
        <w:t>Energieingenieur:</w:t>
      </w:r>
      <w:r>
        <w:rPr>
          <w:rFonts w:ascii="Theinhardt Bold"/>
          <w:sz w:val="14"/>
        </w:rPr>
      </w:r>
    </w:p>
    <w:p>
      <w:pPr>
        <w:spacing w:line="207" w:lineRule="auto" w:before="6"/>
        <w:ind w:left="166" w:right="542" w:firstLine="0"/>
        <w:jc w:val="left"/>
        <w:rPr>
          <w:rFonts w:ascii="Theinhardt Regular" w:hAnsi="Theinhardt Regular" w:cs="Theinhardt Regular" w:eastAsia="Theinhardt Regular"/>
          <w:sz w:val="14"/>
          <w:szCs w:val="14"/>
        </w:rPr>
      </w:pPr>
      <w:r>
        <w:rPr>
          <w:rFonts w:ascii="Theinhardt Regular" w:hAnsi="Theinhardt Regular"/>
          <w:spacing w:val="1"/>
          <w:sz w:val="14"/>
        </w:rPr>
        <w:t>Moosmann</w:t>
      </w:r>
      <w:r>
        <w:rPr>
          <w:rFonts w:ascii="Theinhardt Regular" w:hAnsi="Theinhardt Regular"/>
          <w:sz w:val="14"/>
        </w:rPr>
        <w:t> </w:t>
      </w:r>
      <w:r>
        <w:rPr>
          <w:rFonts w:ascii="Theinhardt Regular" w:hAnsi="Theinhardt Regular"/>
          <w:spacing w:val="2"/>
          <w:sz w:val="14"/>
        </w:rPr>
        <w:t>Bitterli</w:t>
      </w:r>
      <w:r>
        <w:rPr>
          <w:rFonts w:ascii="Theinhardt Regular" w:hAnsi="Theinhardt Regular"/>
          <w:sz w:val="14"/>
        </w:rPr>
        <w:t> </w:t>
      </w:r>
      <w:r>
        <w:rPr>
          <w:rFonts w:ascii="Theinhardt Regular" w:hAnsi="Theinhardt Regular"/>
          <w:spacing w:val="2"/>
          <w:sz w:val="14"/>
        </w:rPr>
        <w:t>Architekten</w:t>
      </w:r>
      <w:r>
        <w:rPr>
          <w:rFonts w:ascii="Theinhardt Regular" w:hAnsi="Theinhardt Regular"/>
          <w:sz w:val="14"/>
        </w:rPr>
        <w:t> </w:t>
      </w:r>
      <w:r>
        <w:rPr>
          <w:rFonts w:ascii="Theinhardt Regular" w:hAnsi="Theinhardt Regular"/>
          <w:spacing w:val="1"/>
          <w:sz w:val="14"/>
        </w:rPr>
        <w:t>SIA</w:t>
      </w:r>
      <w:r>
        <w:rPr>
          <w:rFonts w:ascii="Theinhardt Regular" w:hAnsi="Theinhardt Regular"/>
          <w:sz w:val="14"/>
        </w:rPr>
        <w:t> </w:t>
      </w:r>
      <w:r>
        <w:rPr>
          <w:rFonts w:ascii="Theinhardt Regular" w:hAnsi="Theinhardt Regular"/>
          <w:spacing w:val="4"/>
          <w:sz w:val="14"/>
        </w:rPr>
        <w:t>STV</w:t>
      </w:r>
      <w:r>
        <w:rPr>
          <w:rFonts w:ascii="Theinhardt Regular" w:hAnsi="Theinhardt Regular"/>
          <w:sz w:val="14"/>
        </w:rPr>
        <w:t> </w:t>
      </w:r>
      <w:r>
        <w:rPr>
          <w:rFonts w:ascii="Theinhardt Regular" w:hAnsi="Theinhardt Regular"/>
          <w:spacing w:val="1"/>
          <w:sz w:val="14"/>
        </w:rPr>
        <w:t>GmbH</w:t>
      </w:r>
      <w:r>
        <w:rPr>
          <w:rFonts w:ascii="Theinhardt Regular" w:hAnsi="Theinhardt Regular"/>
          <w:spacing w:val="32"/>
          <w:sz w:val="14"/>
        </w:rPr>
        <w:t> </w:t>
      </w:r>
      <w:r>
        <w:rPr>
          <w:rFonts w:ascii="Theinhardt Regular" w:hAnsi="Theinhardt Regular"/>
          <w:spacing w:val="1"/>
          <w:sz w:val="14"/>
        </w:rPr>
        <w:t>André</w:t>
      </w:r>
      <w:r>
        <w:rPr>
          <w:rFonts w:ascii="Theinhardt Regular" w:hAnsi="Theinhardt Regular"/>
          <w:sz w:val="14"/>
        </w:rPr>
        <w:t> </w:t>
      </w:r>
      <w:r>
        <w:rPr>
          <w:rFonts w:ascii="Theinhardt Regular" w:hAnsi="Theinhardt Regular"/>
          <w:spacing w:val="1"/>
          <w:sz w:val="14"/>
        </w:rPr>
        <w:t>Moosmann/Andreas</w:t>
      </w:r>
      <w:r>
        <w:rPr>
          <w:rFonts w:ascii="Theinhardt Regular" w:hAnsi="Theinhardt Regular"/>
          <w:sz w:val="14"/>
        </w:rPr>
        <w:t> </w:t>
      </w:r>
      <w:r>
        <w:rPr>
          <w:rFonts w:ascii="Theinhardt Regular" w:hAnsi="Theinhardt Regular"/>
          <w:spacing w:val="2"/>
          <w:sz w:val="14"/>
        </w:rPr>
        <w:t>Bitterli</w:t>
      </w:r>
      <w:r>
        <w:rPr>
          <w:rFonts w:ascii="Theinhardt Regular" w:hAnsi="Theinhardt Regular"/>
          <w:spacing w:val="30"/>
          <w:sz w:val="14"/>
        </w:rPr>
        <w:t> </w:t>
      </w:r>
      <w:r>
        <w:rPr>
          <w:rFonts w:ascii="Theinhardt Regular" w:hAnsi="Theinhardt Regular"/>
          <w:spacing w:val="2"/>
          <w:sz w:val="14"/>
        </w:rPr>
        <w:t>Mattenstrasse</w:t>
      </w:r>
      <w:r>
        <w:rPr>
          <w:rFonts w:ascii="Theinhardt Regular" w:hAnsi="Theinhardt Regular"/>
          <w:sz w:val="14"/>
        </w:rPr>
        <w:t> </w:t>
      </w:r>
      <w:r>
        <w:rPr>
          <w:rFonts w:ascii="Theinhardt Regular" w:hAnsi="Theinhardt Regular"/>
          <w:spacing w:val="-1"/>
          <w:sz w:val="14"/>
        </w:rPr>
        <w:t>16a,</w:t>
      </w:r>
      <w:r>
        <w:rPr>
          <w:rFonts w:ascii="Theinhardt Regular" w:hAnsi="Theinhardt Regular"/>
          <w:sz w:val="14"/>
        </w:rPr>
        <w:t> </w:t>
      </w:r>
      <w:r>
        <w:rPr>
          <w:rFonts w:ascii="Theinhardt Regular" w:hAnsi="Theinhardt Regular"/>
          <w:spacing w:val="1"/>
          <w:sz w:val="14"/>
        </w:rPr>
        <w:t>4058</w:t>
      </w:r>
      <w:r>
        <w:rPr>
          <w:rFonts w:ascii="Theinhardt Regular" w:hAnsi="Theinhardt Regular"/>
          <w:sz w:val="14"/>
        </w:rPr>
        <w:t> </w:t>
      </w:r>
      <w:r>
        <w:rPr>
          <w:rFonts w:ascii="Theinhardt Regular" w:hAnsi="Theinhardt Regular"/>
          <w:spacing w:val="2"/>
          <w:sz w:val="14"/>
        </w:rPr>
        <w:t>Basel</w:t>
      </w:r>
    </w:p>
    <w:p>
      <w:pPr>
        <w:spacing w:line="167" w:lineRule="exact" w:before="0"/>
        <w:ind w:left="166" w:right="0" w:firstLine="0"/>
        <w:jc w:val="left"/>
        <w:rPr>
          <w:rFonts w:ascii="Theinhardt Regular" w:hAnsi="Theinhardt Regular" w:cs="Theinhardt Regular" w:eastAsia="Theinhardt Regular"/>
          <w:sz w:val="14"/>
          <w:szCs w:val="14"/>
        </w:rPr>
      </w:pPr>
      <w:r>
        <w:rPr>
          <w:rFonts w:ascii="Theinhardt Regular"/>
          <w:spacing w:val="-2"/>
          <w:sz w:val="14"/>
        </w:rPr>
        <w:t>Tel.</w:t>
      </w:r>
      <w:r>
        <w:rPr>
          <w:rFonts w:ascii="Theinhardt Regular"/>
          <w:sz w:val="14"/>
        </w:rPr>
        <w:t> 061 </w:t>
      </w:r>
      <w:r>
        <w:rPr>
          <w:rFonts w:ascii="Theinhardt Regular"/>
          <w:spacing w:val="1"/>
          <w:sz w:val="14"/>
        </w:rPr>
        <w:t>683</w:t>
      </w:r>
      <w:r>
        <w:rPr>
          <w:rFonts w:ascii="Theinhardt Regular"/>
          <w:sz w:val="14"/>
        </w:rPr>
        <w:t> 36 </w:t>
      </w:r>
      <w:r>
        <w:rPr>
          <w:rFonts w:ascii="Theinhardt Regular"/>
          <w:spacing w:val="1"/>
          <w:sz w:val="14"/>
        </w:rPr>
        <w:t>00</w:t>
      </w:r>
      <w:hyperlink r:id="rId6">
        <w:r>
          <w:rPr>
            <w:rFonts w:ascii="Theinhardt Regular"/>
            <w:spacing w:val="1"/>
            <w:sz w:val="14"/>
          </w:rPr>
          <w:t>,</w:t>
        </w:r>
        <w:r>
          <w:rPr>
            <w:rFonts w:ascii="Theinhardt Regular"/>
            <w:sz w:val="14"/>
          </w:rPr>
          <w:t> </w:t>
        </w:r>
        <w:r>
          <w:rPr>
            <w:rFonts w:ascii="Theinhardt Regular"/>
            <w:spacing w:val="1"/>
            <w:sz w:val="14"/>
          </w:rPr>
          <w:t>mail@moosmann-bitterli.ch</w:t>
        </w:r>
      </w:hyperlink>
    </w:p>
    <w:p>
      <w:pPr>
        <w:spacing w:line="172" w:lineRule="exact" w:before="32"/>
        <w:ind w:left="166" w:right="0" w:firstLine="0"/>
        <w:jc w:val="left"/>
        <w:rPr>
          <w:rFonts w:ascii="Theinhardt Bold" w:hAnsi="Theinhardt Bold" w:cs="Theinhardt Bold" w:eastAsia="Theinhardt Bold"/>
          <w:sz w:val="14"/>
          <w:szCs w:val="14"/>
        </w:rPr>
      </w:pPr>
      <w:r>
        <w:rPr>
          <w:rFonts w:ascii="Theinhardt Bold"/>
          <w:b/>
          <w:spacing w:val="1"/>
          <w:sz w:val="14"/>
        </w:rPr>
        <w:t>HLK-Planer:</w:t>
      </w:r>
      <w:r>
        <w:rPr>
          <w:rFonts w:ascii="Theinhardt Bold"/>
          <w:sz w:val="14"/>
        </w:rPr>
      </w:r>
    </w:p>
    <w:p>
      <w:pPr>
        <w:spacing w:line="207" w:lineRule="auto" w:before="6"/>
        <w:ind w:left="166" w:right="141" w:firstLine="0"/>
        <w:jc w:val="left"/>
        <w:rPr>
          <w:rFonts w:ascii="Theinhardt Regular" w:hAnsi="Theinhardt Regular" w:cs="Theinhardt Regular" w:eastAsia="Theinhardt Regular"/>
          <w:sz w:val="14"/>
          <w:szCs w:val="14"/>
        </w:rPr>
      </w:pPr>
      <w:r>
        <w:rPr>
          <w:rFonts w:ascii="Theinhardt Regular" w:hAnsi="Theinhardt Regular"/>
          <w:spacing w:val="1"/>
          <w:sz w:val="14"/>
        </w:rPr>
        <w:t>Waldhauser</w:t>
      </w:r>
      <w:r>
        <w:rPr>
          <w:rFonts w:ascii="Theinhardt Regular" w:hAnsi="Theinhardt Regular"/>
          <w:sz w:val="14"/>
        </w:rPr>
        <w:t> + </w:t>
      </w:r>
      <w:r>
        <w:rPr>
          <w:rFonts w:ascii="Theinhardt Regular" w:hAnsi="Theinhardt Regular"/>
          <w:spacing w:val="1"/>
          <w:sz w:val="14"/>
        </w:rPr>
        <w:t>Hermann</w:t>
      </w:r>
      <w:r>
        <w:rPr>
          <w:rFonts w:ascii="Theinhardt Regular" w:hAnsi="Theinhardt Regular"/>
          <w:sz w:val="14"/>
        </w:rPr>
        <w:t> AG, </w:t>
      </w:r>
      <w:r>
        <w:rPr>
          <w:rFonts w:ascii="Theinhardt Regular" w:hAnsi="Theinhardt Regular"/>
          <w:spacing w:val="1"/>
          <w:sz w:val="14"/>
        </w:rPr>
        <w:t>Ingenieurbüro</w:t>
      </w:r>
      <w:r>
        <w:rPr>
          <w:rFonts w:ascii="Theinhardt Regular" w:hAnsi="Theinhardt Regular"/>
          <w:sz w:val="14"/>
        </w:rPr>
        <w:t> </w:t>
      </w:r>
      <w:r>
        <w:rPr>
          <w:rFonts w:ascii="Theinhardt Regular" w:hAnsi="Theinhardt Regular"/>
          <w:spacing w:val="1"/>
          <w:sz w:val="14"/>
        </w:rPr>
        <w:t>USIC</w:t>
      </w:r>
      <w:r>
        <w:rPr>
          <w:rFonts w:ascii="Theinhardt Regular" w:hAnsi="Theinhardt Regular"/>
          <w:sz w:val="14"/>
        </w:rPr>
        <w:t> </w:t>
      </w:r>
      <w:r>
        <w:rPr>
          <w:rFonts w:ascii="Theinhardt Regular" w:hAnsi="Theinhardt Regular"/>
          <w:spacing w:val="1"/>
          <w:sz w:val="14"/>
        </w:rPr>
        <w:t>SIA</w:t>
      </w:r>
      <w:r>
        <w:rPr>
          <w:rFonts w:ascii="Theinhardt Regular" w:hAnsi="Theinhardt Regular"/>
          <w:spacing w:val="44"/>
          <w:sz w:val="14"/>
        </w:rPr>
        <w:t> </w:t>
      </w:r>
      <w:r>
        <w:rPr>
          <w:rFonts w:ascii="Theinhardt Regular" w:hAnsi="Theinhardt Regular"/>
          <w:spacing w:val="1"/>
          <w:sz w:val="14"/>
        </w:rPr>
        <w:t>Janine</w:t>
      </w:r>
      <w:r>
        <w:rPr>
          <w:rFonts w:ascii="Theinhardt Regular" w:hAnsi="Theinhardt Regular"/>
          <w:sz w:val="14"/>
        </w:rPr>
        <w:t> </w:t>
      </w:r>
      <w:r>
        <w:rPr>
          <w:rFonts w:ascii="Theinhardt Regular" w:hAnsi="Theinhardt Regular"/>
          <w:spacing w:val="1"/>
          <w:sz w:val="14"/>
        </w:rPr>
        <w:t>Jerg,</w:t>
      </w:r>
      <w:r>
        <w:rPr>
          <w:rFonts w:ascii="Theinhardt Regular" w:hAnsi="Theinhardt Regular"/>
          <w:sz w:val="14"/>
        </w:rPr>
        <w:t> </w:t>
      </w:r>
      <w:r>
        <w:rPr>
          <w:rFonts w:ascii="Theinhardt Regular" w:hAnsi="Theinhardt Regular"/>
          <w:spacing w:val="2"/>
          <w:sz w:val="14"/>
        </w:rPr>
        <w:t>Florenzstrasse</w:t>
      </w:r>
      <w:r>
        <w:rPr>
          <w:rFonts w:ascii="Theinhardt Regular" w:hAnsi="Theinhardt Regular"/>
          <w:sz w:val="14"/>
        </w:rPr>
        <w:t> </w:t>
      </w:r>
      <w:r>
        <w:rPr>
          <w:rFonts w:ascii="Theinhardt Regular" w:hAnsi="Theinhardt Regular"/>
          <w:spacing w:val="-3"/>
          <w:sz w:val="14"/>
        </w:rPr>
        <w:t>1D,</w:t>
      </w:r>
      <w:r>
        <w:rPr>
          <w:rFonts w:ascii="Theinhardt Regular" w:hAnsi="Theinhardt Regular"/>
          <w:sz w:val="14"/>
        </w:rPr>
        <w:t> </w:t>
      </w:r>
      <w:r>
        <w:rPr>
          <w:rFonts w:ascii="Theinhardt Regular" w:hAnsi="Theinhardt Regular"/>
          <w:spacing w:val="-5"/>
          <w:sz w:val="14"/>
        </w:rPr>
        <w:t>4142</w:t>
      </w:r>
      <w:r>
        <w:rPr>
          <w:rFonts w:ascii="Theinhardt Regular" w:hAnsi="Theinhardt Regular"/>
          <w:sz w:val="14"/>
        </w:rPr>
        <w:t> </w:t>
      </w:r>
      <w:r>
        <w:rPr>
          <w:rFonts w:ascii="Theinhardt Regular" w:hAnsi="Theinhardt Regular"/>
          <w:spacing w:val="1"/>
          <w:sz w:val="14"/>
        </w:rPr>
        <w:t>Münchenstein</w:t>
      </w:r>
      <w:r>
        <w:rPr>
          <w:rFonts w:ascii="Theinhardt Regular" w:hAnsi="Theinhardt Regular"/>
          <w:spacing w:val="48"/>
          <w:sz w:val="14"/>
        </w:rPr>
        <w:t> </w:t>
      </w:r>
      <w:r>
        <w:rPr>
          <w:rFonts w:ascii="Theinhardt Regular" w:hAnsi="Theinhardt Regular"/>
          <w:spacing w:val="-2"/>
          <w:sz w:val="14"/>
        </w:rPr>
        <w:t>Tel.</w:t>
      </w:r>
      <w:r>
        <w:rPr>
          <w:rFonts w:ascii="Theinhardt Regular" w:hAnsi="Theinhardt Regular"/>
          <w:sz w:val="14"/>
        </w:rPr>
        <w:t> 061 336 94 9</w:t>
      </w:r>
      <w:hyperlink r:id="rId7">
        <w:r>
          <w:rPr>
            <w:rFonts w:ascii="Theinhardt Regular" w:hAnsi="Theinhardt Regular"/>
            <w:sz w:val="14"/>
          </w:rPr>
          <w:t>4, </w:t>
        </w:r>
        <w:r>
          <w:rPr>
            <w:rFonts w:ascii="Theinhardt Regular" w:hAnsi="Theinhardt Regular"/>
            <w:spacing w:val="1"/>
            <w:sz w:val="14"/>
          </w:rPr>
          <w:t>mail@waldhauser-hermann.ch</w:t>
        </w:r>
      </w:hyperlink>
    </w:p>
    <w:p>
      <w:pPr>
        <w:spacing w:line="172" w:lineRule="exact" w:before="38"/>
        <w:ind w:left="166" w:right="0" w:firstLine="0"/>
        <w:jc w:val="left"/>
        <w:rPr>
          <w:rFonts w:ascii="Theinhardt Bold" w:hAnsi="Theinhardt Bold" w:cs="Theinhardt Bold" w:eastAsia="Theinhardt Bold"/>
          <w:sz w:val="14"/>
          <w:szCs w:val="14"/>
        </w:rPr>
      </w:pPr>
      <w:r>
        <w:rPr>
          <w:rFonts w:ascii="Theinhardt Bold"/>
          <w:b/>
          <w:spacing w:val="1"/>
          <w:sz w:val="14"/>
        </w:rPr>
        <w:t>PV-Anlage:</w:t>
      </w:r>
      <w:r>
        <w:rPr>
          <w:rFonts w:ascii="Theinhardt Bold"/>
          <w:sz w:val="14"/>
        </w:rPr>
      </w:r>
    </w:p>
    <w:p>
      <w:pPr>
        <w:spacing w:line="160" w:lineRule="exact" w:before="0"/>
        <w:ind w:left="166" w:right="0" w:firstLine="0"/>
        <w:jc w:val="left"/>
        <w:rPr>
          <w:rFonts w:ascii="Theinhardt Bold" w:hAnsi="Theinhardt Bold" w:cs="Theinhardt Bold" w:eastAsia="Theinhardt Bold"/>
          <w:sz w:val="14"/>
          <w:szCs w:val="14"/>
        </w:rPr>
      </w:pPr>
      <w:r>
        <w:rPr>
          <w:rFonts w:ascii="Theinhardt Bold"/>
          <w:b/>
          <w:spacing w:val="1"/>
          <w:sz w:val="14"/>
        </w:rPr>
        <w:t>Eternit</w:t>
      </w:r>
      <w:r>
        <w:rPr>
          <w:rFonts w:ascii="Theinhardt Bold"/>
          <w:b/>
          <w:sz w:val="14"/>
        </w:rPr>
        <w:t> </w:t>
      </w:r>
      <w:r>
        <w:rPr>
          <w:rFonts w:ascii="Theinhardt Bold"/>
          <w:b/>
          <w:spacing w:val="1"/>
          <w:sz w:val="14"/>
        </w:rPr>
        <w:t>(Schweiz)</w:t>
      </w:r>
      <w:r>
        <w:rPr>
          <w:rFonts w:ascii="Theinhardt Bold"/>
          <w:b/>
          <w:sz w:val="14"/>
        </w:rPr>
        <w:t> AG</w:t>
      </w:r>
      <w:r>
        <w:rPr>
          <w:rFonts w:ascii="Theinhardt Bold"/>
          <w:sz w:val="14"/>
        </w:rPr>
      </w:r>
    </w:p>
    <w:p>
      <w:pPr>
        <w:spacing w:line="160" w:lineRule="exact" w:before="0"/>
        <w:ind w:left="166" w:right="0" w:firstLine="0"/>
        <w:jc w:val="left"/>
        <w:rPr>
          <w:rFonts w:ascii="Theinhardt Regular" w:hAnsi="Theinhardt Regular" w:cs="Theinhardt Regular" w:eastAsia="Theinhardt Regular"/>
          <w:sz w:val="14"/>
          <w:szCs w:val="14"/>
        </w:rPr>
      </w:pPr>
      <w:r>
        <w:rPr>
          <w:rFonts w:ascii="Theinhardt Regular"/>
          <w:spacing w:val="1"/>
          <w:sz w:val="14"/>
        </w:rPr>
        <w:t>Michael</w:t>
      </w:r>
      <w:r>
        <w:rPr>
          <w:rFonts w:ascii="Theinhardt Regular"/>
          <w:sz w:val="14"/>
        </w:rPr>
        <w:t> Looser, </w:t>
      </w:r>
      <w:r>
        <w:rPr>
          <w:rFonts w:ascii="Theinhardt Regular"/>
          <w:spacing w:val="2"/>
          <w:sz w:val="14"/>
        </w:rPr>
        <w:t>Eternitstrasse</w:t>
      </w:r>
      <w:r>
        <w:rPr>
          <w:rFonts w:ascii="Theinhardt Regular"/>
          <w:sz w:val="14"/>
        </w:rPr>
        <w:t> 3, 8867 </w:t>
      </w:r>
      <w:r>
        <w:rPr>
          <w:rFonts w:ascii="Theinhardt Regular"/>
          <w:spacing w:val="2"/>
          <w:sz w:val="14"/>
        </w:rPr>
        <w:t>Niederurnen</w:t>
      </w:r>
      <w:r>
        <w:rPr>
          <w:rFonts w:ascii="Theinhardt Regular"/>
          <w:sz w:val="14"/>
        </w:rPr>
      </w:r>
    </w:p>
    <w:p>
      <w:pPr>
        <w:spacing w:line="172" w:lineRule="exact" w:before="0"/>
        <w:ind w:left="166" w:right="0" w:firstLine="0"/>
        <w:jc w:val="left"/>
        <w:rPr>
          <w:rFonts w:ascii="Theinhardt Regular" w:hAnsi="Theinhardt Regular" w:cs="Theinhardt Regular" w:eastAsia="Theinhardt Regular"/>
          <w:sz w:val="14"/>
          <w:szCs w:val="14"/>
        </w:rPr>
      </w:pPr>
      <w:r>
        <w:rPr>
          <w:rFonts w:ascii="Theinhardt Regular"/>
          <w:spacing w:val="-2"/>
          <w:sz w:val="14"/>
        </w:rPr>
        <w:t>Tel.</w:t>
      </w:r>
      <w:r>
        <w:rPr>
          <w:rFonts w:ascii="Theinhardt Regular"/>
          <w:sz w:val="14"/>
        </w:rPr>
        <w:t> 055 </w:t>
      </w:r>
      <w:r>
        <w:rPr>
          <w:rFonts w:ascii="Theinhardt Regular"/>
          <w:spacing w:val="-5"/>
          <w:sz w:val="14"/>
        </w:rPr>
        <w:t>617</w:t>
      </w:r>
      <w:r>
        <w:rPr>
          <w:rFonts w:ascii="Theinhardt Regular"/>
          <w:sz w:val="14"/>
        </w:rPr>
        <w:t> </w:t>
      </w:r>
      <w:r>
        <w:rPr>
          <w:rFonts w:ascii="Theinhardt Regular"/>
          <w:spacing w:val="-7"/>
          <w:sz w:val="14"/>
        </w:rPr>
        <w:t>11</w:t>
      </w:r>
      <w:r>
        <w:rPr>
          <w:rFonts w:ascii="Theinhardt Regular"/>
          <w:sz w:val="14"/>
        </w:rPr>
        <w:t> 40</w:t>
      </w:r>
      <w:hyperlink r:id="rId8">
        <w:r>
          <w:rPr>
            <w:rFonts w:ascii="Theinhardt Regular"/>
            <w:sz w:val="14"/>
          </w:rPr>
          <w:t>, </w:t>
        </w:r>
        <w:r>
          <w:rPr>
            <w:rFonts w:ascii="Theinhardt Regular"/>
            <w:spacing w:val="2"/>
            <w:sz w:val="14"/>
          </w:rPr>
          <w:t>solar@swisspearl.ch</w:t>
        </w:r>
      </w:hyperlink>
    </w:p>
    <w:p>
      <w:pPr>
        <w:spacing w:line="160" w:lineRule="exact" w:before="39"/>
        <w:ind w:left="166" w:right="1445" w:firstLine="0"/>
        <w:jc w:val="left"/>
        <w:rPr>
          <w:rFonts w:ascii="Theinhardt Regular" w:hAnsi="Theinhardt Regular" w:cs="Theinhardt Regular" w:eastAsia="Theinhardt Regular"/>
          <w:sz w:val="14"/>
          <w:szCs w:val="14"/>
        </w:rPr>
      </w:pPr>
      <w:r>
        <w:rPr>
          <w:rFonts w:ascii="Theinhardt Bold" w:hAnsi="Theinhardt Bold"/>
          <w:b/>
          <w:spacing w:val="1"/>
          <w:sz w:val="14"/>
        </w:rPr>
        <w:t>Solvatec</w:t>
      </w:r>
      <w:r>
        <w:rPr>
          <w:rFonts w:ascii="Theinhardt Bold" w:hAnsi="Theinhardt Bold"/>
          <w:b/>
          <w:sz w:val="14"/>
        </w:rPr>
        <w:t> AG</w:t>
      </w:r>
      <w:r>
        <w:rPr>
          <w:rFonts w:ascii="Theinhardt Regular" w:hAnsi="Theinhardt Regular"/>
          <w:sz w:val="14"/>
        </w:rPr>
        <w:t>, </w:t>
      </w:r>
      <w:r>
        <w:rPr>
          <w:rFonts w:ascii="Theinhardt Regular" w:hAnsi="Theinhardt Regular"/>
          <w:spacing w:val="1"/>
          <w:sz w:val="14"/>
        </w:rPr>
        <w:t>Dominik</w:t>
      </w:r>
      <w:r>
        <w:rPr>
          <w:rFonts w:ascii="Theinhardt Regular" w:hAnsi="Theinhardt Regular"/>
          <w:sz w:val="14"/>
        </w:rPr>
        <w:t> </w:t>
      </w:r>
      <w:r>
        <w:rPr>
          <w:rFonts w:ascii="Theinhardt Regular" w:hAnsi="Theinhardt Regular"/>
          <w:spacing w:val="1"/>
          <w:sz w:val="14"/>
        </w:rPr>
        <w:t>Müller</w:t>
      </w:r>
      <w:r>
        <w:rPr>
          <w:rFonts w:ascii="Theinhardt Regular" w:hAnsi="Theinhardt Regular"/>
          <w:spacing w:val="22"/>
          <w:sz w:val="14"/>
        </w:rPr>
        <w:t> </w:t>
      </w:r>
      <w:r>
        <w:rPr>
          <w:rFonts w:ascii="Theinhardt Regular" w:hAnsi="Theinhardt Regular"/>
          <w:spacing w:val="2"/>
          <w:sz w:val="14"/>
        </w:rPr>
        <w:t>Bordeaux-Strasse</w:t>
      </w:r>
      <w:r>
        <w:rPr>
          <w:rFonts w:ascii="Theinhardt Regular" w:hAnsi="Theinhardt Regular"/>
          <w:sz w:val="14"/>
        </w:rPr>
        <w:t> </w:t>
      </w:r>
      <w:r>
        <w:rPr>
          <w:rFonts w:ascii="Theinhardt Regular" w:hAnsi="Theinhardt Regular"/>
          <w:spacing w:val="-1"/>
          <w:sz w:val="14"/>
        </w:rPr>
        <w:t>5,</w:t>
      </w:r>
      <w:r>
        <w:rPr>
          <w:rFonts w:ascii="Theinhardt Regular" w:hAnsi="Theinhardt Regular"/>
          <w:sz w:val="14"/>
        </w:rPr>
        <w:t> 4052 </w:t>
      </w:r>
      <w:r>
        <w:rPr>
          <w:rFonts w:ascii="Theinhardt Regular" w:hAnsi="Theinhardt Regular"/>
          <w:spacing w:val="2"/>
          <w:sz w:val="14"/>
        </w:rPr>
        <w:t>Basel</w:t>
      </w:r>
    </w:p>
    <w:p>
      <w:pPr>
        <w:spacing w:line="177" w:lineRule="exact" w:before="0"/>
        <w:ind w:left="166" w:right="0" w:firstLine="0"/>
        <w:jc w:val="left"/>
        <w:rPr>
          <w:rFonts w:ascii="Theinhardt Regular" w:hAnsi="Theinhardt Regular" w:cs="Theinhardt Regular" w:eastAsia="Theinhardt Regular"/>
          <w:sz w:val="14"/>
          <w:szCs w:val="14"/>
        </w:rPr>
      </w:pPr>
      <w:r>
        <w:rPr>
          <w:rFonts w:ascii="Theinhardt Regular"/>
          <w:spacing w:val="-2"/>
          <w:sz w:val="14"/>
        </w:rPr>
        <w:t>Tel.</w:t>
      </w:r>
      <w:r>
        <w:rPr>
          <w:rFonts w:ascii="Theinhardt Regular"/>
          <w:sz w:val="14"/>
        </w:rPr>
        <w:t> 061 </w:t>
      </w:r>
      <w:r>
        <w:rPr>
          <w:rFonts w:ascii="Theinhardt Regular"/>
          <w:spacing w:val="1"/>
          <w:sz w:val="14"/>
        </w:rPr>
        <w:t>690</w:t>
      </w:r>
      <w:r>
        <w:rPr>
          <w:rFonts w:ascii="Theinhardt Regular"/>
          <w:sz w:val="14"/>
        </w:rPr>
        <w:t> </w:t>
      </w:r>
      <w:r>
        <w:rPr>
          <w:rFonts w:ascii="Theinhardt Regular"/>
          <w:spacing w:val="1"/>
          <w:sz w:val="14"/>
        </w:rPr>
        <w:t>90</w:t>
      </w:r>
      <w:r>
        <w:rPr>
          <w:rFonts w:ascii="Theinhardt Regular"/>
          <w:sz w:val="14"/>
        </w:rPr>
        <w:t> </w:t>
      </w:r>
      <w:r>
        <w:rPr>
          <w:rFonts w:ascii="Theinhardt Regular"/>
          <w:spacing w:val="1"/>
          <w:sz w:val="14"/>
        </w:rPr>
        <w:t>00</w:t>
      </w:r>
      <w:hyperlink r:id="rId9">
        <w:r>
          <w:rPr>
            <w:rFonts w:ascii="Theinhardt Regular"/>
            <w:spacing w:val="1"/>
            <w:sz w:val="14"/>
          </w:rPr>
          <w:t>,</w:t>
        </w:r>
        <w:r>
          <w:rPr>
            <w:rFonts w:ascii="Theinhardt Regular"/>
            <w:sz w:val="14"/>
          </w:rPr>
          <w:t> </w:t>
        </w:r>
        <w:r>
          <w:rPr>
            <w:rFonts w:ascii="Theinhardt Regular"/>
            <w:spacing w:val="1"/>
            <w:sz w:val="14"/>
          </w:rPr>
          <w:t>info@solvatec.ch</w:t>
        </w:r>
      </w:hyperlink>
    </w:p>
    <w:p>
      <w:pPr>
        <w:spacing w:after="0" w:line="177" w:lineRule="exact"/>
        <w:jc w:val="left"/>
        <w:rPr>
          <w:rFonts w:ascii="Theinhardt Regular" w:hAnsi="Theinhardt Regular" w:cs="Theinhardt Regular" w:eastAsia="Theinhardt Regular"/>
          <w:sz w:val="14"/>
          <w:szCs w:val="14"/>
        </w:rPr>
        <w:sectPr>
          <w:type w:val="continuous"/>
          <w:pgSz w:w="11910" w:h="16840"/>
          <w:pgMar w:top="860" w:bottom="280" w:left="400" w:right="740"/>
          <w:cols w:num="3" w:equalWidth="0">
            <w:col w:w="3513" w:space="59"/>
            <w:col w:w="3520" w:space="52"/>
            <w:col w:w="3626"/>
          </w:cols>
        </w:sectPr>
      </w:pPr>
    </w:p>
    <w:p>
      <w:pPr>
        <w:spacing w:line="240" w:lineRule="auto" w:before="9"/>
        <w:rPr>
          <w:rFonts w:ascii="Theinhardt Regular" w:hAnsi="Theinhardt Regular" w:cs="Theinhardt Regular" w:eastAsia="Theinhardt Regular"/>
          <w:sz w:val="2"/>
          <w:szCs w:val="2"/>
        </w:rPr>
      </w:pPr>
    </w:p>
    <w:p>
      <w:pPr>
        <w:spacing w:line="20" w:lineRule="atLeast"/>
        <w:ind w:left="7310" w:right="0" w:firstLine="0"/>
        <w:rPr>
          <w:rFonts w:ascii="Theinhardt Regular" w:hAnsi="Theinhardt Regular" w:cs="Theinhardt Regular" w:eastAsia="Theinhardt Regular"/>
          <w:sz w:val="2"/>
          <w:szCs w:val="2"/>
        </w:rPr>
      </w:pPr>
      <w:r>
        <w:rPr>
          <w:rFonts w:ascii="Theinhardt Regular" w:hAnsi="Theinhardt Regular" w:cs="Theinhardt Regular" w:eastAsia="Theinhardt Regular"/>
          <w:sz w:val="2"/>
          <w:szCs w:val="2"/>
        </w:rPr>
        <w:pict>
          <v:group style="width:167.25pt;height:.45pt;mso-position-horizontal-relative:char;mso-position-vertical-relative:line" coordorigin="0,0" coordsize="3345,9">
            <v:group style="position:absolute;left:21;top:4;width:3311;height:2" coordorigin="21,4" coordsize="3311,2">
              <v:shape style="position:absolute;left:21;top:4;width:3311;height:2" coordorigin="21,4" coordsize="3311,0" path="m21,4l3332,4e" filled="false" stroked="true" strokeweight=".425pt" strokecolor="#000000">
                <v:path arrowok="t"/>
                <v:stroke dashstyle="dash"/>
              </v:shape>
            </v:group>
            <v:group style="position:absolute;left:4;top:4;width:2;height:2" coordorigin="4,4" coordsize="2,2">
              <v:shape style="position:absolute;left:4;top:4;width:2;height:2" coordorigin="4,4" coordsize="0,0" path="m4,4l4,4e" filled="false" stroked="true" strokeweight=".425pt" strokecolor="#000000">
                <v:path arrowok="t"/>
              </v:shape>
            </v:group>
            <v:group style="position:absolute;left:3341;top:4;width:2;height:2" coordorigin="3341,4" coordsize="2,2">
              <v:shape style="position:absolute;left:3341;top:4;width:2;height:2" coordorigin="3341,4" coordsize="0,0" path="m3341,4l3341,4e" filled="false" stroked="true" strokeweight=".425pt" strokecolor="#000000">
                <v:path arrowok="t"/>
              </v:shape>
            </v:group>
          </v:group>
        </w:pict>
      </w:r>
      <w:r>
        <w:rPr>
          <w:rFonts w:ascii="Theinhardt Regular" w:hAnsi="Theinhardt Regular" w:cs="Theinhardt Regular" w:eastAsia="Theinhardt Regular"/>
          <w:sz w:val="2"/>
          <w:szCs w:val="2"/>
        </w:rPr>
      </w:r>
    </w:p>
    <w:p>
      <w:pPr>
        <w:spacing w:line="240" w:lineRule="auto" w:before="0"/>
        <w:rPr>
          <w:rFonts w:ascii="Theinhardt Regular" w:hAnsi="Theinhardt Regular" w:cs="Theinhardt Regular" w:eastAsia="Theinhardt Regular"/>
          <w:sz w:val="20"/>
          <w:szCs w:val="20"/>
        </w:rPr>
      </w:pPr>
    </w:p>
    <w:p>
      <w:pPr>
        <w:spacing w:line="240" w:lineRule="auto" w:before="0"/>
        <w:rPr>
          <w:rFonts w:ascii="Theinhardt Regular" w:hAnsi="Theinhardt Regular" w:cs="Theinhardt Regular" w:eastAsia="Theinhardt Regular"/>
          <w:sz w:val="20"/>
          <w:szCs w:val="20"/>
        </w:rPr>
      </w:pPr>
    </w:p>
    <w:p>
      <w:pPr>
        <w:spacing w:line="240" w:lineRule="auto" w:before="0"/>
        <w:rPr>
          <w:rFonts w:ascii="Theinhardt Regular" w:hAnsi="Theinhardt Regular" w:cs="Theinhardt Regular" w:eastAsia="Theinhardt Regular"/>
          <w:sz w:val="20"/>
          <w:szCs w:val="20"/>
        </w:rPr>
      </w:pPr>
    </w:p>
    <w:p>
      <w:pPr>
        <w:spacing w:line="240" w:lineRule="auto" w:before="10"/>
        <w:rPr>
          <w:rFonts w:ascii="Theinhardt Regular" w:hAnsi="Theinhardt Regular" w:cs="Theinhardt Regular" w:eastAsia="Theinhardt Regular"/>
          <w:sz w:val="29"/>
          <w:szCs w:val="29"/>
        </w:rPr>
      </w:pPr>
    </w:p>
    <w:p>
      <w:pPr>
        <w:spacing w:before="70"/>
        <w:ind w:left="166" w:right="0" w:firstLine="0"/>
        <w:jc w:val="left"/>
        <w:rPr>
          <w:rFonts w:ascii="Theinhardt Regular" w:hAnsi="Theinhardt Regular" w:cs="Theinhardt Regular" w:eastAsia="Theinhardt Regular"/>
          <w:sz w:val="14"/>
          <w:szCs w:val="14"/>
        </w:rPr>
      </w:pPr>
      <w:r>
        <w:rPr>
          <w:rFonts w:ascii="Theinhardt Heavy"/>
          <w:b/>
          <w:sz w:val="14"/>
        </w:rPr>
        <w:t>76    </w:t>
      </w:r>
      <w:r>
        <w:rPr>
          <w:rFonts w:ascii="Theinhardt Heavy"/>
          <w:b/>
          <w:spacing w:val="7"/>
          <w:sz w:val="14"/>
        </w:rPr>
        <w:t> </w:t>
      </w:r>
      <w:r>
        <w:rPr>
          <w:rFonts w:ascii="Theinhardt Regular"/>
          <w:sz w:val="14"/>
        </w:rPr>
        <w:t>|   </w:t>
      </w:r>
      <w:r>
        <w:rPr>
          <w:rFonts w:ascii="Theinhardt Regular"/>
          <w:spacing w:val="14"/>
          <w:sz w:val="14"/>
        </w:rPr>
        <w:t> </w:t>
      </w:r>
      <w:r>
        <w:rPr>
          <w:rFonts w:ascii="Theinhardt Regular"/>
          <w:spacing w:val="-1"/>
          <w:sz w:val="14"/>
        </w:rPr>
        <w:t>Schweizer</w:t>
      </w:r>
      <w:r>
        <w:rPr>
          <w:rFonts w:ascii="Theinhardt Regular"/>
          <w:sz w:val="14"/>
        </w:rPr>
        <w:t> </w:t>
      </w:r>
      <w:r>
        <w:rPr>
          <w:rFonts w:ascii="Theinhardt Regular"/>
          <w:spacing w:val="-1"/>
          <w:sz w:val="14"/>
        </w:rPr>
        <w:t>Solarpreis</w:t>
      </w:r>
      <w:r>
        <w:rPr>
          <w:rFonts w:ascii="Theinhardt Regular"/>
          <w:sz w:val="14"/>
        </w:rPr>
        <w:t> 2016   </w:t>
      </w:r>
      <w:r>
        <w:rPr>
          <w:rFonts w:ascii="Theinhardt Regular"/>
          <w:spacing w:val="14"/>
          <w:sz w:val="14"/>
        </w:rPr>
        <w:t> </w:t>
      </w:r>
      <w:r>
        <w:rPr>
          <w:rFonts w:ascii="Theinhardt Regular"/>
          <w:sz w:val="14"/>
        </w:rPr>
        <w:t>|   </w:t>
      </w:r>
      <w:r>
        <w:rPr>
          <w:rFonts w:ascii="Theinhardt Regular"/>
          <w:spacing w:val="14"/>
          <w:sz w:val="14"/>
        </w:rPr>
        <w:t> </w:t>
      </w:r>
      <w:r>
        <w:rPr>
          <w:rFonts w:ascii="Theinhardt Regular"/>
          <w:spacing w:val="-1"/>
          <w:sz w:val="14"/>
        </w:rPr>
        <w:t>Prix</w:t>
      </w:r>
      <w:r>
        <w:rPr>
          <w:rFonts w:ascii="Theinhardt Regular"/>
          <w:sz w:val="14"/>
        </w:rPr>
        <w:t> </w:t>
      </w:r>
      <w:r>
        <w:rPr>
          <w:rFonts w:ascii="Theinhardt Regular"/>
          <w:spacing w:val="-1"/>
          <w:sz w:val="14"/>
        </w:rPr>
        <w:t>Solaire</w:t>
      </w:r>
      <w:r>
        <w:rPr>
          <w:rFonts w:ascii="Theinhardt Regular"/>
          <w:sz w:val="14"/>
        </w:rPr>
        <w:t> </w:t>
      </w:r>
      <w:r>
        <w:rPr>
          <w:rFonts w:ascii="Theinhardt Regular"/>
          <w:spacing w:val="-1"/>
          <w:sz w:val="14"/>
        </w:rPr>
        <w:t>Suisse</w:t>
      </w:r>
      <w:r>
        <w:rPr>
          <w:rFonts w:ascii="Theinhardt Regular"/>
          <w:sz w:val="14"/>
        </w:rPr>
        <w:t> 2016</w:t>
      </w:r>
    </w:p>
    <w:p>
      <w:pPr>
        <w:spacing w:after="0"/>
        <w:jc w:val="left"/>
        <w:rPr>
          <w:rFonts w:ascii="Theinhardt Regular" w:hAnsi="Theinhardt Regular" w:cs="Theinhardt Regular" w:eastAsia="Theinhardt Regular"/>
          <w:sz w:val="14"/>
          <w:szCs w:val="14"/>
        </w:rPr>
        <w:sectPr>
          <w:type w:val="continuous"/>
          <w:pgSz w:w="11910" w:h="16840"/>
          <w:pgMar w:top="860" w:bottom="280" w:left="400" w:right="740"/>
        </w:sectPr>
      </w:pPr>
    </w:p>
    <w:p>
      <w:pPr>
        <w:spacing w:line="240" w:lineRule="auto" w:before="6"/>
        <w:rPr>
          <w:rFonts w:ascii="Theinhardt Regular" w:hAnsi="Theinhardt Regular" w:cs="Theinhardt Regular" w:eastAsia="Theinhardt Regular"/>
          <w:sz w:val="5"/>
          <w:szCs w:val="5"/>
        </w:rPr>
      </w:pPr>
    </w:p>
    <w:p>
      <w:pPr>
        <w:spacing w:line="200" w:lineRule="atLeast"/>
        <w:ind w:left="110" w:right="0" w:firstLine="0"/>
        <w:rPr>
          <w:rFonts w:ascii="Theinhardt Regular" w:hAnsi="Theinhardt Regular" w:cs="Theinhardt Regular" w:eastAsia="Theinhardt Regular"/>
          <w:sz w:val="20"/>
          <w:szCs w:val="20"/>
        </w:rPr>
      </w:pPr>
      <w:r>
        <w:rPr>
          <w:rFonts w:ascii="Theinhardt Regular" w:hAnsi="Theinhardt Regular" w:cs="Theinhardt Regular" w:eastAsia="Theinhardt Regular"/>
          <w:sz w:val="20"/>
          <w:szCs w:val="20"/>
        </w:rPr>
        <w:drawing>
          <wp:inline distT="0" distB="0" distL="0" distR="0">
            <wp:extent cx="6661549" cy="5221224"/>
            <wp:effectExtent l="0" t="0" r="0" b="0"/>
            <wp:docPr id="1" name="image1.jpeg" descr="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2" name="image1.jpeg"/>
                    <pic:cNvPicPr/>
                  </pic:nvPicPr>
                  <pic:blipFill>
                    <a:blip r:embed="rId10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6661549" cy="522122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heinhardt Regular" w:hAnsi="Theinhardt Regular" w:cs="Theinhardt Regular" w:eastAsia="Theinhardt Regular"/>
          <w:sz w:val="20"/>
          <w:szCs w:val="20"/>
        </w:rPr>
      </w:r>
    </w:p>
    <w:p>
      <w:pPr>
        <w:spacing w:before="28"/>
        <w:ind w:left="110" w:right="0" w:firstLine="0"/>
        <w:jc w:val="left"/>
        <w:rPr>
          <w:rFonts w:ascii="Theinhardt Bold" w:hAnsi="Theinhardt Bold" w:cs="Theinhardt Bold" w:eastAsia="Theinhardt Bold"/>
          <w:sz w:val="14"/>
          <w:szCs w:val="14"/>
        </w:rPr>
      </w:pPr>
      <w:r>
        <w:rPr>
          <w:rFonts w:ascii="Theinhardt Bold"/>
          <w:b/>
          <w:sz w:val="14"/>
        </w:rPr>
        <w:t>1</w:t>
      </w:r>
      <w:r>
        <w:rPr>
          <w:rFonts w:ascii="Theinhardt Bold"/>
          <w:sz w:val="14"/>
        </w:rPr>
      </w:r>
    </w:p>
    <w:p>
      <w:pPr>
        <w:spacing w:line="240" w:lineRule="auto" w:before="0"/>
        <w:rPr>
          <w:rFonts w:ascii="Theinhardt Bold" w:hAnsi="Theinhardt Bold" w:cs="Theinhardt Bold" w:eastAsia="Theinhardt Bold"/>
          <w:b/>
          <w:bCs/>
          <w:sz w:val="2"/>
          <w:szCs w:val="2"/>
        </w:rPr>
      </w:pPr>
    </w:p>
    <w:p>
      <w:pPr>
        <w:tabs>
          <w:tab w:pos="5467" w:val="left" w:leader="none"/>
        </w:tabs>
        <w:spacing w:line="200" w:lineRule="atLeast"/>
        <w:ind w:left="110" w:right="0" w:firstLine="0"/>
        <w:rPr>
          <w:rFonts w:ascii="Theinhardt Bold" w:hAnsi="Theinhardt Bold" w:cs="Theinhardt Bold" w:eastAsia="Theinhardt Bold"/>
          <w:sz w:val="20"/>
          <w:szCs w:val="20"/>
        </w:rPr>
      </w:pPr>
      <w:r>
        <w:rPr>
          <w:rFonts w:ascii="Theinhardt Bold"/>
          <w:position w:val="1"/>
          <w:sz w:val="20"/>
        </w:rPr>
        <w:drawing>
          <wp:inline distT="0" distB="0" distL="0" distR="0">
            <wp:extent cx="3258332" cy="2569464"/>
            <wp:effectExtent l="0" t="0" r="0" b="0"/>
            <wp:docPr id="3" name="image2.jpeg" descr="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4" name="image2.jpeg"/>
                    <pic:cNvPicPr/>
                  </pic:nvPicPr>
                  <pic:blipFill>
                    <a:blip r:embed="rId11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3258332" cy="256946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heinhardt Bold"/>
          <w:position w:val="1"/>
          <w:sz w:val="20"/>
        </w:rPr>
      </w:r>
      <w:r>
        <w:rPr>
          <w:rFonts w:ascii="Theinhardt Bold"/>
          <w:position w:val="1"/>
          <w:sz w:val="20"/>
        </w:rPr>
        <w:tab/>
      </w:r>
      <w:r>
        <w:rPr>
          <w:rFonts w:ascii="Theinhardt Bold"/>
          <w:sz w:val="20"/>
        </w:rPr>
        <w:drawing>
          <wp:inline distT="0" distB="0" distL="0" distR="0">
            <wp:extent cx="3268393" cy="2578608"/>
            <wp:effectExtent l="0" t="0" r="0" b="0"/>
            <wp:docPr id="5" name="image3.jpeg" descr="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6" name="image3.jpeg"/>
                    <pic:cNvPicPr/>
                  </pic:nvPicPr>
                  <pic:blipFill>
                    <a:blip r:embed="rId12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3268393" cy="257860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heinhardt Bold"/>
          <w:sz w:val="20"/>
        </w:rPr>
      </w:r>
    </w:p>
    <w:p>
      <w:pPr>
        <w:tabs>
          <w:tab w:pos="5467" w:val="left" w:leader="none"/>
        </w:tabs>
        <w:spacing w:before="8"/>
        <w:ind w:left="110" w:right="0" w:firstLine="0"/>
        <w:jc w:val="left"/>
        <w:rPr>
          <w:rFonts w:ascii="Theinhardt Bold" w:hAnsi="Theinhardt Bold" w:cs="Theinhardt Bold" w:eastAsia="Theinhardt Bold"/>
          <w:sz w:val="14"/>
          <w:szCs w:val="14"/>
        </w:rPr>
      </w:pPr>
      <w:r>
        <w:rPr>
          <w:rFonts w:ascii="Theinhardt Bold"/>
          <w:b/>
          <w:sz w:val="14"/>
        </w:rPr>
        <w:t>2</w:t>
        <w:tab/>
        <w:t>3</w:t>
      </w:r>
      <w:r>
        <w:rPr>
          <w:rFonts w:ascii="Theinhardt Bold"/>
          <w:sz w:val="14"/>
        </w:rPr>
      </w:r>
    </w:p>
    <w:p>
      <w:pPr>
        <w:spacing w:line="240" w:lineRule="auto" w:before="0"/>
        <w:rPr>
          <w:rFonts w:ascii="Theinhardt Bold" w:hAnsi="Theinhardt Bold" w:cs="Theinhardt Bold" w:eastAsia="Theinhardt Bold"/>
          <w:b/>
          <w:bCs/>
          <w:sz w:val="20"/>
          <w:szCs w:val="20"/>
        </w:rPr>
      </w:pPr>
    </w:p>
    <w:p>
      <w:pPr>
        <w:spacing w:line="240" w:lineRule="auto" w:before="0"/>
        <w:rPr>
          <w:rFonts w:ascii="Theinhardt Bold" w:hAnsi="Theinhardt Bold" w:cs="Theinhardt Bold" w:eastAsia="Theinhardt Bold"/>
          <w:b/>
          <w:bCs/>
          <w:sz w:val="20"/>
          <w:szCs w:val="20"/>
        </w:rPr>
      </w:pPr>
    </w:p>
    <w:p>
      <w:pPr>
        <w:spacing w:line="240" w:lineRule="auto" w:before="0"/>
        <w:rPr>
          <w:rFonts w:ascii="Theinhardt Bold" w:hAnsi="Theinhardt Bold" w:cs="Theinhardt Bold" w:eastAsia="Theinhardt Bold"/>
          <w:b/>
          <w:bCs/>
          <w:sz w:val="20"/>
          <w:szCs w:val="20"/>
        </w:rPr>
      </w:pPr>
    </w:p>
    <w:p>
      <w:pPr>
        <w:spacing w:line="240" w:lineRule="auto" w:before="0"/>
        <w:rPr>
          <w:rFonts w:ascii="Theinhardt Bold" w:hAnsi="Theinhardt Bold" w:cs="Theinhardt Bold" w:eastAsia="Theinhardt Bold"/>
          <w:b/>
          <w:bCs/>
          <w:sz w:val="20"/>
          <w:szCs w:val="20"/>
        </w:rPr>
      </w:pPr>
    </w:p>
    <w:p>
      <w:pPr>
        <w:spacing w:line="240" w:lineRule="auto" w:before="12"/>
        <w:rPr>
          <w:rFonts w:ascii="Theinhardt Bold" w:hAnsi="Theinhardt Bold" w:cs="Theinhardt Bold" w:eastAsia="Theinhardt Bold"/>
          <w:b/>
          <w:bCs/>
          <w:sz w:val="29"/>
          <w:szCs w:val="29"/>
        </w:rPr>
      </w:pPr>
    </w:p>
    <w:p>
      <w:pPr>
        <w:spacing w:after="0" w:line="240" w:lineRule="auto"/>
        <w:rPr>
          <w:rFonts w:ascii="Theinhardt Bold" w:hAnsi="Theinhardt Bold" w:cs="Theinhardt Bold" w:eastAsia="Theinhardt Bold"/>
          <w:sz w:val="29"/>
          <w:szCs w:val="29"/>
        </w:rPr>
        <w:sectPr>
          <w:pgSz w:w="11910" w:h="16840"/>
          <w:pgMar w:top="860" w:bottom="280" w:left="740" w:right="460"/>
        </w:sectPr>
      </w:pPr>
    </w:p>
    <w:p>
      <w:pPr>
        <w:numPr>
          <w:ilvl w:val="0"/>
          <w:numId w:val="1"/>
        </w:numPr>
        <w:tabs>
          <w:tab w:pos="338" w:val="left" w:leader="none"/>
        </w:tabs>
        <w:spacing w:line="160" w:lineRule="exact" w:before="76"/>
        <w:ind w:left="337" w:right="0" w:hanging="227"/>
        <w:jc w:val="both"/>
        <w:rPr>
          <w:rFonts w:ascii="Theinhardt Bold" w:hAnsi="Theinhardt Bold" w:cs="Theinhardt Bold" w:eastAsia="Theinhardt Bold"/>
          <w:sz w:val="14"/>
          <w:szCs w:val="14"/>
        </w:rPr>
      </w:pPr>
      <w:r>
        <w:rPr>
          <w:rFonts w:ascii="Theinhardt Bold" w:hAnsi="Theinhardt Bold" w:cs="Theinhardt Bold" w:eastAsia="Theinhardt Bold"/>
          <w:b/>
          <w:bCs/>
          <w:spacing w:val="-1"/>
          <w:sz w:val="14"/>
          <w:szCs w:val="14"/>
        </w:rPr>
        <w:t>Frontansicht </w:t>
      </w:r>
      <w:r>
        <w:rPr>
          <w:rFonts w:ascii="Theinhardt Bold" w:hAnsi="Theinhardt Bold" w:cs="Theinhardt Bold" w:eastAsia="Theinhardt Bold"/>
          <w:b/>
          <w:bCs/>
          <w:sz w:val="14"/>
          <w:szCs w:val="14"/>
        </w:rPr>
        <w:t>des Neubaus in</w:t>
      </w:r>
      <w:r>
        <w:rPr>
          <w:rFonts w:ascii="Theinhardt Bold" w:hAnsi="Theinhardt Bold" w:cs="Theinhardt Bold" w:eastAsia="Theinhardt Bold"/>
          <w:b/>
          <w:bCs/>
          <w:spacing w:val="-1"/>
          <w:sz w:val="14"/>
          <w:szCs w:val="14"/>
        </w:rPr>
        <w:t> </w:t>
      </w:r>
      <w:r>
        <w:rPr>
          <w:rFonts w:ascii="Theinhardt Bold" w:hAnsi="Theinhardt Bold" w:cs="Theinhardt Bold" w:eastAsia="Theinhardt Bold"/>
          <w:b/>
          <w:bCs/>
          <w:sz w:val="14"/>
          <w:szCs w:val="14"/>
        </w:rPr>
        <w:t>Basel.</w:t>
      </w:r>
      <w:r>
        <w:rPr>
          <w:rFonts w:ascii="Theinhardt Bold" w:hAnsi="Theinhardt Bold" w:cs="Theinhardt Bold" w:eastAsia="Theinhardt Bold"/>
          <w:b/>
          <w:bCs/>
          <w:spacing w:val="-6"/>
          <w:sz w:val="14"/>
          <w:szCs w:val="14"/>
        </w:rPr>
        <w:t> </w:t>
      </w:r>
      <w:r>
        <w:rPr>
          <w:rFonts w:ascii="Theinhardt Bold" w:hAnsi="Theinhardt Bold" w:cs="Theinhardt Bold" w:eastAsia="Theinhardt Bold"/>
          <w:b/>
          <w:bCs/>
          <w:sz w:val="14"/>
          <w:szCs w:val="14"/>
        </w:rPr>
        <w:t>Die vollflä-</w:t>
      </w:r>
      <w:r>
        <w:rPr>
          <w:rFonts w:ascii="Theinhardt Bold" w:hAnsi="Theinhardt Bold" w:cs="Theinhardt Bold" w:eastAsia="Theinhardt Bold"/>
          <w:b/>
          <w:bCs/>
          <w:spacing w:val="26"/>
          <w:sz w:val="14"/>
          <w:szCs w:val="14"/>
        </w:rPr>
        <w:t> </w:t>
      </w:r>
      <w:r>
        <w:rPr>
          <w:rFonts w:ascii="Theinhardt Bold" w:hAnsi="Theinhardt Bold" w:cs="Theinhardt Bold" w:eastAsia="Theinhardt Bold"/>
          <w:b/>
          <w:bCs/>
          <w:spacing w:val="-1"/>
          <w:sz w:val="14"/>
          <w:szCs w:val="14"/>
        </w:rPr>
        <w:t>chig,</w:t>
      </w:r>
      <w:r>
        <w:rPr>
          <w:rFonts w:ascii="Theinhardt Bold" w:hAnsi="Theinhardt Bold" w:cs="Theinhardt Bold" w:eastAsia="Theinhardt Bold"/>
          <w:b/>
          <w:bCs/>
          <w:spacing w:val="-7"/>
          <w:sz w:val="14"/>
          <w:szCs w:val="14"/>
        </w:rPr>
        <w:t> </w:t>
      </w:r>
      <w:r>
        <w:rPr>
          <w:rFonts w:ascii="Theinhardt Bold" w:hAnsi="Theinhardt Bold" w:cs="Theinhardt Bold" w:eastAsia="Theinhardt Bold"/>
          <w:b/>
          <w:bCs/>
          <w:spacing w:val="-2"/>
          <w:sz w:val="14"/>
          <w:szCs w:val="14"/>
        </w:rPr>
        <w:t>fir</w:t>
      </w:r>
      <w:r>
        <w:rPr>
          <w:rFonts w:ascii="Theinhardt Bold" w:hAnsi="Theinhardt Bold" w:cs="Theinhardt Bold" w:eastAsia="Theinhardt Bold"/>
          <w:b/>
          <w:bCs/>
          <w:spacing w:val="-1"/>
          <w:sz w:val="14"/>
          <w:szCs w:val="14"/>
        </w:rPr>
        <w:t>st-,</w:t>
      </w:r>
      <w:r>
        <w:rPr>
          <w:rFonts w:ascii="Theinhardt Bold" w:hAnsi="Theinhardt Bold" w:cs="Theinhardt Bold" w:eastAsia="Theinhardt Bold"/>
          <w:b/>
          <w:bCs/>
          <w:spacing w:val="-6"/>
          <w:sz w:val="14"/>
          <w:szCs w:val="14"/>
        </w:rPr>
        <w:t> </w:t>
      </w:r>
      <w:r>
        <w:rPr>
          <w:rFonts w:ascii="Theinhardt Bold" w:hAnsi="Theinhardt Bold" w:cs="Theinhardt Bold" w:eastAsia="Theinhardt Bold"/>
          <w:b/>
          <w:bCs/>
          <w:sz w:val="14"/>
          <w:szCs w:val="14"/>
        </w:rPr>
        <w:t>seiten- und </w:t>
      </w:r>
      <w:r>
        <w:rPr>
          <w:rFonts w:ascii="Theinhardt Bold" w:hAnsi="Theinhardt Bold" w:cs="Theinhardt Bold" w:eastAsia="Theinhardt Bold"/>
          <w:b/>
          <w:bCs/>
          <w:spacing w:val="-1"/>
          <w:sz w:val="14"/>
          <w:szCs w:val="14"/>
        </w:rPr>
        <w:t>traufbündig </w:t>
      </w:r>
      <w:r>
        <w:rPr>
          <w:rFonts w:ascii="Theinhardt Bold" w:hAnsi="Theinhardt Bold" w:cs="Theinhardt Bold" w:eastAsia="Theinhardt Bold"/>
          <w:b/>
          <w:bCs/>
          <w:sz w:val="14"/>
          <w:szCs w:val="14"/>
        </w:rPr>
        <w:t>integrierte</w:t>
      </w:r>
      <w:r>
        <w:rPr>
          <w:rFonts w:ascii="Theinhardt Bold" w:hAnsi="Theinhardt Bold" w:cs="Theinhardt Bold" w:eastAsia="Theinhardt Bold"/>
          <w:b/>
          <w:bCs/>
          <w:spacing w:val="48"/>
          <w:sz w:val="14"/>
          <w:szCs w:val="14"/>
        </w:rPr>
        <w:t> </w:t>
      </w:r>
      <w:r>
        <w:rPr>
          <w:rFonts w:ascii="Theinhardt Bold" w:hAnsi="Theinhardt Bold" w:cs="Theinhardt Bold" w:eastAsia="Theinhardt Bold"/>
          <w:b/>
          <w:bCs/>
          <w:sz w:val="14"/>
          <w:szCs w:val="14"/>
        </w:rPr>
        <w:t>PV-Anlage produziert </w:t>
      </w:r>
      <w:r>
        <w:rPr>
          <w:rFonts w:ascii="Theinhardt Bold" w:hAnsi="Theinhardt Bold" w:cs="Theinhardt Bold" w:eastAsia="Theinhardt Bold"/>
          <w:b/>
          <w:bCs/>
          <w:spacing w:val="-1"/>
          <w:sz w:val="14"/>
          <w:szCs w:val="14"/>
        </w:rPr>
        <w:t>jährlich</w:t>
      </w:r>
      <w:r>
        <w:rPr>
          <w:rFonts w:ascii="Theinhardt Bold" w:hAnsi="Theinhardt Bold" w:cs="Theinhardt Bold" w:eastAsia="Theinhardt Bold"/>
          <w:b/>
          <w:bCs/>
          <w:sz w:val="14"/>
          <w:szCs w:val="14"/>
        </w:rPr>
        <w:t> 13’700 </w:t>
      </w:r>
      <w:r>
        <w:rPr>
          <w:rFonts w:ascii="Theinhardt Bold" w:hAnsi="Theinhardt Bold" w:cs="Theinhardt Bold" w:eastAsia="Theinhardt Bold"/>
          <w:b/>
          <w:bCs/>
          <w:spacing w:val="1"/>
          <w:sz w:val="14"/>
          <w:szCs w:val="14"/>
        </w:rPr>
        <w:t>kWh.</w:t>
      </w:r>
      <w:r>
        <w:rPr>
          <w:rFonts w:ascii="Theinhardt Bold" w:hAnsi="Theinhardt Bold" w:cs="Theinhardt Bold" w:eastAsia="Theinhardt Bold"/>
          <w:sz w:val="14"/>
          <w:szCs w:val="14"/>
        </w:rPr>
      </w:r>
    </w:p>
    <w:p>
      <w:pPr>
        <w:numPr>
          <w:ilvl w:val="0"/>
          <w:numId w:val="1"/>
        </w:numPr>
        <w:tabs>
          <w:tab w:pos="338" w:val="left" w:leader="none"/>
        </w:tabs>
        <w:spacing w:line="160" w:lineRule="exact" w:before="76"/>
        <w:ind w:left="337" w:right="0" w:hanging="227"/>
        <w:jc w:val="left"/>
        <w:rPr>
          <w:rFonts w:ascii="Theinhardt Bold" w:hAnsi="Theinhardt Bold" w:cs="Theinhardt Bold" w:eastAsia="Theinhardt Bold"/>
          <w:sz w:val="14"/>
          <w:szCs w:val="14"/>
        </w:rPr>
      </w:pPr>
      <w:r>
        <w:rPr>
          <w:rFonts w:ascii="Theinhardt Bold"/>
          <w:b/>
          <w:sz w:val="14"/>
        </w:rPr>
        <w:br w:type="column"/>
      </w:r>
      <w:r>
        <w:rPr>
          <w:rFonts w:ascii="Theinhardt Bold"/>
          <w:b/>
          <w:spacing w:val="2"/>
          <w:sz w:val="14"/>
        </w:rPr>
        <w:t>Der</w:t>
      </w:r>
      <w:r>
        <w:rPr>
          <w:rFonts w:ascii="Theinhardt Bold"/>
          <w:b/>
          <w:sz w:val="14"/>
        </w:rPr>
        <w:t> </w:t>
      </w:r>
      <w:r>
        <w:rPr>
          <w:rFonts w:ascii="Theinhardt Bold"/>
          <w:b/>
          <w:spacing w:val="2"/>
          <w:sz w:val="14"/>
        </w:rPr>
        <w:t>Dachbereich</w:t>
      </w:r>
      <w:r>
        <w:rPr>
          <w:rFonts w:ascii="Theinhardt Bold"/>
          <w:b/>
          <w:sz w:val="14"/>
        </w:rPr>
        <w:t> </w:t>
      </w:r>
      <w:r>
        <w:rPr>
          <w:rFonts w:ascii="Theinhardt Bold"/>
          <w:b/>
          <w:spacing w:val="1"/>
          <w:sz w:val="14"/>
        </w:rPr>
        <w:t>mit</w:t>
      </w:r>
      <w:r>
        <w:rPr>
          <w:rFonts w:ascii="Theinhardt Bold"/>
          <w:b/>
          <w:sz w:val="14"/>
        </w:rPr>
        <w:t> </w:t>
      </w:r>
      <w:r>
        <w:rPr>
          <w:rFonts w:ascii="Theinhardt Bold"/>
          <w:b/>
          <w:spacing w:val="1"/>
          <w:sz w:val="14"/>
        </w:rPr>
        <w:t>den</w:t>
      </w:r>
      <w:r>
        <w:rPr>
          <w:rFonts w:ascii="Theinhardt Bold"/>
          <w:b/>
          <w:sz w:val="14"/>
        </w:rPr>
        <w:t> </w:t>
      </w:r>
      <w:r>
        <w:rPr>
          <w:rFonts w:ascii="Theinhardt Bold"/>
          <w:b/>
          <w:spacing w:val="1"/>
          <w:sz w:val="14"/>
        </w:rPr>
        <w:t>Gauben</w:t>
      </w:r>
      <w:r>
        <w:rPr>
          <w:rFonts w:ascii="Theinhardt Bold"/>
          <w:b/>
          <w:sz w:val="14"/>
        </w:rPr>
        <w:t> </w:t>
      </w:r>
      <w:r>
        <w:rPr>
          <w:rFonts w:ascii="Theinhardt Bold"/>
          <w:b/>
          <w:spacing w:val="2"/>
          <w:sz w:val="14"/>
        </w:rPr>
        <w:t>passt</w:t>
      </w:r>
      <w:r>
        <w:rPr>
          <w:rFonts w:ascii="Theinhardt Bold"/>
          <w:b/>
          <w:sz w:val="14"/>
        </w:rPr>
        <w:t> </w:t>
      </w:r>
      <w:r>
        <w:rPr>
          <w:rFonts w:ascii="Theinhardt Bold"/>
          <w:b/>
          <w:spacing w:val="1"/>
          <w:sz w:val="14"/>
        </w:rPr>
        <w:t>zu</w:t>
      </w:r>
      <w:r>
        <w:rPr>
          <w:rFonts w:ascii="Theinhardt Bold"/>
          <w:b/>
          <w:sz w:val="14"/>
        </w:rPr>
        <w:t> </w:t>
      </w:r>
      <w:r>
        <w:rPr>
          <w:rFonts w:ascii="Theinhardt Bold"/>
          <w:b/>
          <w:spacing w:val="1"/>
          <w:sz w:val="14"/>
        </w:rPr>
        <w:t>den</w:t>
      </w:r>
      <w:r>
        <w:rPr>
          <w:rFonts w:ascii="Theinhardt Bold"/>
          <w:b/>
          <w:spacing w:val="26"/>
          <w:sz w:val="14"/>
        </w:rPr>
        <w:t> </w:t>
      </w:r>
      <w:r>
        <w:rPr>
          <w:rFonts w:ascii="Theinhardt Bold"/>
          <w:b/>
          <w:spacing w:val="1"/>
          <w:sz w:val="14"/>
        </w:rPr>
        <w:t>Nachbarbauten,</w:t>
      </w:r>
      <w:r>
        <w:rPr>
          <w:rFonts w:ascii="Theinhardt Bold"/>
          <w:b/>
          <w:sz w:val="14"/>
        </w:rPr>
        <w:t> </w:t>
      </w:r>
      <w:r>
        <w:rPr>
          <w:rFonts w:ascii="Theinhardt Bold"/>
          <w:b/>
          <w:spacing w:val="1"/>
          <w:sz w:val="14"/>
        </w:rPr>
        <w:t>wurde</w:t>
      </w:r>
      <w:r>
        <w:rPr>
          <w:rFonts w:ascii="Theinhardt Bold"/>
          <w:b/>
          <w:sz w:val="14"/>
        </w:rPr>
        <w:t> </w:t>
      </w:r>
      <w:r>
        <w:rPr>
          <w:rFonts w:ascii="Theinhardt Bold"/>
          <w:b/>
          <w:spacing w:val="1"/>
          <w:sz w:val="14"/>
        </w:rPr>
        <w:t>aber</w:t>
      </w:r>
      <w:r>
        <w:rPr>
          <w:rFonts w:ascii="Theinhardt Bold"/>
          <w:b/>
          <w:sz w:val="14"/>
        </w:rPr>
        <w:t> </w:t>
      </w:r>
      <w:r>
        <w:rPr>
          <w:rFonts w:ascii="Theinhardt Bold"/>
          <w:b/>
          <w:spacing w:val="1"/>
          <w:sz w:val="14"/>
        </w:rPr>
        <w:t>wegen</w:t>
      </w:r>
      <w:r>
        <w:rPr>
          <w:rFonts w:ascii="Theinhardt Bold"/>
          <w:b/>
          <w:sz w:val="14"/>
        </w:rPr>
        <w:t> </w:t>
      </w:r>
      <w:r>
        <w:rPr>
          <w:rFonts w:ascii="Theinhardt Bold"/>
          <w:b/>
          <w:spacing w:val="1"/>
          <w:sz w:val="14"/>
        </w:rPr>
        <w:t>der</w:t>
      </w:r>
      <w:r>
        <w:rPr>
          <w:rFonts w:ascii="Theinhardt Bold"/>
          <w:b/>
          <w:sz w:val="14"/>
        </w:rPr>
        <w:t> </w:t>
      </w:r>
      <w:r>
        <w:rPr>
          <w:rFonts w:ascii="Theinhardt Bold"/>
          <w:b/>
          <w:spacing w:val="1"/>
          <w:sz w:val="14"/>
        </w:rPr>
        <w:t>Ver-</w:t>
      </w:r>
      <w:r>
        <w:rPr>
          <w:rFonts w:ascii="Theinhardt Bold"/>
          <w:b/>
          <w:spacing w:val="38"/>
          <w:sz w:val="14"/>
        </w:rPr>
        <w:t> </w:t>
      </w:r>
      <w:r>
        <w:rPr>
          <w:rFonts w:ascii="Theinhardt Bold"/>
          <w:b/>
          <w:spacing w:val="2"/>
          <w:sz w:val="14"/>
        </w:rPr>
        <w:t>schattung</w:t>
      </w:r>
      <w:r>
        <w:rPr>
          <w:rFonts w:ascii="Theinhardt Bold"/>
          <w:b/>
          <w:sz w:val="14"/>
        </w:rPr>
        <w:t> </w:t>
      </w:r>
      <w:r>
        <w:rPr>
          <w:rFonts w:ascii="Theinhardt Bold"/>
          <w:b/>
          <w:spacing w:val="1"/>
          <w:sz w:val="14"/>
        </w:rPr>
        <w:t>mit</w:t>
      </w:r>
      <w:r>
        <w:rPr>
          <w:rFonts w:ascii="Theinhardt Bold"/>
          <w:b/>
          <w:sz w:val="14"/>
        </w:rPr>
        <w:t> </w:t>
      </w:r>
      <w:r>
        <w:rPr>
          <w:rFonts w:ascii="Theinhardt Bold"/>
          <w:b/>
          <w:spacing w:val="1"/>
          <w:sz w:val="14"/>
        </w:rPr>
        <w:t>Blindmodulen</w:t>
      </w:r>
      <w:r>
        <w:rPr>
          <w:rFonts w:ascii="Theinhardt Bold"/>
          <w:b/>
          <w:sz w:val="14"/>
        </w:rPr>
        <w:t> </w:t>
      </w:r>
      <w:r>
        <w:rPr>
          <w:rFonts w:ascii="Theinhardt Bold"/>
          <w:b/>
          <w:spacing w:val="1"/>
          <w:sz w:val="14"/>
        </w:rPr>
        <w:t>ausgekleidet.</w:t>
      </w:r>
      <w:r>
        <w:rPr>
          <w:rFonts w:ascii="Theinhardt Bold"/>
          <w:sz w:val="14"/>
        </w:rPr>
      </w:r>
    </w:p>
    <w:p>
      <w:pPr>
        <w:numPr>
          <w:ilvl w:val="0"/>
          <w:numId w:val="1"/>
        </w:numPr>
        <w:tabs>
          <w:tab w:pos="338" w:val="left" w:leader="none"/>
        </w:tabs>
        <w:spacing w:line="160" w:lineRule="exact" w:before="76"/>
        <w:ind w:left="337" w:right="161" w:hanging="227"/>
        <w:jc w:val="left"/>
        <w:rPr>
          <w:rFonts w:ascii="Theinhardt Bold" w:hAnsi="Theinhardt Bold" w:cs="Theinhardt Bold" w:eastAsia="Theinhardt Bold"/>
          <w:sz w:val="14"/>
          <w:szCs w:val="14"/>
        </w:rPr>
      </w:pPr>
      <w:r>
        <w:rPr>
          <w:rFonts w:ascii="Theinhardt Bold" w:hAnsi="Theinhardt Bold"/>
          <w:b/>
          <w:sz w:val="14"/>
        </w:rPr>
        <w:br w:type="column"/>
        <w:t>Ästhetisch </w:t>
      </w:r>
      <w:r>
        <w:rPr>
          <w:rFonts w:ascii="Theinhardt Bold" w:hAnsi="Theinhardt Bold"/>
          <w:b/>
          <w:spacing w:val="-1"/>
          <w:sz w:val="14"/>
        </w:rPr>
        <w:t>ansprechend:</w:t>
      </w:r>
      <w:r>
        <w:rPr>
          <w:rFonts w:ascii="Theinhardt Bold" w:hAnsi="Theinhardt Bold"/>
          <w:b/>
          <w:sz w:val="14"/>
        </w:rPr>
        <w:t> Der </w:t>
      </w:r>
      <w:r>
        <w:rPr>
          <w:rFonts w:ascii="Theinhardt Bold" w:hAnsi="Theinhardt Bold"/>
          <w:b/>
          <w:spacing w:val="-1"/>
          <w:sz w:val="14"/>
        </w:rPr>
        <w:t>Firstbereich</w:t>
      </w:r>
      <w:r>
        <w:rPr>
          <w:rFonts w:ascii="Theinhardt Bold" w:hAnsi="Theinhardt Bold"/>
          <w:b/>
          <w:sz w:val="14"/>
        </w:rPr>
        <w:t> </w:t>
      </w:r>
      <w:r>
        <w:rPr>
          <w:rFonts w:ascii="Theinhardt Bold" w:hAnsi="Theinhardt Bold"/>
          <w:b/>
          <w:spacing w:val="-1"/>
          <w:sz w:val="14"/>
        </w:rPr>
        <w:t>bildet</w:t>
      </w:r>
      <w:r>
        <w:rPr>
          <w:rFonts w:ascii="Theinhardt Bold" w:hAnsi="Theinhardt Bold"/>
          <w:b/>
          <w:spacing w:val="72"/>
          <w:sz w:val="14"/>
        </w:rPr>
        <w:t> </w:t>
      </w:r>
      <w:r>
        <w:rPr>
          <w:rFonts w:ascii="Theinhardt Bold" w:hAnsi="Theinhardt Bold"/>
          <w:b/>
          <w:sz w:val="14"/>
        </w:rPr>
        <w:t>einen harmonischen oberen Abschluss </w:t>
      </w:r>
      <w:r>
        <w:rPr>
          <w:rFonts w:ascii="Theinhardt Bold" w:hAnsi="Theinhardt Bold"/>
          <w:b/>
          <w:spacing w:val="-1"/>
          <w:sz w:val="14"/>
        </w:rPr>
        <w:t>der</w:t>
      </w:r>
      <w:r>
        <w:rPr>
          <w:rFonts w:ascii="Theinhardt Bold" w:hAnsi="Theinhardt Bold"/>
          <w:sz w:val="14"/>
        </w:rPr>
      </w:r>
    </w:p>
    <w:p>
      <w:pPr>
        <w:spacing w:line="165" w:lineRule="exact" w:before="0"/>
        <w:ind w:left="337" w:right="0" w:firstLine="0"/>
        <w:jc w:val="left"/>
        <w:rPr>
          <w:rFonts w:ascii="Theinhardt Bold" w:hAnsi="Theinhardt Bold" w:cs="Theinhardt Bold" w:eastAsia="Theinhardt Bold"/>
          <w:sz w:val="14"/>
          <w:szCs w:val="14"/>
        </w:rPr>
      </w:pPr>
      <w:r>
        <w:rPr>
          <w:rFonts w:ascii="Theinhardt Bold" w:hAnsi="Theinhardt Bold"/>
          <w:b/>
          <w:spacing w:val="-2"/>
          <w:sz w:val="14"/>
        </w:rPr>
        <w:t>fir</w:t>
      </w:r>
      <w:r>
        <w:rPr>
          <w:rFonts w:ascii="Theinhardt Bold" w:hAnsi="Theinhardt Bold"/>
          <w:b/>
          <w:spacing w:val="-1"/>
          <w:sz w:val="14"/>
        </w:rPr>
        <w:t>st- </w:t>
      </w:r>
      <w:r>
        <w:rPr>
          <w:rFonts w:ascii="Theinhardt Bold" w:hAnsi="Theinhardt Bold"/>
          <w:b/>
          <w:sz w:val="14"/>
        </w:rPr>
        <w:t>und seitenbündigen,</w:t>
      </w:r>
      <w:r>
        <w:rPr>
          <w:rFonts w:ascii="Theinhardt Bold" w:hAnsi="Theinhardt Bold"/>
          <w:b/>
          <w:spacing w:val="-6"/>
          <w:sz w:val="14"/>
        </w:rPr>
        <w:t> </w:t>
      </w:r>
      <w:r>
        <w:rPr>
          <w:rFonts w:ascii="Theinhardt Bold" w:hAnsi="Theinhardt Bold"/>
          <w:b/>
          <w:sz w:val="14"/>
        </w:rPr>
        <w:t>108 </w:t>
      </w:r>
      <w:r>
        <w:rPr>
          <w:rFonts w:ascii="Theinhardt Bold" w:hAnsi="Theinhardt Bold"/>
          <w:b/>
          <w:spacing w:val="-1"/>
          <w:sz w:val="14"/>
        </w:rPr>
        <w:t>m</w:t>
      </w:r>
      <w:r>
        <w:rPr>
          <w:rFonts w:ascii="Theinhardt Bold" w:hAnsi="Theinhardt Bold"/>
          <w:b/>
          <w:spacing w:val="-1"/>
          <w:position w:val="5"/>
          <w:sz w:val="8"/>
        </w:rPr>
        <w:t>2</w:t>
      </w:r>
      <w:r>
        <w:rPr>
          <w:rFonts w:ascii="Theinhardt Bold" w:hAnsi="Theinhardt Bold"/>
          <w:b/>
          <w:spacing w:val="15"/>
          <w:position w:val="5"/>
          <w:sz w:val="8"/>
        </w:rPr>
        <w:t> </w:t>
      </w:r>
      <w:r>
        <w:rPr>
          <w:rFonts w:ascii="Theinhardt Bold" w:hAnsi="Theinhardt Bold"/>
          <w:b/>
          <w:spacing w:val="-1"/>
          <w:sz w:val="14"/>
        </w:rPr>
        <w:t>grossen</w:t>
      </w:r>
      <w:r>
        <w:rPr>
          <w:rFonts w:ascii="Theinhardt Bold" w:hAnsi="Theinhardt Bold"/>
          <w:b/>
          <w:sz w:val="14"/>
        </w:rPr>
        <w:t> und</w:t>
      </w:r>
      <w:r>
        <w:rPr>
          <w:rFonts w:ascii="Theinhardt Bold" w:hAnsi="Theinhardt Bold"/>
          <w:sz w:val="14"/>
        </w:rPr>
      </w:r>
    </w:p>
    <w:p>
      <w:pPr>
        <w:spacing w:line="172" w:lineRule="exact" w:before="0"/>
        <w:ind w:left="337" w:right="0" w:firstLine="0"/>
        <w:jc w:val="left"/>
        <w:rPr>
          <w:rFonts w:ascii="Theinhardt Bold" w:hAnsi="Theinhardt Bold" w:cs="Theinhardt Bold" w:eastAsia="Theinhardt Bold"/>
          <w:sz w:val="14"/>
          <w:szCs w:val="14"/>
        </w:rPr>
      </w:pPr>
      <w:r>
        <w:rPr>
          <w:rFonts w:ascii="Theinhardt Bold"/>
          <w:b/>
          <w:sz w:val="14"/>
        </w:rPr>
        <w:t>17.6 kW </w:t>
      </w:r>
      <w:r>
        <w:rPr>
          <w:rFonts w:ascii="Theinhardt Bold"/>
          <w:b/>
          <w:spacing w:val="-1"/>
          <w:sz w:val="14"/>
        </w:rPr>
        <w:t>starken</w:t>
      </w:r>
      <w:r>
        <w:rPr>
          <w:rFonts w:ascii="Theinhardt Bold"/>
          <w:b/>
          <w:sz w:val="14"/>
        </w:rPr>
        <w:t> PV-Anlage.</w:t>
      </w:r>
      <w:r>
        <w:rPr>
          <w:rFonts w:ascii="Theinhardt Bold"/>
          <w:sz w:val="14"/>
        </w:rPr>
      </w:r>
    </w:p>
    <w:p>
      <w:pPr>
        <w:spacing w:after="0" w:line="172" w:lineRule="exact"/>
        <w:jc w:val="left"/>
        <w:rPr>
          <w:rFonts w:ascii="Theinhardt Bold" w:hAnsi="Theinhardt Bold" w:cs="Theinhardt Bold" w:eastAsia="Theinhardt Bold"/>
          <w:sz w:val="14"/>
          <w:szCs w:val="14"/>
        </w:rPr>
        <w:sectPr>
          <w:type w:val="continuous"/>
          <w:pgSz w:w="11910" w:h="16840"/>
          <w:pgMar w:top="860" w:bottom="280" w:left="740" w:right="460"/>
          <w:cols w:num="3" w:equalWidth="0">
            <w:col w:w="3305" w:space="267"/>
            <w:col w:w="3367" w:space="205"/>
            <w:col w:w="3566"/>
          </w:cols>
        </w:sectPr>
      </w:pPr>
    </w:p>
    <w:p>
      <w:pPr>
        <w:spacing w:line="240" w:lineRule="auto" w:before="8"/>
        <w:rPr>
          <w:rFonts w:ascii="Theinhardt Bold" w:hAnsi="Theinhardt Bold" w:cs="Theinhardt Bold" w:eastAsia="Theinhardt Bold"/>
          <w:b/>
          <w:bCs/>
          <w:sz w:val="20"/>
          <w:szCs w:val="20"/>
        </w:rPr>
      </w:pPr>
    </w:p>
    <w:p>
      <w:pPr>
        <w:spacing w:before="70"/>
        <w:ind w:left="6666" w:right="0" w:firstLine="0"/>
        <w:jc w:val="left"/>
        <w:rPr>
          <w:rFonts w:ascii="Theinhardt Heavy" w:hAnsi="Theinhardt Heavy" w:cs="Theinhardt Heavy" w:eastAsia="Theinhardt Heavy"/>
          <w:sz w:val="14"/>
          <w:szCs w:val="14"/>
        </w:rPr>
      </w:pPr>
      <w:r>
        <w:rPr>
          <w:rFonts w:ascii="Theinhardt Regular"/>
          <w:spacing w:val="-1"/>
          <w:sz w:val="14"/>
        </w:rPr>
        <w:t>Schweizer</w:t>
      </w:r>
      <w:r>
        <w:rPr>
          <w:rFonts w:ascii="Theinhardt Regular"/>
          <w:sz w:val="14"/>
        </w:rPr>
        <w:t> </w:t>
      </w:r>
      <w:r>
        <w:rPr>
          <w:rFonts w:ascii="Theinhardt Regular"/>
          <w:spacing w:val="-1"/>
          <w:sz w:val="14"/>
        </w:rPr>
        <w:t>Solarpreis</w:t>
      </w:r>
      <w:r>
        <w:rPr>
          <w:rFonts w:ascii="Theinhardt Regular"/>
          <w:sz w:val="14"/>
        </w:rPr>
        <w:t> 2016   </w:t>
      </w:r>
      <w:r>
        <w:rPr>
          <w:rFonts w:ascii="Theinhardt Regular"/>
          <w:spacing w:val="14"/>
          <w:sz w:val="14"/>
        </w:rPr>
        <w:t> </w:t>
      </w:r>
      <w:r>
        <w:rPr>
          <w:rFonts w:ascii="Theinhardt Regular"/>
          <w:sz w:val="14"/>
        </w:rPr>
        <w:t>|   </w:t>
      </w:r>
      <w:r>
        <w:rPr>
          <w:rFonts w:ascii="Theinhardt Regular"/>
          <w:spacing w:val="14"/>
          <w:sz w:val="14"/>
        </w:rPr>
        <w:t> </w:t>
      </w:r>
      <w:r>
        <w:rPr>
          <w:rFonts w:ascii="Theinhardt Regular"/>
          <w:spacing w:val="-1"/>
          <w:sz w:val="14"/>
        </w:rPr>
        <w:t>Prix</w:t>
      </w:r>
      <w:r>
        <w:rPr>
          <w:rFonts w:ascii="Theinhardt Regular"/>
          <w:sz w:val="14"/>
        </w:rPr>
        <w:t> </w:t>
      </w:r>
      <w:r>
        <w:rPr>
          <w:rFonts w:ascii="Theinhardt Regular"/>
          <w:spacing w:val="-1"/>
          <w:sz w:val="14"/>
        </w:rPr>
        <w:t>Solaire</w:t>
      </w:r>
      <w:r>
        <w:rPr>
          <w:rFonts w:ascii="Theinhardt Regular"/>
          <w:sz w:val="14"/>
        </w:rPr>
        <w:t> </w:t>
      </w:r>
      <w:r>
        <w:rPr>
          <w:rFonts w:ascii="Theinhardt Regular"/>
          <w:spacing w:val="-1"/>
          <w:sz w:val="14"/>
        </w:rPr>
        <w:t>Suisse</w:t>
      </w:r>
      <w:r>
        <w:rPr>
          <w:rFonts w:ascii="Theinhardt Regular"/>
          <w:sz w:val="14"/>
        </w:rPr>
        <w:t> 2016  </w:t>
      </w:r>
      <w:r>
        <w:rPr>
          <w:rFonts w:ascii="Theinhardt Regular"/>
          <w:spacing w:val="14"/>
          <w:sz w:val="14"/>
        </w:rPr>
        <w:t> </w:t>
      </w:r>
      <w:r>
        <w:rPr>
          <w:rFonts w:ascii="Theinhardt Regular"/>
          <w:sz w:val="14"/>
        </w:rPr>
        <w:t>|   </w:t>
      </w:r>
      <w:r>
        <w:rPr>
          <w:rFonts w:ascii="Theinhardt Regular"/>
          <w:spacing w:val="14"/>
          <w:sz w:val="14"/>
        </w:rPr>
        <w:t> </w:t>
      </w:r>
      <w:r>
        <w:rPr>
          <w:rFonts w:ascii="Theinhardt Heavy"/>
          <w:b/>
          <w:sz w:val="14"/>
        </w:rPr>
        <w:t>77</w:t>
      </w:r>
      <w:r>
        <w:rPr>
          <w:rFonts w:ascii="Theinhardt Heavy"/>
          <w:sz w:val="14"/>
        </w:rPr>
      </w:r>
    </w:p>
    <w:sectPr>
      <w:type w:val="continuous"/>
      <w:pgSz w:w="11910" w:h="16840"/>
      <w:pgMar w:top="860" w:bottom="280" w:left="740" w:right="4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altName w:val="Times New Roman"/>
    <w:charset w:val="0"/>
    <w:family w:val="roman"/>
    <w:pitch w:val="variable"/>
  </w:font>
  <w:font w:name="Arial">
    <w:altName w:val="Arial"/>
    <w:charset w:val="0"/>
    <w:family w:val="swiss"/>
    <w:pitch w:val="variable"/>
  </w:font>
  <w:font w:name="Theinhardt Heavy">
    <w:altName w:val="Theinhardt Heavy"/>
    <w:charset w:val="0"/>
    <w:family w:val="swiss"/>
    <w:pitch w:val="variable"/>
  </w:font>
  <w:font w:name="Theinhardt Regular Italic">
    <w:altName w:val="Theinhardt Regular Italic"/>
    <w:charset w:val="0"/>
    <w:family w:val="swiss"/>
    <w:pitch w:val="variable"/>
  </w:font>
  <w:font w:name="Theinhardt Regular">
    <w:altName w:val="Theinhardt Regular"/>
    <w:charset w:val="0"/>
    <w:family w:val="swiss"/>
    <w:pitch w:val="variable"/>
  </w:font>
  <w:font w:name="Theinhardt Bold">
    <w:altName w:val="Theinhardt Bold"/>
    <w:charset w:val="0"/>
    <w:family w:val="swiss"/>
    <w:pitch w:val="variable"/>
  </w:font>
  <w:font w:name="Theinhardt Black">
    <w:altName w:val="Theinhardt Black"/>
    <w:charset w:val="0"/>
    <w:family w:val="swiss"/>
    <w:pitch w:val="variable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multiLevelType w:val="hybridMultilevel"/>
    <w:lvl w:ilvl="0">
      <w:start w:val="1"/>
      <w:numFmt w:val="decimal"/>
      <w:lvlText w:val="%1"/>
      <w:lvlJc w:val="left"/>
      <w:pPr>
        <w:ind w:left="337" w:hanging="227"/>
        <w:jc w:val="left"/>
      </w:pPr>
      <w:rPr>
        <w:rFonts w:hint="default" w:ascii="Theinhardt Bold" w:hAnsi="Theinhardt Bold" w:eastAsia="Theinhardt Bold"/>
        <w:b/>
        <w:bCs/>
        <w:sz w:val="14"/>
        <w:szCs w:val="14"/>
      </w:rPr>
    </w:lvl>
    <w:lvl w:ilvl="1">
      <w:start w:val="1"/>
      <w:numFmt w:val="bullet"/>
      <w:lvlText w:val="•"/>
      <w:lvlJc w:val="left"/>
      <w:pPr>
        <w:ind w:left="633" w:hanging="227"/>
      </w:pPr>
      <w:rPr>
        <w:rFonts w:hint="default"/>
      </w:rPr>
    </w:lvl>
    <w:lvl w:ilvl="2">
      <w:start w:val="1"/>
      <w:numFmt w:val="bullet"/>
      <w:lvlText w:val="•"/>
      <w:lvlJc w:val="left"/>
      <w:pPr>
        <w:ind w:left="930" w:hanging="227"/>
      </w:pPr>
      <w:rPr>
        <w:rFonts w:hint="default"/>
      </w:rPr>
    </w:lvl>
    <w:lvl w:ilvl="3">
      <w:start w:val="1"/>
      <w:numFmt w:val="bullet"/>
      <w:lvlText w:val="•"/>
      <w:lvlJc w:val="left"/>
      <w:pPr>
        <w:ind w:left="1227" w:hanging="227"/>
      </w:pPr>
      <w:rPr>
        <w:rFonts w:hint="default"/>
      </w:rPr>
    </w:lvl>
    <w:lvl w:ilvl="4">
      <w:start w:val="1"/>
      <w:numFmt w:val="bullet"/>
      <w:lvlText w:val="•"/>
      <w:lvlJc w:val="left"/>
      <w:pPr>
        <w:ind w:left="1523" w:hanging="227"/>
      </w:pPr>
      <w:rPr>
        <w:rFonts w:hint="default"/>
      </w:rPr>
    </w:lvl>
    <w:lvl w:ilvl="5">
      <w:start w:val="1"/>
      <w:numFmt w:val="bullet"/>
      <w:lvlText w:val="•"/>
      <w:lvlJc w:val="left"/>
      <w:pPr>
        <w:ind w:left="1820" w:hanging="227"/>
      </w:pPr>
      <w:rPr>
        <w:rFonts w:hint="default"/>
      </w:rPr>
    </w:lvl>
    <w:lvl w:ilvl="6">
      <w:start w:val="1"/>
      <w:numFmt w:val="bullet"/>
      <w:lvlText w:val="•"/>
      <w:lvlJc w:val="left"/>
      <w:pPr>
        <w:ind w:left="2117" w:hanging="227"/>
      </w:pPr>
      <w:rPr>
        <w:rFonts w:hint="default"/>
      </w:rPr>
    </w:lvl>
    <w:lvl w:ilvl="7">
      <w:start w:val="1"/>
      <w:numFmt w:val="bullet"/>
      <w:lvlText w:val="•"/>
      <w:lvlJc w:val="left"/>
      <w:pPr>
        <w:ind w:left="2414" w:hanging="227"/>
      </w:pPr>
      <w:rPr>
        <w:rFonts w:hint="default"/>
      </w:rPr>
    </w:lvl>
    <w:lvl w:ilvl="8">
      <w:start w:val="1"/>
      <w:numFmt w:val="bullet"/>
      <w:lvlText w:val="•"/>
      <w:lvlJc w:val="left"/>
      <w:pPr>
        <w:ind w:left="2710" w:hanging="227"/>
      </w:pPr>
      <w:rPr>
        <w:rFonts w:hint="default"/>
      </w:r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defaultTabStop w:val="720"/>
  <w:drawingGridHorizontalSpacing w:val="110"/>
  <w:displayHorizontalDrawingGridEvery w:val="2"/>
  <w:characterSpacingControl w:val="doNotCompress"/>
  <w:compat>
    <w:ulTrailSpace/>
  </w:compat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cstheme="minorBidi" w:hAnsiTheme="minorHAnsi" w:eastAsiaTheme="minorHAnsi" w:asciiTheme="minorHAnsi"/>
        <w:sz w:val="22"/>
        <w:szCs w:val="22"/>
        <w:lang w:val="en-US" w:bidi="ar-SA" w:eastAsia="en-US"/>
      </w:rPr>
    </w:rPrDefault>
    <w:pPrDefault>
      <w:pPr>
        <w:widowControl w:val="0"/>
        <w:spacing w:lineRule="auto" w:line="240" w:after="0"/>
      </w:pPr>
    </w:pPrDefault>
  </w:docDefaults>
  <w:style w:styleId="DefaultParagraphFont" w:default="1" w:type="character">
    <w:name w:val="Default Paragraph Font"/>
    <w:uiPriority w:val="1"/>
    <w:semiHidden/>
    <w:unhideWhenUsed/>
  </w:style>
  <w:style w:styleId="TableNormal" w:default="1" w:type="table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styleId="NoList" w:default="1" w:type="numbering">
    <w:name w:val="No List"/>
    <w:uiPriority w:val="99"/>
    <w:semiHidden/>
    <w:unhideWhenUsed/>
  </w:style>
  <w:style w:default="1" w:styleId="Normal" w:type="paragraph">
    <w:name w:val="Normal"/>
    <w:uiPriority w:val="1"/>
    <w:qFormat/>
    <w:pPr/>
    <w:rPr/>
  </w:style>
  <w:style w:styleId="BodyText" w:type="paragraph">
    <w:name w:val="Body Text"/>
    <w:basedOn w:val="Normal"/>
    <w:uiPriority w:val="1"/>
    <w:qFormat/>
    <w:pPr>
      <w:ind w:left="166" w:firstLine="226"/>
    </w:pPr>
    <w:rPr>
      <w:rFonts w:ascii="Theinhardt Regular Italic" w:hAnsi="Theinhardt Regular Italic" w:eastAsia="Theinhardt Regular Italic"/>
      <w:i/>
      <w:sz w:val="18"/>
      <w:szCs w:val="18"/>
    </w:rPr>
  </w:style>
  <w:style w:styleId="Heading1" w:type="paragraph">
    <w:name w:val="Heading 1"/>
    <w:basedOn w:val="Normal"/>
    <w:uiPriority w:val="1"/>
    <w:qFormat/>
    <w:pPr>
      <w:ind w:left="166" w:firstLine="226"/>
      <w:outlineLvl w:val="1"/>
    </w:pPr>
    <w:rPr>
      <w:rFonts w:ascii="Theinhardt Regular" w:hAnsi="Theinhardt Regular" w:eastAsia="Theinhardt Regular"/>
      <w:sz w:val="18"/>
      <w:szCs w:val="18"/>
    </w:rPr>
  </w:style>
  <w:style w:styleId="ListParagraph" w:type="paragraph">
    <w:name w:val="List Paragraph"/>
    <w:basedOn w:val="Normal"/>
    <w:uiPriority w:val="1"/>
    <w:qFormat/>
    <w:pPr/>
    <w:rPr/>
  </w:style>
  <w:style w:styleId="TableParagraph" w:type="paragraph">
    <w:name w:val="Table Paragraph"/>
    <w:basedOn w:val="Normal"/>
    <w:uiPriority w:val="1"/>
    <w:qFormat/>
    <w:pPr/>
    <w:rPr/>
  </w:style>
</w:styles>
</file>

<file path=word/_rels/document.xml.rels><?xml version="1.0" encoding="UTF-8" standalone="yes"?>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fontTable" Target="fontTable.xml"/><Relationship Id="rId3" Type="http://schemas.openxmlformats.org/officeDocument/2006/relationships/theme" Target="theme/theme1.xml"/><Relationship Id="rId4" Type="http://schemas.openxmlformats.org/officeDocument/2006/relationships/settings" Target="settings.xml"/><Relationship Id="rId5" Type="http://schemas.openxmlformats.org/officeDocument/2006/relationships/hyperlink" Target="mailto:barbara.neidhart@bs.ch" TargetMode="External"/><Relationship Id="rId6" Type="http://schemas.openxmlformats.org/officeDocument/2006/relationships/hyperlink" Target="mailto:mail@moosmann-bitterli.ch" TargetMode="External"/><Relationship Id="rId7" Type="http://schemas.openxmlformats.org/officeDocument/2006/relationships/hyperlink" Target="mailto:mail@waldhauser-hermann.ch" TargetMode="External"/><Relationship Id="rId8" Type="http://schemas.openxmlformats.org/officeDocument/2006/relationships/hyperlink" Target="mailto:solar@swisspearl.ch" TargetMode="External"/><Relationship Id="rId9" Type="http://schemas.openxmlformats.org/officeDocument/2006/relationships/hyperlink" Target="mailto:info@solvatec.ch" TargetMode="External"/><Relationship Id="rId10" Type="http://schemas.openxmlformats.org/officeDocument/2006/relationships/image" Target="media/image1.jpeg"/><Relationship Id="rId11" Type="http://schemas.openxmlformats.org/officeDocument/2006/relationships/image" Target="media/image2.jpeg"/><Relationship Id="rId12" Type="http://schemas.openxmlformats.org/officeDocument/2006/relationships/image" Target="media/image3.jpeg"/><Relationship Id="rId13" Type="http://schemas.openxmlformats.org/officeDocument/2006/relationships/numbering" Target="numbering.xml"/></Relationships>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Normal_Wordconv.dotm</Template>
  <TotalTime>0</TotalTime>
  <Application>Microsoft Office Outlook</Application>
  <DocSecurity>0</DocSecurity>
  <ScaleCrop>false</ScaleCrop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2016-09-22T10:43:09Z</dcterms:created>
  <dcterms:modified xsi:type="dcterms:W3CDTF">2016-09-22T10:43:09Z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2016-09-22T00:00:00Z</vt:filetime>
  </property>
  <property fmtid="{D5CDD505-2E9C-101B-9397-08002B2CF9AE}" pid="3" name="LastSaved">
    <vt:filetime>2016-09-22T00:00:00Z</vt:filetime>
  </property>
</Properties>
</file>