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69" w:val="left" w:leader="none"/>
        </w:tabs>
        <w:spacing w:line="230" w:lineRule="exact" w:before="32"/>
        <w:ind w:left="143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43.373901pt;margin-top:13.847289pt;width:.1pt;height:.1pt;mso-position-horizontal-relative:page;mso-position-vertical-relative:paragraph;z-index:-7168" coordorigin="867,277" coordsize="2,2">
            <v:shape style="position:absolute;left:867;top:277;width:2;height:2" coordorigin="867,277" coordsize="0,0" path="m867,277l867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64.905899pt;margin-top:13.847289pt;width:.1pt;height:.1pt;mso-position-horizontal-relative:page;mso-position-vertical-relative:paragraph;z-index:1120" coordorigin="3298,277" coordsize="2,2">
            <v:shape style="position:absolute;left:3298;top:277;width:2;height:2" coordorigin="3298,277" coordsize="0,0" path="m3298,277l3298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43.373901pt;margin-top:25.34729pt;width:.1pt;height:.1pt;mso-position-horizontal-relative:page;mso-position-vertical-relative:paragraph;z-index:-7120" coordorigin="867,507" coordsize="2,2">
            <v:shape style="position:absolute;left:867;top:507;width:2;height:2" coordorigin="867,507" coordsize="0,0" path="m867,507l867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64.905899pt;margin-top:25.34729pt;width:.1pt;height:.1pt;mso-position-horizontal-relative:page;mso-position-vertical-relative:paragraph;z-index:1168" coordorigin="3298,507" coordsize="2,2">
            <v:shape style="position:absolute;left:3298;top:507;width:2;height:2" coordorigin="3298,507" coordsize="0,0" path="m3298,507l3298,507e" filled="false" stroked="true" strokeweight=".425pt" strokecolor="#000000">
              <v:path arrowok="t"/>
            </v:shape>
            <w10:wrap type="none"/>
          </v:group>
        </w:pict>
      </w:r>
      <w:r>
        <w:rPr>
          <w:rFonts w:ascii="Theinhardt Black"/>
          <w:b/>
          <w:sz w:val="18"/>
        </w:rPr>
      </w:r>
      <w:r>
        <w:rPr>
          <w:rFonts w:ascii="Theinhardt Black"/>
          <w:b/>
          <w:spacing w:val="1"/>
          <w:sz w:val="18"/>
          <w:u w:val="dotted" w:color="000000"/>
        </w:rPr>
        <w:t>Kategorie</w:t>
      </w:r>
      <w:r>
        <w:rPr>
          <w:rFonts w:ascii="Theinhardt Black"/>
          <w:b/>
          <w:sz w:val="18"/>
          <w:u w:val="dotted" w:color="000000"/>
        </w:rPr>
        <w:t>           </w:t>
      </w:r>
      <w:r>
        <w:rPr>
          <w:rFonts w:ascii="Theinhardt Black"/>
          <w:b/>
          <w:spacing w:val="1"/>
          <w:sz w:val="18"/>
          <w:u w:val="dotted" w:color="000000"/>
        </w:rPr>
        <w:t> </w:t>
      </w:r>
      <w:r>
        <w:rPr>
          <w:rFonts w:ascii="Theinhardt Black"/>
          <w:b/>
          <w:sz w:val="18"/>
          <w:u w:val="dotted" w:color="000000"/>
        </w:rPr>
        <w:t>B</w:t>
      </w:r>
      <w:r>
        <w:rPr>
          <w:rFonts w:ascii="Theinhardt Black"/>
          <w:b/>
          <w:sz w:val="18"/>
          <w:u w:val="dotted" w:color="000000"/>
        </w:rPr>
        <w:t> </w:t>
        <w:tab/>
      </w:r>
      <w:r>
        <w:rPr>
          <w:rFonts w:ascii="Theinhardt Black"/>
          <w:b/>
          <w:sz w:val="18"/>
        </w:rPr>
      </w:r>
      <w:r>
        <w:rPr>
          <w:rFonts w:ascii="Theinhardt Black"/>
          <w:b/>
          <w:spacing w:val="25"/>
          <w:sz w:val="18"/>
        </w:rPr>
        <w:t> </w:t>
      </w:r>
      <w:r>
        <w:rPr>
          <w:rFonts w:ascii="Theinhardt Black"/>
          <w:b/>
          <w:spacing w:val="1"/>
          <w:sz w:val="18"/>
          <w:u w:val="dotted" w:color="000000"/>
        </w:rPr>
        <w:t>Neubauten</w:t>
      </w:r>
      <w:r>
        <w:rPr>
          <w:rFonts w:ascii="Theinhardt Black"/>
          <w:b/>
          <w:sz w:val="18"/>
          <w:u w:val="dotted" w:color="000000"/>
        </w:rPr>
        <w:t> </w:t>
        <w:tab/>
      </w:r>
      <w:r>
        <w:rPr>
          <w:rFonts w:ascii="Theinhardt Black"/>
          <w:b/>
          <w:sz w:val="18"/>
        </w:rPr>
      </w:r>
      <w:r>
        <w:rPr>
          <w:rFonts w:ascii="Theinhardt Black"/>
          <w:b/>
          <w:spacing w:val="22"/>
          <w:sz w:val="18"/>
        </w:rPr>
        <w:t> </w:t>
      </w:r>
      <w:r>
        <w:rPr>
          <w:rFonts w:ascii="Theinhardt Regular"/>
          <w:spacing w:val="-1"/>
          <w:sz w:val="18"/>
        </w:rPr>
        <w:t>Schweizer</w:t>
      </w:r>
      <w:r>
        <w:rPr>
          <w:rFonts w:ascii="Theinhardt Regular"/>
          <w:sz w:val="18"/>
        </w:rPr>
        <w:t> </w:t>
      </w:r>
      <w:r>
        <w:rPr>
          <w:rFonts w:ascii="Theinhardt Regular"/>
          <w:spacing w:val="-1"/>
          <w:sz w:val="18"/>
        </w:rPr>
        <w:t>Solarpreis-</w:t>
      </w:r>
    </w:p>
    <w:p>
      <w:pPr>
        <w:pStyle w:val="BodyText"/>
        <w:spacing w:line="240" w:lineRule="auto" w:before="9"/>
        <w:ind w:right="0"/>
        <w:jc w:val="both"/>
      </w:pPr>
      <w:r>
        <w:rPr>
          <w:spacing w:val="-1"/>
        </w:rPr>
        <w:t>Diplom</w:t>
      </w:r>
      <w:r>
        <w:rPr/>
        <w:t> 2016</w:t>
      </w:r>
    </w:p>
    <w:p>
      <w:pPr>
        <w:spacing w:line="230" w:lineRule="exact" w:before="32"/>
        <w:ind w:left="143" w:right="98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Mehrfamilienhaus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(MFH)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Chrüzmatte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Aesch/LU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umfasst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zehn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behindertengerechte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Woh-</w:t>
      </w:r>
      <w:r>
        <w:rPr>
          <w:rFonts w:ascii="Theinhardt Bold" w:hAnsi="Theinhardt Bold" w:cs="Theinhardt Bold" w:eastAsia="Theinhardt Bold"/>
          <w:b/>
          <w:bCs/>
          <w:spacing w:val="4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nungen.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Nord-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Südseite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Daches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50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starke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installiert,</w:t>
      </w:r>
      <w:r>
        <w:rPr>
          <w:rFonts w:ascii="Theinhardt Bold" w:hAnsi="Theinhardt Bold" w:cs="Theinhardt Bold" w:eastAsia="Theinhardt Bold"/>
          <w:b/>
          <w:bCs/>
          <w:spacing w:val="4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jährlich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39’400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kWh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produziert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–</w:t>
      </w:r>
      <w:r>
        <w:rPr>
          <w:rFonts w:ascii="Theinhardt Regular" w:hAnsi="Theinhardt Regular" w:cs="Theinhardt Regular" w:eastAsia="Theinhardt Regular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etwa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30%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davon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Norddach.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Prunkstück</w:t>
      </w:r>
      <w:r>
        <w:rPr>
          <w:rFonts w:ascii="Theinhardt Bold" w:hAnsi="Theinhardt Bold" w:cs="Theinhardt Bold" w:eastAsia="Theinhardt Bold"/>
          <w:b/>
          <w:bCs/>
          <w:spacing w:val="7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speziell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entworfene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12-kW-PV-Anlage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an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Westfassade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Gebäudes,</w:t>
      </w:r>
      <w:r>
        <w:rPr>
          <w:rFonts w:ascii="Theinhardt Bold" w:hAnsi="Theinhardt Bold" w:cs="Theinhardt Bold" w:eastAsia="Theinhardt Bold"/>
          <w:b/>
          <w:bCs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6’500</w:t>
      </w:r>
      <w:r>
        <w:rPr>
          <w:rFonts w:ascii="Theinhardt Bold" w:hAnsi="Theinhardt Bold" w:cs="Theinhardt Bold" w:eastAsia="Theinhardt Bold"/>
          <w:b/>
          <w:bCs/>
          <w:spacing w:val="7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kWh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produziert.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Paneele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wurden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mittels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Siebdruck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laminiert,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um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Holzlattenstruktur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7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Fassade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aufzunehmen.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Je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nach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Lichteinfall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kein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Unterschied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zwischen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Holzfassade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So-</w:t>
      </w:r>
      <w:r>
        <w:rPr>
          <w:rFonts w:ascii="Theinhardt Bold" w:hAnsi="Theinhardt Bold" w:cs="Theinhardt Bold" w:eastAsia="Theinhardt Bold"/>
          <w:b/>
          <w:bCs/>
          <w:spacing w:val="7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larmodulen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erkennbar.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Alle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PV-Anlagen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zusammen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produzieren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45’800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decken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4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Hälfte des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jährlichen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Energiebedarfs von 91’300 kWh.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60" w:bottom="280" w:left="720" w:right="460"/>
          <w:cols w:num="2" w:equalWidth="0">
            <w:col w:w="2570" w:space="96"/>
            <w:col w:w="8064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9"/>
        <w:rPr>
          <w:rFonts w:ascii="Theinhardt Bold" w:hAnsi="Theinhardt Bold" w:cs="Theinhardt Bold" w:eastAsia="Theinhardt Bold"/>
          <w:b/>
          <w:bCs/>
          <w:sz w:val="21"/>
          <w:szCs w:val="21"/>
        </w:rPr>
      </w:pPr>
    </w:p>
    <w:p>
      <w:pPr>
        <w:spacing w:before="5"/>
        <w:ind w:left="130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pacing w:val="1"/>
          <w:sz w:val="40"/>
        </w:rPr>
        <w:t>Mehrfamilienhaus</w:t>
      </w:r>
      <w:r>
        <w:rPr>
          <w:rFonts w:ascii="Theinhardt Black" w:hAnsi="Theinhardt Black"/>
          <w:b/>
          <w:color w:val="0067B1"/>
          <w:spacing w:val="-8"/>
          <w:sz w:val="40"/>
        </w:rPr>
        <w:t> </w:t>
      </w:r>
      <w:r>
        <w:rPr>
          <w:rFonts w:ascii="Theinhardt Black" w:hAnsi="Theinhardt Black"/>
          <w:b/>
          <w:color w:val="0067B1"/>
          <w:spacing w:val="1"/>
          <w:sz w:val="40"/>
        </w:rPr>
        <w:t>Chrüzmatte,</w:t>
      </w:r>
      <w:r>
        <w:rPr>
          <w:rFonts w:ascii="Theinhardt Black" w:hAnsi="Theinhardt Black"/>
          <w:b/>
          <w:color w:val="0067B1"/>
          <w:spacing w:val="-32"/>
          <w:sz w:val="40"/>
        </w:rPr>
        <w:t> </w:t>
      </w:r>
      <w:r>
        <w:rPr>
          <w:rFonts w:ascii="Theinhardt Black" w:hAnsi="Theinhardt Black"/>
          <w:b/>
          <w:color w:val="0067B1"/>
          <w:spacing w:val="-3"/>
          <w:sz w:val="40"/>
        </w:rPr>
        <w:t>6287</w:t>
      </w:r>
      <w:r>
        <w:rPr>
          <w:rFonts w:ascii="Theinhardt Black" w:hAnsi="Theinhardt Black"/>
          <w:b/>
          <w:color w:val="0067B1"/>
          <w:spacing w:val="-9"/>
          <w:sz w:val="40"/>
        </w:rPr>
        <w:t> </w:t>
      </w:r>
      <w:r>
        <w:rPr>
          <w:rFonts w:ascii="Theinhardt Black" w:hAnsi="Theinhardt Black"/>
          <w:b/>
          <w:color w:val="0067B1"/>
          <w:spacing w:val="2"/>
          <w:sz w:val="40"/>
        </w:rPr>
        <w:t>Aesch/LU</w:t>
      </w:r>
      <w:r>
        <w:rPr>
          <w:rFonts w:ascii="Theinhardt Black" w:hAnsi="Theinhardt Black"/>
          <w:sz w:val="40"/>
        </w:rPr>
      </w:r>
    </w:p>
    <w:p>
      <w:pPr>
        <w:spacing w:line="240" w:lineRule="auto" w:before="1"/>
        <w:rPr>
          <w:rFonts w:ascii="Theinhardt Black" w:hAnsi="Theinhardt Black" w:cs="Theinhardt Black" w:eastAsia="Theinhardt Black"/>
          <w:b/>
          <w:bCs/>
          <w:sz w:val="22"/>
          <w:szCs w:val="22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2"/>
          <w:szCs w:val="22"/>
        </w:rPr>
        <w:sectPr>
          <w:type w:val="continuous"/>
          <w:pgSz w:w="11910" w:h="16840"/>
          <w:pgMar w:top="860" w:bottom="280" w:left="720" w:right="460"/>
        </w:sectPr>
      </w:pPr>
    </w:p>
    <w:p>
      <w:pPr>
        <w:pStyle w:val="BodyText"/>
        <w:spacing w:line="230" w:lineRule="exact" w:before="74"/>
        <w:ind w:right="0"/>
        <w:jc w:val="both"/>
      </w:pPr>
      <w:r>
        <w:rPr>
          <w:spacing w:val="1"/>
        </w:rPr>
        <w:t>Das</w:t>
      </w:r>
      <w:r>
        <w:rPr>
          <w:spacing w:val="24"/>
        </w:rPr>
        <w:t> </w:t>
      </w:r>
      <w:r>
        <w:rPr>
          <w:spacing w:val="-1"/>
        </w:rPr>
        <w:t>Zehnfamilienhaus</w:t>
      </w:r>
      <w:r>
        <w:rPr>
          <w:spacing w:val="24"/>
        </w:rPr>
        <w:t> </w:t>
      </w:r>
      <w:r>
        <w:rPr/>
        <w:t>Chrüzmatte</w:t>
      </w:r>
      <w:r>
        <w:rPr>
          <w:spacing w:val="24"/>
        </w:rPr>
        <w:t> </w:t>
      </w:r>
      <w:r>
        <w:rPr/>
        <w:t>in</w:t>
      </w:r>
      <w:r>
        <w:rPr>
          <w:spacing w:val="34"/>
        </w:rPr>
        <w:t> </w:t>
      </w:r>
      <w:r>
        <w:rPr/>
        <w:t>Aesch/LU</w:t>
      </w:r>
      <w:r>
        <w:rPr>
          <w:spacing w:val="13"/>
        </w:rPr>
        <w:t> </w:t>
      </w:r>
      <w:r>
        <w:rPr/>
        <w:t>steht</w:t>
      </w:r>
      <w:r>
        <w:rPr>
          <w:spacing w:val="13"/>
        </w:rPr>
        <w:t> </w:t>
      </w:r>
      <w:r>
        <w:rPr>
          <w:spacing w:val="-1"/>
        </w:rPr>
        <w:t>an</w:t>
      </w:r>
      <w:r>
        <w:rPr>
          <w:spacing w:val="13"/>
        </w:rPr>
        <w:t> </w:t>
      </w:r>
      <w:r>
        <w:rPr/>
        <w:t>bester</w:t>
      </w:r>
      <w:r>
        <w:rPr>
          <w:spacing w:val="13"/>
        </w:rPr>
        <w:t> </w:t>
      </w:r>
      <w:r>
        <w:rPr>
          <w:spacing w:val="-1"/>
        </w:rPr>
        <w:t>Lage</w:t>
      </w:r>
      <w:r>
        <w:rPr>
          <w:spacing w:val="13"/>
        </w:rPr>
        <w:t> </w:t>
      </w:r>
      <w:r>
        <w:rPr>
          <w:spacing w:val="-1"/>
        </w:rPr>
        <w:t>am</w:t>
      </w:r>
      <w:r>
        <w:rPr>
          <w:spacing w:val="13"/>
        </w:rPr>
        <w:t> </w:t>
      </w:r>
      <w:r>
        <w:rPr/>
        <w:t>Hallwi-</w:t>
      </w:r>
      <w:r>
        <w:rPr>
          <w:spacing w:val="27"/>
        </w:rPr>
        <w:t> </w:t>
      </w:r>
      <w:r>
        <w:rPr>
          <w:spacing w:val="-1"/>
        </w:rPr>
        <w:t>lersee.</w:t>
      </w:r>
      <w:r>
        <w:rPr>
          <w:spacing w:val="27"/>
        </w:rPr>
        <w:t> </w:t>
      </w:r>
      <w:r>
        <w:rPr>
          <w:spacing w:val="1"/>
        </w:rPr>
        <w:t>Das</w:t>
      </w:r>
      <w:r>
        <w:rPr>
          <w:spacing w:val="39"/>
        </w:rPr>
        <w:t> </w:t>
      </w:r>
      <w:r>
        <w:rPr/>
        <w:t>Gebäude</w:t>
      </w:r>
      <w:r>
        <w:rPr>
          <w:spacing w:val="38"/>
        </w:rPr>
        <w:t> </w:t>
      </w:r>
      <w:r>
        <w:rPr>
          <w:spacing w:val="-1"/>
        </w:rPr>
        <w:t>zeichnet</w:t>
      </w:r>
      <w:r>
        <w:rPr>
          <w:spacing w:val="39"/>
        </w:rPr>
        <w:t> </w:t>
      </w:r>
      <w:r>
        <w:rPr/>
        <w:t>sich</w:t>
      </w:r>
      <w:r>
        <w:rPr>
          <w:spacing w:val="39"/>
        </w:rPr>
        <w:t> </w:t>
      </w:r>
      <w:r>
        <w:rPr>
          <w:spacing w:val="-2"/>
        </w:rPr>
        <w:t>durch</w:t>
      </w:r>
      <w:r>
        <w:rPr>
          <w:spacing w:val="34"/>
        </w:rPr>
        <w:t> </w:t>
      </w:r>
      <w:r>
        <w:rPr>
          <w:spacing w:val="-1"/>
        </w:rPr>
        <w:t>seine</w:t>
      </w:r>
      <w:r>
        <w:rPr>
          <w:spacing w:val="47"/>
        </w:rPr>
        <w:t> </w:t>
      </w:r>
      <w:r>
        <w:rPr>
          <w:spacing w:val="-1"/>
        </w:rPr>
        <w:t>spezielle</w:t>
      </w:r>
      <w:r>
        <w:rPr>
          <w:spacing w:val="48"/>
        </w:rPr>
        <w:t> </w:t>
      </w:r>
      <w:r>
        <w:rPr>
          <w:spacing w:val="-1"/>
        </w:rPr>
        <w:t>Westfassade</w:t>
      </w:r>
      <w:r>
        <w:rPr>
          <w:spacing w:val="47"/>
        </w:rPr>
        <w:t> </w:t>
      </w:r>
      <w:r>
        <w:rPr/>
        <w:t>aus.</w:t>
      </w:r>
      <w:r>
        <w:rPr>
          <w:spacing w:val="38"/>
        </w:rPr>
        <w:t> </w:t>
      </w:r>
      <w:r>
        <w:rPr/>
        <w:t>Sie</w:t>
      </w:r>
      <w:r>
        <w:rPr>
          <w:spacing w:val="48"/>
        </w:rPr>
        <w:t> </w:t>
      </w:r>
      <w:r>
        <w:rPr/>
        <w:t>be-</w:t>
      </w:r>
      <w:r>
        <w:rPr>
          <w:spacing w:val="33"/>
        </w:rPr>
        <w:t> </w:t>
      </w:r>
      <w:r>
        <w:rPr/>
        <w:t>steht</w:t>
      </w:r>
      <w:r>
        <w:rPr>
          <w:spacing w:val="-15"/>
        </w:rPr>
        <w:t> </w:t>
      </w:r>
      <w:r>
        <w:rPr/>
        <w:t>aus</w:t>
      </w:r>
      <w:r>
        <w:rPr>
          <w:spacing w:val="-15"/>
        </w:rPr>
        <w:t> </w:t>
      </w:r>
      <w:r>
        <w:rPr/>
        <w:t>einzeln</w:t>
      </w:r>
      <w:r>
        <w:rPr>
          <w:spacing w:val="-15"/>
        </w:rPr>
        <w:t> </w:t>
      </w:r>
      <w:r>
        <w:rPr/>
        <w:t>angefertigten</w:t>
      </w:r>
      <w:r>
        <w:rPr>
          <w:spacing w:val="-15"/>
        </w:rPr>
        <w:t> </w:t>
      </w:r>
      <w:r>
        <w:rPr/>
        <w:t>Modulen,</w:t>
      </w:r>
      <w:r>
        <w:rPr>
          <w:spacing w:val="-26"/>
        </w:rPr>
        <w:t> </w:t>
      </w:r>
      <w:r>
        <w:rPr/>
        <w:t>die</w:t>
      </w:r>
      <w:r>
        <w:rPr>
          <w:spacing w:val="23"/>
        </w:rPr>
        <w:t> </w:t>
      </w:r>
      <w:r>
        <w:rPr>
          <w:spacing w:val="-1"/>
        </w:rPr>
        <w:t>optisch</w:t>
      </w:r>
      <w:r>
        <w:rPr>
          <w:spacing w:val="47"/>
        </w:rPr>
        <w:t> </w:t>
      </w:r>
      <w:r>
        <w:rPr/>
        <w:t>eine</w:t>
      </w:r>
      <w:r>
        <w:rPr>
          <w:spacing w:val="48"/>
        </w:rPr>
        <w:t> </w:t>
      </w:r>
      <w:r>
        <w:rPr/>
        <w:t>Einheit</w:t>
      </w:r>
      <w:r>
        <w:rPr>
          <w:spacing w:val="47"/>
        </w:rPr>
        <w:t> </w:t>
      </w:r>
      <w:r>
        <w:rPr/>
        <w:t>mit</w:t>
      </w:r>
      <w:r>
        <w:rPr>
          <w:spacing w:val="48"/>
        </w:rPr>
        <w:t> </w:t>
      </w:r>
      <w:r>
        <w:rPr/>
        <w:t>der</w:t>
      </w:r>
      <w:r>
        <w:rPr>
          <w:spacing w:val="48"/>
        </w:rPr>
        <w:t> </w:t>
      </w:r>
      <w:r>
        <w:rPr/>
        <w:t>Holzfassade</w:t>
      </w:r>
    </w:p>
    <w:p>
      <w:pPr>
        <w:pStyle w:val="BodyText"/>
        <w:spacing w:line="230" w:lineRule="exact" w:before="75"/>
        <w:ind w:right="0"/>
        <w:jc w:val="both"/>
      </w:pPr>
      <w:r>
        <w:rPr/>
        <w:br w:type="column"/>
      </w:r>
      <w:r>
        <w:rPr/>
        <w:t>genutztes</w:t>
      </w:r>
      <w:r>
        <w:rPr>
          <w:spacing w:val="32"/>
        </w:rPr>
        <w:t> </w:t>
      </w:r>
      <w:r>
        <w:rPr>
          <w:spacing w:val="-1"/>
        </w:rPr>
        <w:t>Elektroauto</w:t>
      </w:r>
      <w:r>
        <w:rPr>
          <w:spacing w:val="33"/>
        </w:rPr>
        <w:t> </w:t>
      </w:r>
      <w:r>
        <w:rPr/>
        <w:t>zur</w:t>
      </w:r>
      <w:r>
        <w:rPr>
          <w:spacing w:val="22"/>
        </w:rPr>
        <w:t> </w:t>
      </w:r>
      <w:r>
        <w:rPr>
          <w:spacing w:val="-1"/>
        </w:rPr>
        <w:t>Verfügung,</w:t>
      </w:r>
      <w:r>
        <w:rPr>
          <w:spacing w:val="22"/>
        </w:rPr>
        <w:t> </w:t>
      </w:r>
      <w:r>
        <w:rPr/>
        <w:t>wel-</w:t>
      </w:r>
      <w:r>
        <w:rPr>
          <w:spacing w:val="38"/>
        </w:rPr>
        <w:t> </w:t>
      </w:r>
      <w:r>
        <w:rPr/>
        <w:t>ches jeder </w:t>
      </w:r>
      <w:r>
        <w:rPr>
          <w:spacing w:val="-1"/>
        </w:rPr>
        <w:t>Hausbewohner</w:t>
      </w:r>
      <w:r>
        <w:rPr/>
        <w:t> mieten </w:t>
      </w:r>
      <w:r>
        <w:rPr>
          <w:spacing w:val="-1"/>
        </w:rPr>
        <w:t>kann,</w:t>
      </w:r>
      <w:r>
        <w:rPr>
          <w:spacing w:val="-11"/>
        </w:rPr>
        <w:t> </w:t>
      </w:r>
      <w:r>
        <w:rPr/>
        <w:t>um</w:t>
      </w:r>
      <w:r>
        <w:rPr>
          <w:spacing w:val="20"/>
        </w:rPr>
        <w:t> </w:t>
      </w:r>
      <w:r>
        <w:rPr/>
        <w:t>eine </w:t>
      </w:r>
      <w:r>
        <w:rPr>
          <w:spacing w:val="-1"/>
        </w:rPr>
        <w:t>CO</w:t>
      </w:r>
      <w:r>
        <w:rPr>
          <w:spacing w:val="-1"/>
          <w:position w:val="-5"/>
          <w:sz w:val="10"/>
        </w:rPr>
        <w:t>2</w:t>
      </w:r>
      <w:r>
        <w:rPr>
          <w:spacing w:val="-1"/>
        </w:rPr>
        <w:t>-freie</w:t>
      </w:r>
      <w:r>
        <w:rPr>
          <w:spacing w:val="1"/>
        </w:rPr>
        <w:t> </w:t>
      </w:r>
      <w:r>
        <w:rPr/>
        <w:t>Mobilität zu</w:t>
      </w:r>
      <w:r>
        <w:rPr>
          <w:spacing w:val="1"/>
        </w:rPr>
        <w:t> </w:t>
      </w:r>
      <w:r>
        <w:rPr>
          <w:spacing w:val="-1"/>
        </w:rPr>
        <w:t>gewährleisten.</w:t>
      </w:r>
    </w:p>
    <w:p>
      <w:pPr>
        <w:pStyle w:val="BodyText"/>
        <w:spacing w:line="232" w:lineRule="auto" w:before="14"/>
        <w:ind w:right="0" w:firstLine="226"/>
        <w:jc w:val="both"/>
      </w:pPr>
      <w:r>
        <w:rPr/>
        <w:t>Bei</w:t>
      </w:r>
      <w:r>
        <w:rPr>
          <w:spacing w:val="-10"/>
        </w:rPr>
        <w:t> </w:t>
      </w:r>
      <w:r>
        <w:rPr/>
        <w:t>der</w:t>
      </w:r>
      <w:r>
        <w:rPr>
          <w:spacing w:val="-10"/>
        </w:rPr>
        <w:t> </w:t>
      </w:r>
      <w:r>
        <w:rPr/>
        <w:t>Erstellung</w:t>
      </w:r>
      <w:r>
        <w:rPr>
          <w:spacing w:val="-10"/>
        </w:rPr>
        <w:t> </w:t>
      </w:r>
      <w:r>
        <w:rPr/>
        <w:t>des</w:t>
      </w:r>
      <w:r>
        <w:rPr>
          <w:spacing w:val="-10"/>
        </w:rPr>
        <w:t> </w:t>
      </w:r>
      <w:r>
        <w:rPr/>
        <w:t>MFH</w:t>
      </w:r>
      <w:r>
        <w:rPr>
          <w:spacing w:val="-10"/>
        </w:rPr>
        <w:t> </w:t>
      </w:r>
      <w:r>
        <w:rPr>
          <w:spacing w:val="-1"/>
        </w:rPr>
        <w:t>wurden</w:t>
      </w:r>
      <w:r>
        <w:rPr>
          <w:spacing w:val="-10"/>
        </w:rPr>
        <w:t> </w:t>
      </w:r>
      <w:r>
        <w:rPr/>
        <w:t>loka-</w:t>
      </w:r>
      <w:r>
        <w:rPr>
          <w:spacing w:val="23"/>
        </w:rPr>
        <w:t> </w:t>
      </w:r>
      <w:r>
        <w:rPr/>
        <w:t>le</w:t>
      </w:r>
      <w:r>
        <w:rPr>
          <w:spacing w:val="18"/>
        </w:rPr>
        <w:t> </w:t>
      </w:r>
      <w:r>
        <w:rPr>
          <w:spacing w:val="-1"/>
        </w:rPr>
        <w:t>Unternehmungen</w:t>
      </w:r>
      <w:r>
        <w:rPr>
          <w:spacing w:val="18"/>
        </w:rPr>
        <w:t> </w:t>
      </w:r>
      <w:r>
        <w:rPr/>
        <w:t>berücksichtigt</w:t>
      </w:r>
      <w:r>
        <w:rPr>
          <w:spacing w:val="18"/>
        </w:rPr>
        <w:t> </w:t>
      </w:r>
      <w:r>
        <w:rPr/>
        <w:t>und</w:t>
      </w:r>
      <w:r>
        <w:rPr>
          <w:spacing w:val="18"/>
        </w:rPr>
        <w:t> </w:t>
      </w:r>
      <w:r>
        <w:rPr>
          <w:spacing w:val="-2"/>
        </w:rPr>
        <w:t>re-</w:t>
      </w:r>
      <w:r>
        <w:rPr>
          <w:spacing w:val="25"/>
        </w:rPr>
        <w:t> </w:t>
      </w:r>
      <w:r>
        <w:rPr/>
        <w:t>gionale</w:t>
      </w:r>
      <w:r>
        <w:rPr>
          <w:spacing w:val="11"/>
        </w:rPr>
        <w:t> </w:t>
      </w:r>
      <w:r>
        <w:rPr/>
        <w:t>Baustoffe</w:t>
      </w:r>
      <w:r>
        <w:rPr>
          <w:spacing w:val="11"/>
        </w:rPr>
        <w:t> </w:t>
      </w:r>
      <w:r>
        <w:rPr/>
        <w:t>und</w:t>
      </w:r>
      <w:r>
        <w:rPr>
          <w:spacing w:val="11"/>
        </w:rPr>
        <w:t> </w:t>
      </w:r>
      <w:r>
        <w:rPr>
          <w:spacing w:val="-1"/>
        </w:rPr>
        <w:t>grösstenteils</w:t>
      </w:r>
      <w:r>
        <w:rPr>
          <w:spacing w:val="11"/>
        </w:rPr>
        <w:t> </w:t>
      </w:r>
      <w:r>
        <w:rPr/>
        <w:t>Recyc-</w:t>
      </w:r>
    </w:p>
    <w:p>
      <w:pPr>
        <w:spacing w:before="67"/>
        <w:ind w:left="143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  <w:t>Technische </w:t>
      </w:r>
      <w:r>
        <w:rPr>
          <w:rFonts w:ascii="Theinhardt Black"/>
          <w:b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43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67"/>
        <w:ind w:left="143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063" w:val="left" w:leader="none"/>
          <w:tab w:pos="1750" w:val="left" w:leader="none"/>
          <w:tab w:pos="2536" w:val="left" w:leader="none"/>
        </w:tabs>
        <w:spacing w:line="160" w:lineRule="exact" w:before="0"/>
        <w:ind w:left="143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z w:val="14"/>
        </w:rPr>
        <w:t>Wand:</w:t>
        <w:tab/>
        <w:t>35 </w:t>
      </w:r>
      <w:r>
        <w:rPr>
          <w:rFonts w:ascii="Theinhardt Regular"/>
          <w:spacing w:val="1"/>
          <w:sz w:val="14"/>
        </w:rPr>
        <w:t>cm</w:t>
        <w:tab/>
        <w:t>U-Wert:</w:t>
        <w:tab/>
      </w:r>
      <w:r>
        <w:rPr>
          <w:rFonts w:ascii="Theinhardt Regular"/>
          <w:spacing w:val="-7"/>
          <w:sz w:val="14"/>
        </w:rPr>
        <w:t>0.11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063" w:val="left" w:leader="none"/>
          <w:tab w:pos="1750" w:val="left" w:leader="none"/>
          <w:tab w:pos="2536" w:val="left" w:leader="none"/>
        </w:tabs>
        <w:spacing w:line="160" w:lineRule="exact" w:before="0"/>
        <w:ind w:left="143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Dach:</w:t>
        <w:tab/>
      </w:r>
      <w:r>
        <w:rPr>
          <w:rFonts w:ascii="Theinhardt Regular"/>
          <w:spacing w:val="-1"/>
          <w:sz w:val="14"/>
        </w:rPr>
        <w:t>37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  <w:tab/>
        <w:t>U-Wert:</w:t>
        <w:tab/>
      </w:r>
      <w:r>
        <w:rPr>
          <w:rFonts w:ascii="Theinhardt Regular"/>
          <w:spacing w:val="-7"/>
          <w:sz w:val="14"/>
        </w:rPr>
        <w:t>0.11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063" w:val="left" w:leader="none"/>
          <w:tab w:pos="1750" w:val="left" w:leader="none"/>
          <w:tab w:pos="2519" w:val="left" w:leader="none"/>
        </w:tabs>
        <w:spacing w:line="207" w:lineRule="auto" w:before="5"/>
        <w:ind w:left="143" w:right="32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Boden:</w:t>
        <w:tab/>
      </w:r>
      <w:r>
        <w:rPr>
          <w:rFonts w:ascii="Theinhardt Regular"/>
          <w:spacing w:val="-1"/>
          <w:sz w:val="14"/>
        </w:rPr>
        <w:t>22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  <w:tab/>
        <w:t>U-Wert:</w:t>
        <w:tab/>
      </w:r>
      <w:r>
        <w:rPr>
          <w:rFonts w:ascii="Theinhardt Regular"/>
          <w:spacing w:val="-6"/>
          <w:sz w:val="14"/>
        </w:rPr>
        <w:t>0.17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  <w:r>
        <w:rPr>
          <w:rFonts w:ascii="Theinhardt Regular"/>
          <w:spacing w:val="26"/>
          <w:sz w:val="14"/>
        </w:rPr>
        <w:t> </w:t>
      </w:r>
      <w:r>
        <w:rPr>
          <w:rFonts w:ascii="Theinhardt Regular"/>
          <w:spacing w:val="1"/>
          <w:sz w:val="14"/>
        </w:rPr>
        <w:t>Fenster:</w:t>
        <w:tab/>
        <w:t>dreifach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0"/>
          <w:sz w:val="14"/>
        </w:rPr>
        <w:t> </w:t>
      </w:r>
      <w:r>
        <w:rPr>
          <w:rFonts w:ascii="Theinhardt Regular"/>
          <w:spacing w:val="1"/>
          <w:sz w:val="14"/>
        </w:rPr>
        <w:t>U-Wert:</w:t>
        <w:tab/>
      </w:r>
      <w:r>
        <w:rPr>
          <w:rFonts w:ascii="Theinhardt Regular"/>
          <w:spacing w:val="-3"/>
          <w:sz w:val="14"/>
        </w:rPr>
        <w:t>0.77</w:t>
      </w:r>
      <w:r>
        <w:rPr>
          <w:rFonts w:ascii="Theinhardt Regular"/>
          <w:spacing w:val="1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spacing w:before="38"/>
        <w:ind w:left="143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3"/>
          <w:sz w:val="14"/>
        </w:rPr>
        <w:t>E</w:t>
      </w:r>
      <w:r>
        <w:rPr>
          <w:rFonts w:ascii="Theinhardt Bold"/>
          <w:b/>
          <w:spacing w:val="2"/>
          <w:sz w:val="14"/>
        </w:rPr>
        <w:t>ner</w:t>
      </w:r>
      <w:r>
        <w:rPr>
          <w:rFonts w:ascii="Theinhardt Bold"/>
          <w:b/>
          <w:spacing w:val="1"/>
          <w:sz w:val="14"/>
        </w:rPr>
        <w:t>g</w:t>
      </w:r>
      <w:r>
        <w:rPr>
          <w:rFonts w:ascii="Theinhardt Bold"/>
          <w:b/>
          <w:spacing w:val="2"/>
          <w:sz w:val="14"/>
        </w:rPr>
        <w:t>iebeda</w:t>
      </w:r>
      <w:r>
        <w:rPr>
          <w:rFonts w:ascii="Theinhardt Bold"/>
          <w:b/>
          <w:spacing w:val="4"/>
          <w:sz w:val="14"/>
        </w:rPr>
        <w:t>r</w:t>
      </w:r>
      <w:r>
        <w:rPr>
          <w:rFonts w:ascii="Theinhardt Bold"/>
          <w:b/>
          <w:sz w:val="14"/>
        </w:rPr>
        <w:t>f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720" w:right="460"/>
          <w:cols w:num="3" w:equalWidth="0">
            <w:col w:w="3482" w:space="83"/>
            <w:col w:w="3482" w:space="83"/>
            <w:col w:w="3600"/>
          </w:cols>
        </w:sectPr>
      </w:pPr>
    </w:p>
    <w:p>
      <w:pPr>
        <w:pStyle w:val="BodyText"/>
        <w:spacing w:line="125" w:lineRule="exact"/>
        <w:ind w:right="0"/>
        <w:jc w:val="left"/>
      </w:pPr>
      <w:r>
        <w:rPr/>
        <w:t>bilden.</w:t>
      </w:r>
      <w:r>
        <w:rPr>
          <w:spacing w:val="-4"/>
        </w:rPr>
        <w:t> </w:t>
      </w:r>
      <w:r>
        <w:rPr>
          <w:spacing w:val="-1"/>
        </w:rPr>
        <w:t>Die</w:t>
      </w:r>
      <w:r>
        <w:rPr>
          <w:spacing w:val="7"/>
        </w:rPr>
        <w:t> </w:t>
      </w:r>
      <w:r>
        <w:rPr/>
        <w:t>dezent</w:t>
      </w:r>
      <w:r>
        <w:rPr>
          <w:spacing w:val="7"/>
        </w:rPr>
        <w:t> </w:t>
      </w:r>
      <w:r>
        <w:rPr/>
        <w:t>eingekleidete</w:t>
      </w:r>
      <w:r>
        <w:rPr>
          <w:spacing w:val="7"/>
        </w:rPr>
        <w:t> </w:t>
      </w:r>
      <w:r>
        <w:rPr>
          <w:spacing w:val="-2"/>
        </w:rPr>
        <w:t>PV-Anlage</w:t>
      </w:r>
    </w:p>
    <w:p>
      <w:pPr>
        <w:pStyle w:val="BodyText"/>
        <w:spacing w:line="125" w:lineRule="exact"/>
        <w:ind w:right="0"/>
        <w:jc w:val="left"/>
      </w:pPr>
      <w:r>
        <w:rPr/>
        <w:br w:type="column"/>
      </w:r>
      <w:r>
        <w:rPr/>
        <w:t>ling-Beton verwendet.</w:t>
      </w:r>
    </w:p>
    <w:p>
      <w:pPr>
        <w:spacing w:line="119" w:lineRule="exact" w:before="0"/>
        <w:ind w:left="143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sz w:val="14"/>
          <w:szCs w:val="14"/>
        </w:rPr>
        <w:t>EBF: </w:t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1‘123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8"/>
          <w:szCs w:val="8"/>
        </w:rPr>
      </w:r>
    </w:p>
    <w:p>
      <w:pPr>
        <w:tabs>
          <w:tab w:pos="1041" w:val="left" w:leader="none"/>
          <w:tab w:pos="1447" w:val="left" w:leader="none"/>
        </w:tabs>
        <w:spacing w:line="119" w:lineRule="exact" w:before="0"/>
        <w:ind w:left="143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sz w:val="14"/>
        </w:rPr>
        <w:t>kWh/m</w:t>
      </w:r>
      <w:r>
        <w:rPr>
          <w:rFonts w:ascii="Theinhardt Regular"/>
          <w:position w:val="5"/>
          <w:sz w:val="8"/>
        </w:rPr>
        <w:t>2</w:t>
      </w:r>
      <w:r>
        <w:rPr>
          <w:rFonts w:ascii="Theinhardt Regular"/>
          <w:sz w:val="14"/>
        </w:rPr>
        <w:t>a</w:t>
        <w:tab/>
        <w:t>%</w:t>
        <w:tab/>
        <w:t>kWh/a</w:t>
      </w:r>
    </w:p>
    <w:p>
      <w:pPr>
        <w:spacing w:after="0" w:line="119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720" w:right="460"/>
          <w:cols w:num="4" w:equalWidth="0">
            <w:col w:w="3482" w:space="83"/>
            <w:col w:w="1857" w:space="1709"/>
            <w:col w:w="1022" w:space="391"/>
            <w:col w:w="2186"/>
          </w:cols>
        </w:sectPr>
      </w:pPr>
    </w:p>
    <w:p>
      <w:pPr>
        <w:pStyle w:val="BodyText"/>
        <w:spacing w:line="230" w:lineRule="exact" w:before="91"/>
        <w:ind w:right="0"/>
        <w:jc w:val="both"/>
      </w:pPr>
      <w:r>
        <w:rPr>
          <w:spacing w:val="-1"/>
        </w:rPr>
        <w:t>produziert</w:t>
      </w:r>
      <w:r>
        <w:rPr>
          <w:spacing w:val="-9"/>
        </w:rPr>
        <w:t> </w:t>
      </w:r>
      <w:r>
        <w:rPr/>
        <w:t>rund</w:t>
      </w:r>
      <w:r>
        <w:rPr>
          <w:spacing w:val="-9"/>
        </w:rPr>
        <w:t> </w:t>
      </w:r>
      <w:r>
        <w:rPr/>
        <w:t>6’500</w:t>
      </w:r>
      <w:r>
        <w:rPr>
          <w:spacing w:val="-9"/>
        </w:rPr>
        <w:t> </w:t>
      </w:r>
      <w:r>
        <w:rPr/>
        <w:t>kWh</w:t>
      </w:r>
      <w:r>
        <w:rPr>
          <w:spacing w:val="-9"/>
        </w:rPr>
        <w:t> </w:t>
      </w:r>
      <w:r>
        <w:rPr>
          <w:spacing w:val="-2"/>
        </w:rPr>
        <w:t>pro</w:t>
      </w:r>
      <w:r>
        <w:rPr>
          <w:spacing w:val="-9"/>
        </w:rPr>
        <w:t> </w:t>
      </w:r>
      <w:r>
        <w:rPr>
          <w:spacing w:val="-3"/>
        </w:rPr>
        <w:t>Jahr.</w:t>
      </w:r>
      <w:r>
        <w:rPr>
          <w:spacing w:val="-20"/>
        </w:rPr>
        <w:t> </w:t>
      </w:r>
      <w:r>
        <w:rPr>
          <w:spacing w:val="-1"/>
        </w:rPr>
        <w:t>Die</w:t>
      </w:r>
      <w:r>
        <w:rPr>
          <w:spacing w:val="-9"/>
        </w:rPr>
        <w:t> </w:t>
      </w:r>
      <w:r>
        <w:rPr>
          <w:spacing w:val="-3"/>
        </w:rPr>
        <w:t>PV-</w:t>
      </w:r>
      <w:r>
        <w:rPr>
          <w:spacing w:val="25"/>
        </w:rPr>
        <w:t> </w:t>
      </w:r>
      <w:r>
        <w:rPr>
          <w:spacing w:val="-1"/>
        </w:rPr>
        <w:t>Anlagen</w:t>
      </w:r>
      <w:r>
        <w:rPr>
          <w:spacing w:val="23"/>
        </w:rPr>
        <w:t> </w:t>
      </w:r>
      <w:r>
        <w:rPr/>
        <w:t>auf</w:t>
      </w:r>
      <w:r>
        <w:rPr>
          <w:spacing w:val="23"/>
        </w:rPr>
        <w:t> </w:t>
      </w:r>
      <w:r>
        <w:rPr/>
        <w:t>dem</w:t>
      </w:r>
      <w:r>
        <w:rPr>
          <w:spacing w:val="23"/>
        </w:rPr>
        <w:t> </w:t>
      </w:r>
      <w:r>
        <w:rPr/>
        <w:t>Süd-</w:t>
      </w:r>
      <w:r>
        <w:rPr>
          <w:spacing w:val="23"/>
        </w:rPr>
        <w:t> </w:t>
      </w:r>
      <w:r>
        <w:rPr/>
        <w:t>und</w:t>
      </w:r>
      <w:r>
        <w:rPr>
          <w:spacing w:val="23"/>
        </w:rPr>
        <w:t> </w:t>
      </w:r>
      <w:r>
        <w:rPr>
          <w:spacing w:val="-1"/>
        </w:rPr>
        <w:t>Norddach,</w:t>
      </w:r>
      <w:r>
        <w:rPr>
          <w:spacing w:val="12"/>
        </w:rPr>
        <w:t> </w:t>
      </w:r>
      <w:r>
        <w:rPr/>
        <w:t>lie-</w:t>
      </w:r>
      <w:r>
        <w:rPr>
          <w:spacing w:val="20"/>
        </w:rPr>
        <w:t> </w:t>
      </w:r>
      <w:r>
        <w:rPr>
          <w:spacing w:val="-1"/>
        </w:rPr>
        <w:t>fern</w:t>
      </w:r>
      <w:r>
        <w:rPr/>
        <w:t> rund 39’400 </w:t>
      </w:r>
      <w:r>
        <w:rPr>
          <w:spacing w:val="-2"/>
        </w:rPr>
        <w:t>kWh/a</w:t>
      </w:r>
      <w:r>
        <w:rPr/>
        <w:t> </w:t>
      </w:r>
      <w:r>
        <w:rPr>
          <w:spacing w:val="-1"/>
        </w:rPr>
        <w:t>Solarstrom.</w:t>
      </w:r>
    </w:p>
    <w:p>
      <w:pPr>
        <w:pStyle w:val="BodyText"/>
        <w:spacing w:line="230" w:lineRule="exact"/>
        <w:ind w:right="0" w:firstLine="226"/>
        <w:jc w:val="right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2.52pt;margin-top:132.394608pt;width:345.85pt;height:226.5pt;mso-position-horizontal-relative:page;mso-position-vertical-relative:paragraph;z-index:-7192" type="#_x0000_t202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10"/>
                    <w:rPr>
                      <w:rFonts w:ascii="Theinhardt Heavy" w:hAnsi="Theinhardt Heavy" w:cs="Theinhardt Heavy" w:eastAsia="Theinhardt Heavy"/>
                      <w:b/>
                      <w:bCs/>
                      <w:sz w:val="12"/>
                      <w:szCs w:val="12"/>
                    </w:rPr>
                  </w:pPr>
                </w:p>
                <w:p>
                  <w:pPr>
                    <w:spacing w:before="0"/>
                    <w:ind w:left="269" w:right="0" w:firstLine="0"/>
                    <w:jc w:val="left"/>
                    <w:rPr>
                      <w:rFonts w:ascii="Theinhardt Bold" w:hAnsi="Theinhardt Bold" w:cs="Theinhardt Bold" w:eastAsia="Theinhardt Bold"/>
                      <w:sz w:val="14"/>
                      <w:szCs w:val="14"/>
                    </w:rPr>
                  </w:pPr>
                  <w:r>
                    <w:rPr>
                      <w:rFonts w:ascii="Theinhardt Bold"/>
                      <w:b/>
                      <w:sz w:val="14"/>
                    </w:rPr>
                    <w:t>1</w:t>
                  </w:r>
                  <w:r>
                    <w:rPr>
                      <w:rFonts w:ascii="Theinhardt Bold"/>
                      <w:sz w:val="14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2.52pt;margin-top:132.394608pt;width:345.827pt;height:226.489pt;mso-position-horizontal-relative:page;mso-position-vertical-relative:paragraph;z-index:1216" type="#_x0000_t75" stroked="false">
            <v:imagedata r:id="rId5" o:title=""/>
          </v:shape>
        </w:pict>
      </w:r>
      <w:r>
        <w:rPr/>
        <w:t>Dank</w:t>
      </w:r>
      <w:r>
        <w:rPr>
          <w:spacing w:val="7"/>
        </w:rPr>
        <w:t> </w:t>
      </w:r>
      <w:r>
        <w:rPr/>
        <w:t>der</w:t>
      </w:r>
      <w:r>
        <w:rPr>
          <w:spacing w:val="7"/>
        </w:rPr>
        <w:t> </w:t>
      </w:r>
      <w:r>
        <w:rPr/>
        <w:t>guten</w:t>
      </w:r>
      <w:r>
        <w:rPr>
          <w:spacing w:val="7"/>
        </w:rPr>
        <w:t> </w:t>
      </w:r>
      <w:r>
        <w:rPr/>
        <w:t>Dämmung,</w:t>
      </w:r>
      <w:r>
        <w:rPr>
          <w:spacing w:val="-4"/>
        </w:rPr>
        <w:t> </w:t>
      </w:r>
      <w:r>
        <w:rPr/>
        <w:t>der</w:t>
      </w:r>
      <w:r>
        <w:rPr>
          <w:spacing w:val="7"/>
        </w:rPr>
        <w:t> </w:t>
      </w:r>
      <w:r>
        <w:rPr>
          <w:spacing w:val="-1"/>
        </w:rPr>
        <w:t>LED-Be-</w:t>
      </w:r>
      <w:r>
        <w:rPr>
          <w:spacing w:val="24"/>
        </w:rPr>
        <w:t> </w:t>
      </w:r>
      <w:r>
        <w:rPr/>
        <w:t>leuchtung</w:t>
      </w:r>
      <w:r>
        <w:rPr>
          <w:spacing w:val="-5"/>
        </w:rPr>
        <w:t> </w:t>
      </w:r>
      <w:r>
        <w:rPr/>
        <w:t>und</w:t>
      </w:r>
      <w:r>
        <w:rPr>
          <w:spacing w:val="-5"/>
        </w:rPr>
        <w:t> </w:t>
      </w:r>
      <w:r>
        <w:rPr/>
        <w:t>der</w:t>
      </w:r>
      <w:r>
        <w:rPr>
          <w:spacing w:val="-5"/>
        </w:rPr>
        <w:t> </w:t>
      </w:r>
      <w:r>
        <w:rPr/>
        <w:t>Nutzung</w:t>
      </w:r>
      <w:r>
        <w:rPr>
          <w:spacing w:val="-5"/>
        </w:rPr>
        <w:t> </w:t>
      </w:r>
      <w:r>
        <w:rPr>
          <w:spacing w:val="-1"/>
        </w:rPr>
        <w:t>energieeffizien-</w:t>
      </w:r>
      <w:r>
        <w:rPr>
          <w:spacing w:val="38"/>
        </w:rPr>
        <w:t> </w:t>
      </w:r>
      <w:r>
        <w:rPr/>
        <w:t>ter</w:t>
      </w:r>
      <w:r>
        <w:rPr>
          <w:spacing w:val="42"/>
        </w:rPr>
        <w:t> </w:t>
      </w:r>
      <w:r>
        <w:rPr>
          <w:spacing w:val="-1"/>
        </w:rPr>
        <w:t>Geräte</w:t>
      </w:r>
      <w:r>
        <w:rPr>
          <w:spacing w:val="43"/>
        </w:rPr>
        <w:t> </w:t>
      </w:r>
      <w:r>
        <w:rPr>
          <w:spacing w:val="-1"/>
        </w:rPr>
        <w:t>vermag</w:t>
      </w:r>
      <w:r>
        <w:rPr>
          <w:spacing w:val="42"/>
        </w:rPr>
        <w:t> </w:t>
      </w:r>
      <w:r>
        <w:rPr/>
        <w:t>die</w:t>
      </w:r>
      <w:r>
        <w:rPr>
          <w:spacing w:val="43"/>
        </w:rPr>
        <w:t> </w:t>
      </w:r>
      <w:r>
        <w:rPr>
          <w:spacing w:val="-1"/>
        </w:rPr>
        <w:t>Solarenergie</w:t>
      </w:r>
      <w:r>
        <w:rPr>
          <w:spacing w:val="43"/>
        </w:rPr>
        <w:t> </w:t>
      </w:r>
      <w:r>
        <w:rPr/>
        <w:t>50%</w:t>
      </w:r>
      <w:r>
        <w:rPr>
          <w:spacing w:val="23"/>
        </w:rPr>
        <w:t> </w:t>
      </w:r>
      <w:r>
        <w:rPr/>
        <w:t>des  </w:t>
      </w:r>
      <w:r>
        <w:rPr>
          <w:spacing w:val="3"/>
        </w:rPr>
        <w:t> </w:t>
      </w:r>
      <w:r>
        <w:rPr>
          <w:spacing w:val="-1"/>
        </w:rPr>
        <w:t>Gesamtenergiebedarfs</w:t>
      </w:r>
      <w:r>
        <w:rPr/>
        <w:t>  </w:t>
      </w:r>
      <w:r>
        <w:rPr>
          <w:spacing w:val="3"/>
        </w:rPr>
        <w:t> </w:t>
      </w:r>
      <w:r>
        <w:rPr/>
        <w:t>von  </w:t>
      </w:r>
      <w:r>
        <w:rPr>
          <w:spacing w:val="3"/>
        </w:rPr>
        <w:t> </w:t>
      </w:r>
      <w:r>
        <w:rPr/>
        <w:t>91’300</w:t>
      </w:r>
      <w:r>
        <w:rPr>
          <w:spacing w:val="36"/>
        </w:rPr>
        <w:t> </w:t>
      </w:r>
      <w:r>
        <w:rPr>
          <w:spacing w:val="-2"/>
        </w:rPr>
        <w:t>kWh/a</w:t>
      </w:r>
      <w:r>
        <w:rPr/>
        <w:t> des </w:t>
      </w:r>
      <w:r>
        <w:rPr>
          <w:spacing w:val="-1"/>
        </w:rPr>
        <w:t>Zehnfamilienhauses</w:t>
      </w:r>
      <w:r>
        <w:rPr/>
        <w:t> zu </w:t>
      </w:r>
      <w:r>
        <w:rPr>
          <w:spacing w:val="-1"/>
        </w:rPr>
        <w:t>decken.</w:t>
      </w:r>
      <w:r>
        <w:rPr>
          <w:spacing w:val="31"/>
        </w:rPr>
        <w:t> </w:t>
      </w:r>
      <w:r>
        <w:rPr/>
        <w:t>Um</w:t>
      </w:r>
      <w:r>
        <w:rPr>
          <w:spacing w:val="-2"/>
        </w:rPr>
        <w:t> </w:t>
      </w:r>
      <w:r>
        <w:rPr/>
        <w:t>die</w:t>
      </w:r>
      <w:r>
        <w:rPr>
          <w:spacing w:val="-2"/>
        </w:rPr>
        <w:t> </w:t>
      </w:r>
      <w:r>
        <w:rPr/>
        <w:t>Motivation</w:t>
      </w:r>
      <w:r>
        <w:rPr>
          <w:spacing w:val="-2"/>
        </w:rPr>
        <w:t> </w:t>
      </w:r>
      <w:r>
        <w:rPr/>
        <w:t>zum</w:t>
      </w:r>
      <w:r>
        <w:rPr>
          <w:spacing w:val="-2"/>
        </w:rPr>
        <w:t> </w:t>
      </w:r>
      <w:r>
        <w:rPr>
          <w:spacing w:val="-1"/>
        </w:rPr>
        <w:t>bewussten</w:t>
      </w:r>
      <w:r>
        <w:rPr>
          <w:spacing w:val="-2"/>
        </w:rPr>
        <w:t> </w:t>
      </w:r>
      <w:r>
        <w:rPr/>
        <w:t>Um-</w:t>
      </w:r>
      <w:r>
        <w:rPr>
          <w:spacing w:val="26"/>
        </w:rPr>
        <w:t> </w:t>
      </w:r>
      <w:r>
        <w:rPr/>
        <w:t>gang</w:t>
      </w:r>
      <w:r>
        <w:rPr>
          <w:spacing w:val="-13"/>
        </w:rPr>
        <w:t> </w:t>
      </w:r>
      <w:r>
        <w:rPr/>
        <w:t>mit</w:t>
      </w:r>
      <w:r>
        <w:rPr>
          <w:spacing w:val="-13"/>
        </w:rPr>
        <w:t> </w:t>
      </w:r>
      <w:r>
        <w:rPr/>
        <w:t>der</w:t>
      </w:r>
      <w:r>
        <w:rPr>
          <w:spacing w:val="-13"/>
        </w:rPr>
        <w:t> </w:t>
      </w:r>
      <w:r>
        <w:rPr>
          <w:spacing w:val="-1"/>
        </w:rPr>
        <w:t>Energie</w:t>
      </w:r>
      <w:r>
        <w:rPr>
          <w:spacing w:val="-13"/>
        </w:rPr>
        <w:t> </w:t>
      </w:r>
      <w:r>
        <w:rPr/>
        <w:t>zu</w:t>
      </w:r>
      <w:r>
        <w:rPr>
          <w:spacing w:val="-13"/>
        </w:rPr>
        <w:t> </w:t>
      </w:r>
      <w:r>
        <w:rPr>
          <w:spacing w:val="-1"/>
        </w:rPr>
        <w:t>stärken,</w:t>
      </w:r>
      <w:r>
        <w:rPr>
          <w:spacing w:val="-24"/>
        </w:rPr>
        <w:t> </w:t>
      </w:r>
      <w:r>
        <w:rPr>
          <w:spacing w:val="-1"/>
        </w:rPr>
        <w:t>schenkt</w:t>
      </w:r>
      <w:r>
        <w:rPr>
          <w:spacing w:val="-13"/>
        </w:rPr>
        <w:t> </w:t>
      </w:r>
      <w:r>
        <w:rPr/>
        <w:t>die</w:t>
      </w:r>
      <w:r>
        <w:rPr>
          <w:spacing w:val="22"/>
        </w:rPr>
        <w:t> </w:t>
      </w:r>
      <w:r>
        <w:rPr/>
        <w:t>Eigentümerin </w:t>
      </w:r>
      <w:r>
        <w:rPr>
          <w:spacing w:val="8"/>
        </w:rPr>
        <w:t> </w:t>
      </w:r>
      <w:r>
        <w:rPr/>
        <w:t>jedem/r </w:t>
      </w:r>
      <w:r>
        <w:rPr>
          <w:spacing w:val="8"/>
        </w:rPr>
        <w:t> </w:t>
      </w:r>
      <w:r>
        <w:rPr/>
        <w:t>erwachsenen </w:t>
      </w:r>
      <w:r>
        <w:rPr>
          <w:spacing w:val="8"/>
        </w:rPr>
        <w:t> </w:t>
      </w:r>
      <w:r>
        <w:rPr/>
        <w:t>Mie-</w:t>
      </w:r>
      <w:r>
        <w:rPr>
          <w:spacing w:val="25"/>
        </w:rPr>
        <w:t> </w:t>
      </w:r>
      <w:r>
        <w:rPr>
          <w:spacing w:val="1"/>
        </w:rPr>
        <w:t>ter/in</w:t>
      </w:r>
      <w:r>
        <w:rPr>
          <w:spacing w:val="9"/>
        </w:rPr>
        <w:t> </w:t>
      </w:r>
      <w:r>
        <w:rPr>
          <w:spacing w:val="-2"/>
        </w:rPr>
        <w:t>pro</w:t>
      </w:r>
      <w:r>
        <w:rPr>
          <w:spacing w:val="9"/>
        </w:rPr>
        <w:t> </w:t>
      </w:r>
      <w:r>
        <w:rPr/>
        <w:t>Jahr</w:t>
      </w:r>
      <w:r>
        <w:rPr>
          <w:spacing w:val="9"/>
        </w:rPr>
        <w:t> </w:t>
      </w:r>
      <w:r>
        <w:rPr/>
        <w:t>1’000</w:t>
      </w:r>
      <w:r>
        <w:rPr>
          <w:spacing w:val="9"/>
        </w:rPr>
        <w:t> </w:t>
      </w:r>
      <w:r>
        <w:rPr/>
        <w:t>kWh</w:t>
      </w:r>
      <w:r>
        <w:rPr>
          <w:spacing w:val="9"/>
        </w:rPr>
        <w:t> </w:t>
      </w:r>
      <w:r>
        <w:rPr>
          <w:spacing w:val="-1"/>
        </w:rPr>
        <w:t>Solarstrom.</w:t>
      </w:r>
      <w:r>
        <w:rPr>
          <w:spacing w:val="-2"/>
        </w:rPr>
        <w:t> </w:t>
      </w:r>
      <w:r>
        <w:rPr/>
        <w:t>Den</w:t>
      </w:r>
      <w:r>
        <w:rPr>
          <w:spacing w:val="27"/>
        </w:rPr>
        <w:t> </w:t>
      </w:r>
      <w:r>
        <w:rPr>
          <w:spacing w:val="-1"/>
        </w:rPr>
        <w:t>Familien</w:t>
      </w:r>
      <w:r>
        <w:rPr>
          <w:spacing w:val="13"/>
        </w:rPr>
        <w:t> </w:t>
      </w:r>
      <w:r>
        <w:rPr/>
        <w:t>steht</w:t>
      </w:r>
      <w:r>
        <w:rPr>
          <w:spacing w:val="13"/>
        </w:rPr>
        <w:t> </w:t>
      </w:r>
      <w:r>
        <w:rPr/>
        <w:t>zudem</w:t>
      </w:r>
      <w:r>
        <w:rPr>
          <w:spacing w:val="13"/>
        </w:rPr>
        <w:t> </w:t>
      </w:r>
      <w:r>
        <w:rPr/>
        <w:t>ein</w:t>
      </w:r>
      <w:r>
        <w:rPr>
          <w:spacing w:val="13"/>
        </w:rPr>
        <w:t> </w:t>
      </w:r>
      <w:r>
        <w:rPr/>
        <w:t>gemeinschaftlich</w:t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before="136"/>
        <w:ind w:left="116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t>1</w:t>
      </w:r>
      <w:r>
        <w:rPr>
          <w:rFonts w:ascii="Theinhardt Bold"/>
          <w:sz w:val="14"/>
        </w:rPr>
      </w:r>
    </w:p>
    <w:p>
      <w:pPr>
        <w:pStyle w:val="BodyText"/>
        <w:spacing w:line="230" w:lineRule="exact" w:before="90"/>
        <w:ind w:left="116" w:right="0" w:firstLine="226"/>
        <w:jc w:val="both"/>
      </w:pPr>
      <w:r>
        <w:rPr/>
        <w:br w:type="column"/>
      </w:r>
      <w:r>
        <w:rPr/>
        <w:t>Zurzeit</w:t>
      </w:r>
      <w:r>
        <w:rPr>
          <w:spacing w:val="6"/>
        </w:rPr>
        <w:t> </w:t>
      </w:r>
      <w:r>
        <w:rPr>
          <w:spacing w:val="-2"/>
        </w:rPr>
        <w:t>wird</w:t>
      </w:r>
      <w:r>
        <w:rPr>
          <w:spacing w:val="6"/>
        </w:rPr>
        <w:t> </w:t>
      </w:r>
      <w:r>
        <w:rPr/>
        <w:t>noch</w:t>
      </w:r>
      <w:r>
        <w:rPr>
          <w:spacing w:val="6"/>
        </w:rPr>
        <w:t> </w:t>
      </w:r>
      <w:r>
        <w:rPr/>
        <w:t>mit</w:t>
      </w:r>
      <w:r>
        <w:rPr>
          <w:spacing w:val="6"/>
        </w:rPr>
        <w:t> </w:t>
      </w:r>
      <w:r>
        <w:rPr>
          <w:spacing w:val="-1"/>
        </w:rPr>
        <w:t>Öl</w:t>
      </w:r>
      <w:r>
        <w:rPr>
          <w:spacing w:val="6"/>
        </w:rPr>
        <w:t> </w:t>
      </w:r>
      <w:r>
        <w:rPr>
          <w:spacing w:val="1"/>
        </w:rPr>
        <w:t>geheizt.</w:t>
      </w:r>
      <w:r>
        <w:rPr>
          <w:spacing w:val="43"/>
        </w:rPr>
        <w:t> </w:t>
      </w:r>
      <w:r>
        <w:rPr>
          <w:spacing w:val="-2"/>
        </w:rPr>
        <w:t>Für</w:t>
      </w:r>
      <w:r>
        <w:rPr>
          <w:spacing w:val="25"/>
        </w:rPr>
        <w:t> </w:t>
      </w:r>
      <w:r>
        <w:rPr/>
        <w:t>Ende</w:t>
      </w:r>
      <w:r>
        <w:rPr>
          <w:spacing w:val="3"/>
        </w:rPr>
        <w:t> </w:t>
      </w:r>
      <w:r>
        <w:rPr/>
        <w:t>2016</w:t>
      </w:r>
      <w:r>
        <w:rPr>
          <w:spacing w:val="3"/>
        </w:rPr>
        <w:t> </w:t>
      </w:r>
      <w:r>
        <w:rPr/>
        <w:t>ist</w:t>
      </w:r>
      <w:r>
        <w:rPr>
          <w:spacing w:val="3"/>
        </w:rPr>
        <w:t> </w:t>
      </w:r>
      <w:r>
        <w:rPr/>
        <w:t>jedoch</w:t>
      </w:r>
      <w:r>
        <w:rPr>
          <w:spacing w:val="3"/>
        </w:rPr>
        <w:t> </w:t>
      </w:r>
      <w:r>
        <w:rPr/>
        <w:t>der</w:t>
      </w:r>
      <w:r>
        <w:rPr>
          <w:spacing w:val="3"/>
        </w:rPr>
        <w:t> </w:t>
      </w:r>
      <w:r>
        <w:rPr>
          <w:spacing w:val="-1"/>
        </w:rPr>
        <w:t>Anschluss</w:t>
      </w:r>
      <w:r>
        <w:rPr>
          <w:spacing w:val="3"/>
        </w:rPr>
        <w:t> </w:t>
      </w:r>
      <w:r>
        <w:rPr>
          <w:spacing w:val="-1"/>
        </w:rPr>
        <w:t>an</w:t>
      </w:r>
      <w:r>
        <w:rPr>
          <w:spacing w:val="3"/>
        </w:rPr>
        <w:t> </w:t>
      </w:r>
      <w:r>
        <w:rPr/>
        <w:t>die</w:t>
      </w:r>
      <w:r>
        <w:rPr>
          <w:spacing w:val="29"/>
        </w:rPr>
        <w:t> </w:t>
      </w:r>
      <w:r>
        <w:rPr/>
        <w:t>dörfliche Holzschnitzelheizung geplant.</w:t>
      </w:r>
    </w:p>
    <w:p>
      <w:pPr>
        <w:pStyle w:val="BodyText"/>
        <w:spacing w:line="230" w:lineRule="exact"/>
        <w:ind w:left="116" w:right="0" w:firstLine="226"/>
        <w:jc w:val="both"/>
      </w:pPr>
      <w:r>
        <w:rPr/>
        <w:t>Eine</w:t>
      </w:r>
      <w:r>
        <w:rPr>
          <w:spacing w:val="22"/>
        </w:rPr>
        <w:t> </w:t>
      </w:r>
      <w:r>
        <w:rPr/>
        <w:t>19’500</w:t>
      </w:r>
      <w:r>
        <w:rPr>
          <w:spacing w:val="22"/>
        </w:rPr>
        <w:t> </w:t>
      </w:r>
      <w:r>
        <w:rPr>
          <w:spacing w:val="-1"/>
        </w:rPr>
        <w:t>Liter</w:t>
      </w:r>
      <w:r>
        <w:rPr>
          <w:spacing w:val="22"/>
        </w:rPr>
        <w:t> </w:t>
      </w:r>
      <w:r>
        <w:rPr>
          <w:spacing w:val="-2"/>
        </w:rPr>
        <w:t>grosse</w:t>
      </w:r>
      <w:r>
        <w:rPr>
          <w:spacing w:val="22"/>
        </w:rPr>
        <w:t> </w:t>
      </w:r>
      <w:r>
        <w:rPr/>
        <w:t>Zisterne</w:t>
      </w:r>
      <w:r>
        <w:rPr>
          <w:spacing w:val="22"/>
        </w:rPr>
        <w:t> </w:t>
      </w:r>
      <w:r>
        <w:rPr/>
        <w:t>fasst</w:t>
      </w:r>
      <w:r>
        <w:rPr>
          <w:spacing w:val="28"/>
        </w:rPr>
        <w:t> </w:t>
      </w:r>
      <w:r>
        <w:rPr>
          <w:spacing w:val="-1"/>
        </w:rPr>
        <w:t>Regenwasser</w:t>
      </w:r>
      <w:r>
        <w:rPr>
          <w:spacing w:val="44"/>
        </w:rPr>
        <w:t> </w:t>
      </w:r>
      <w:r>
        <w:rPr/>
        <w:t>für</w:t>
      </w:r>
      <w:r>
        <w:rPr>
          <w:spacing w:val="45"/>
        </w:rPr>
        <w:t> </w:t>
      </w:r>
      <w:r>
        <w:rPr/>
        <w:t>die</w:t>
      </w:r>
      <w:r>
        <w:rPr>
          <w:spacing w:val="29"/>
        </w:rPr>
        <w:t> </w:t>
      </w:r>
      <w:r>
        <w:rPr>
          <w:spacing w:val="-2"/>
        </w:rPr>
        <w:t>Toiletten,</w:t>
      </w:r>
      <w:r>
        <w:rPr>
          <w:spacing w:val="34"/>
        </w:rPr>
        <w:t> </w:t>
      </w:r>
      <w:r>
        <w:rPr>
          <w:spacing w:val="-2"/>
        </w:rPr>
        <w:t>Waschma-</w:t>
      </w:r>
      <w:r>
        <w:rPr>
          <w:spacing w:val="43"/>
        </w:rPr>
        <w:t> </w:t>
      </w:r>
      <w:r>
        <w:rPr>
          <w:spacing w:val="-1"/>
        </w:rPr>
        <w:t>schinen</w:t>
      </w:r>
      <w:r>
        <w:rPr>
          <w:spacing w:val="6"/>
        </w:rPr>
        <w:t> </w:t>
      </w:r>
      <w:r>
        <w:rPr/>
        <w:t>und</w:t>
      </w:r>
      <w:r>
        <w:rPr>
          <w:spacing w:val="6"/>
        </w:rPr>
        <w:t> </w:t>
      </w:r>
      <w:r>
        <w:rPr/>
        <w:t>Gartenhähne.</w:t>
      </w:r>
      <w:r>
        <w:rPr>
          <w:spacing w:val="43"/>
        </w:rPr>
        <w:t> </w:t>
      </w:r>
      <w:r>
        <w:rPr>
          <w:spacing w:val="-1"/>
        </w:rPr>
        <w:t>Dieses</w:t>
      </w:r>
      <w:r>
        <w:rPr>
          <w:spacing w:val="6"/>
        </w:rPr>
        <w:t> </w:t>
      </w:r>
      <w:r>
        <w:rPr>
          <w:spacing w:val="-1"/>
        </w:rPr>
        <w:t>ökolo-</w:t>
      </w:r>
      <w:r>
        <w:rPr>
          <w:spacing w:val="27"/>
        </w:rPr>
        <w:t> </w:t>
      </w:r>
      <w:r>
        <w:rPr>
          <w:spacing w:val="-1"/>
        </w:rPr>
        <w:t>gisch</w:t>
      </w:r>
      <w:r>
        <w:rPr>
          <w:spacing w:val="31"/>
        </w:rPr>
        <w:t> </w:t>
      </w:r>
      <w:r>
        <w:rPr>
          <w:spacing w:val="-1"/>
        </w:rPr>
        <w:t>durchdachte</w:t>
      </w:r>
      <w:r>
        <w:rPr>
          <w:spacing w:val="32"/>
        </w:rPr>
        <w:t> </w:t>
      </w:r>
      <w:r>
        <w:rPr/>
        <w:t>MFH</w:t>
      </w:r>
      <w:r>
        <w:rPr>
          <w:spacing w:val="31"/>
        </w:rPr>
        <w:t> </w:t>
      </w:r>
      <w:r>
        <w:rPr>
          <w:spacing w:val="-1"/>
        </w:rPr>
        <w:t>verdient</w:t>
      </w:r>
      <w:r>
        <w:rPr>
          <w:spacing w:val="32"/>
        </w:rPr>
        <w:t> </w:t>
      </w:r>
      <w:r>
        <w:rPr/>
        <w:t>das</w:t>
      </w:r>
      <w:r>
        <w:rPr>
          <w:spacing w:val="21"/>
        </w:rPr>
        <w:t> </w:t>
      </w:r>
      <w:r>
        <w:rPr>
          <w:spacing w:val="-1"/>
        </w:rPr>
        <w:t>Schweizer</w:t>
      </w:r>
      <w:r>
        <w:rPr/>
        <w:t> </w:t>
      </w:r>
      <w:r>
        <w:rPr>
          <w:spacing w:val="-1"/>
        </w:rPr>
        <w:t>Solarpreis-Diplom</w:t>
      </w:r>
      <w:r>
        <w:rPr/>
        <w:t> 2016.</w:t>
      </w:r>
    </w:p>
    <w:p>
      <w:pPr>
        <w:tabs>
          <w:tab w:pos="1809" w:val="left" w:leader="none"/>
          <w:tab w:pos="2390" w:val="left" w:leader="none"/>
          <w:tab w:pos="2793" w:val="left" w:leader="none"/>
        </w:tabs>
        <w:spacing w:line="142" w:lineRule="exact" w:before="0"/>
        <w:ind w:left="11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w w:val="95"/>
        </w:rPr>
        <w:br w:type="column"/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Heizung: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28.9</w:t>
        <w:tab/>
        <w:t>36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32’455</w:t>
      </w:r>
    </w:p>
    <w:p>
      <w:pPr>
        <w:tabs>
          <w:tab w:pos="1829" w:val="left" w:leader="none"/>
          <w:tab w:pos="2389" w:val="left" w:leader="none"/>
          <w:tab w:pos="2804" w:val="left" w:leader="none"/>
        </w:tabs>
        <w:spacing w:line="160" w:lineRule="exact" w:before="0"/>
        <w:ind w:left="11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Warmwasser:</w:t>
        <w:tab/>
      </w:r>
      <w:r>
        <w:rPr>
          <w:rFonts w:ascii="Theinhardt Regular" w:hAnsi="Theinhardt Regular" w:cs="Theinhardt Regular" w:eastAsia="Theinhardt Regular"/>
          <w:spacing w:val="-5"/>
          <w:sz w:val="14"/>
          <w:szCs w:val="14"/>
        </w:rPr>
        <w:t>27.7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34</w:t>
        <w:tab/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31’107</w:t>
      </w:r>
    </w:p>
    <w:p>
      <w:pPr>
        <w:tabs>
          <w:tab w:pos="1810" w:val="left" w:leader="none"/>
          <w:tab w:pos="2391" w:val="left" w:leader="none"/>
          <w:tab w:pos="2783" w:val="left" w:leader="none"/>
        </w:tabs>
        <w:spacing w:line="160" w:lineRule="exact" w:before="0"/>
        <w:ind w:left="11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Heizöl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(H+WW):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56.6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70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63’562</w:t>
      </w:r>
    </w:p>
    <w:p>
      <w:pPr>
        <w:tabs>
          <w:tab w:pos="1901" w:val="left" w:leader="none"/>
          <w:tab w:pos="2473" w:val="left" w:leader="none"/>
          <w:tab w:pos="2871" w:val="left" w:leader="none"/>
        </w:tabs>
        <w:spacing w:line="160" w:lineRule="exact" w:before="0"/>
        <w:ind w:left="11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Lüftung:</w:t>
        <w:tab/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6.7</w:t>
        <w:tab/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8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7’524</w:t>
      </w:r>
    </w:p>
    <w:p>
      <w:pPr>
        <w:tabs>
          <w:tab w:pos="1816" w:val="left" w:leader="none"/>
          <w:tab w:pos="2391" w:val="left" w:leader="none"/>
          <w:tab w:pos="2793" w:val="left" w:leader="none"/>
        </w:tabs>
        <w:spacing w:line="160" w:lineRule="exact" w:before="0"/>
        <w:ind w:left="11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Elektrizität:</w:t>
      </w:r>
      <w:r>
        <w:rPr>
          <w:rFonts w:ascii="Theinhardt Regular" w:hAnsi="Theinhardt Regular" w:cs="Theinhardt Regular" w:eastAsia="Theinhardt Regular"/>
          <w:sz w:val="14"/>
          <w:szCs w:val="14"/>
        </w:rPr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18.0</w:t>
      </w:r>
      <w:r>
        <w:rPr>
          <w:rFonts w:ascii="Theinhardt Regular" w:hAnsi="Theinhardt Regular" w:cs="Theinhardt Regular" w:eastAsia="Theinhardt Regular"/>
          <w:sz w:val="14"/>
          <w:szCs w:val="14"/>
        </w:rPr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22</w:t>
      </w:r>
      <w:r>
        <w:rPr>
          <w:rFonts w:ascii="Theinhardt Regular" w:hAnsi="Theinhardt Regular" w:cs="Theinhardt Regular" w:eastAsia="Theinhardt Regular"/>
          <w:sz w:val="14"/>
          <w:szCs w:val="14"/>
        </w:rPr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20’214</w:t>
      </w:r>
    </w:p>
    <w:p>
      <w:pPr>
        <w:tabs>
          <w:tab w:pos="1807" w:val="left" w:leader="none"/>
          <w:tab w:pos="2308" w:val="left" w:leader="none"/>
          <w:tab w:pos="2778" w:val="left" w:leader="none"/>
        </w:tabs>
        <w:spacing w:line="172" w:lineRule="exact" w:before="0"/>
        <w:ind w:left="11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GesamtEB:</w:t>
        <w:tab/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81.3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91’300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1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2428" w:val="left" w:leader="none"/>
          <w:tab w:pos="2833" w:val="left" w:leader="none"/>
        </w:tabs>
        <w:spacing w:line="172" w:lineRule="exact" w:before="0"/>
        <w:ind w:left="116" w:right="0" w:hanging="1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Eigen-EV: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33"/>
          <w:sz w:val="14"/>
        </w:rPr>
        <w:t> </w:t>
      </w:r>
      <w:r>
        <w:rPr>
          <w:rFonts w:ascii="Theinhardt Regular"/>
          <w:sz w:val="14"/>
        </w:rPr>
        <w:t>m</w:t>
      </w:r>
      <w:r>
        <w:rPr>
          <w:rFonts w:ascii="Theinhardt Regular"/>
          <w:position w:val="5"/>
          <w:sz w:val="8"/>
        </w:rPr>
        <w:t>2       </w:t>
      </w:r>
      <w:r>
        <w:rPr>
          <w:rFonts w:ascii="Theinhardt Regular"/>
          <w:sz w:val="14"/>
        </w:rPr>
        <w:t>kWp </w:t>
      </w:r>
      <w:r>
        <w:rPr>
          <w:rFonts w:ascii="Theinhardt Regular"/>
          <w:spacing w:val="37"/>
          <w:sz w:val="14"/>
        </w:rPr>
        <w:t> </w:t>
      </w:r>
      <w:r>
        <w:rPr>
          <w:rFonts w:ascii="Theinhardt Regular"/>
          <w:sz w:val="14"/>
        </w:rPr>
        <w:t>kWh/m</w:t>
      </w:r>
      <w:r>
        <w:rPr>
          <w:rFonts w:ascii="Theinhardt Regular"/>
          <w:position w:val="5"/>
          <w:sz w:val="8"/>
        </w:rPr>
        <w:t>2</w:t>
      </w:r>
      <w:r>
        <w:rPr>
          <w:rFonts w:ascii="Theinhardt Regular"/>
          <w:sz w:val="14"/>
        </w:rPr>
        <w:t>a</w:t>
        <w:tab/>
        <w:t>%</w:t>
        <w:tab/>
        <w:t>kWh/a</w:t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"/>
          <w:szCs w:val="2"/>
        </w:rPr>
      </w:pPr>
    </w:p>
    <w:tbl>
      <w:tblPr>
        <w:tblW w:w="0" w:type="auto"/>
        <w:jc w:val="left"/>
        <w:tblInd w:w="6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1"/>
        <w:gridCol w:w="519"/>
        <w:gridCol w:w="621"/>
        <w:gridCol w:w="463"/>
        <w:gridCol w:w="628"/>
      </w:tblGrid>
      <w:tr>
        <w:trPr>
          <w:trHeight w:val="130" w:hRule="exact"/>
        </w:trPr>
        <w:tc>
          <w:tcPr>
            <w:tcW w:w="10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2"/>
                <w:sz w:val="14"/>
              </w:rPr>
              <w:t>PV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1"/>
                <w:sz w:val="14"/>
              </w:rPr>
              <w:t>Dach:</w:t>
            </w:r>
            <w:r>
              <w:rPr>
                <w:rFonts w:ascii="Theinhardt Regular"/>
                <w:sz w:val="14"/>
              </w:rPr>
              <w:t>  </w:t>
            </w:r>
            <w:r>
              <w:rPr>
                <w:rFonts w:ascii="Theinhardt Regular"/>
                <w:spacing w:val="-2"/>
                <w:sz w:val="14"/>
              </w:rPr>
              <w:t>276</w:t>
            </w:r>
          </w:p>
        </w:tc>
        <w:tc>
          <w:tcPr>
            <w:tcW w:w="51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0" w:lineRule="exact"/>
              <w:ind w:left="6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50.4</w:t>
            </w:r>
          </w:p>
        </w:tc>
        <w:tc>
          <w:tcPr>
            <w:tcW w:w="62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0" w:lineRule="exact"/>
              <w:ind w:left="16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4"/>
                <w:sz w:val="14"/>
              </w:rPr>
              <w:t>142.7</w:t>
            </w:r>
          </w:p>
        </w:tc>
        <w:tc>
          <w:tcPr>
            <w:tcW w:w="4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0" w:lineRule="exact"/>
              <w:ind w:left="18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2"/>
                <w:sz w:val="14"/>
              </w:rPr>
              <w:t>4</w:t>
            </w:r>
            <w:r>
              <w:rPr>
                <w:rFonts w:ascii="Theinhardt Regular"/>
                <w:sz w:val="14"/>
              </w:rPr>
              <w:t>3</w:t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0" w:lineRule="exact"/>
              <w:ind w:left="122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-1"/>
                <w:sz w:val="14"/>
                <w:szCs w:val="14"/>
              </w:rPr>
              <w:t>39’391</w:t>
            </w:r>
          </w:p>
        </w:tc>
      </w:tr>
      <w:tr>
        <w:trPr>
          <w:trHeight w:val="161" w:hRule="exact"/>
        </w:trPr>
        <w:tc>
          <w:tcPr>
            <w:tcW w:w="10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1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2"/>
                <w:sz w:val="14"/>
              </w:rPr>
              <w:t>PV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1"/>
                <w:sz w:val="14"/>
              </w:rPr>
              <w:t>Fass.:</w:t>
            </w:r>
            <w:r>
              <w:rPr>
                <w:rFonts w:ascii="Theinhardt Regular"/>
                <w:sz w:val="14"/>
              </w:rPr>
              <w:t>   </w:t>
            </w:r>
            <w:r>
              <w:rPr>
                <w:rFonts w:ascii="Theinhardt Regular"/>
                <w:spacing w:val="2"/>
                <w:sz w:val="14"/>
              </w:rPr>
              <w:t> </w:t>
            </w:r>
            <w:r>
              <w:rPr>
                <w:rFonts w:ascii="Theinhardt Regular"/>
                <w:spacing w:val="-5"/>
                <w:sz w:val="14"/>
              </w:rPr>
              <w:t>74</w:t>
            </w:r>
          </w:p>
        </w:tc>
        <w:tc>
          <w:tcPr>
            <w:tcW w:w="51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1" w:lineRule="exact"/>
              <w:ind w:left="7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2"/>
                <w:sz w:val="14"/>
              </w:rPr>
              <w:t>12.3</w:t>
            </w:r>
          </w:p>
        </w:tc>
        <w:tc>
          <w:tcPr>
            <w:tcW w:w="62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1" w:lineRule="exact"/>
              <w:ind w:left="23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3"/>
                <w:sz w:val="14"/>
              </w:rPr>
              <w:t>87.2</w:t>
            </w:r>
          </w:p>
        </w:tc>
        <w:tc>
          <w:tcPr>
            <w:tcW w:w="4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1" w:lineRule="exact"/>
              <w:ind w:left="27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7</w:t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1" w:lineRule="exact"/>
              <w:ind w:left="21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-4"/>
                <w:sz w:val="14"/>
                <w:szCs w:val="14"/>
              </w:rPr>
              <w:t>6’451</w:t>
            </w:r>
          </w:p>
        </w:tc>
      </w:tr>
      <w:tr>
        <w:trPr>
          <w:trHeight w:val="188" w:hRule="exact"/>
        </w:trPr>
        <w:tc>
          <w:tcPr>
            <w:tcW w:w="2141" w:type="dxa"/>
            <w:gridSpan w:val="3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4" w:lineRule="exact"/>
              <w:ind w:left="55" w:right="0" w:hanging="1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Eigenenergieversorgung: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spacing w:line="160" w:lineRule="exact" w:before="39"/>
              <w:ind w:left="55" w:right="358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Energiebilanz</w:t>
            </w:r>
            <w:r>
              <w:rPr>
                <w:rFonts w:ascii="Theinhardt Bold"/>
                <w:b/>
                <w:sz w:val="14"/>
              </w:rPr>
              <w:t> </w:t>
            </w:r>
            <w:r>
              <w:rPr>
                <w:rFonts w:ascii="Theinhardt Regular"/>
                <w:spacing w:val="1"/>
                <w:sz w:val="14"/>
              </w:rPr>
              <w:t>(Endenergie)</w:t>
            </w:r>
            <w:r>
              <w:rPr>
                <w:rFonts w:ascii="Theinhardt Regular"/>
                <w:spacing w:val="32"/>
                <w:sz w:val="14"/>
              </w:rPr>
              <w:t> </w:t>
            </w:r>
            <w:r>
              <w:rPr>
                <w:rFonts w:ascii="Theinhardt Bold"/>
                <w:b/>
                <w:spacing w:val="1"/>
                <w:sz w:val="14"/>
              </w:rPr>
              <w:t>Eigenenergieversorgung:</w:t>
            </w:r>
            <w:r>
              <w:rPr>
                <w:rFonts w:ascii="Theinhardt Bold"/>
                <w:b/>
                <w:spacing w:val="34"/>
                <w:sz w:val="14"/>
              </w:rPr>
              <w:t> </w:t>
            </w:r>
            <w:r>
              <w:rPr>
                <w:rFonts w:ascii="Theinhardt Regular"/>
                <w:spacing w:val="2"/>
                <w:sz w:val="14"/>
              </w:rPr>
              <w:t>Gesamtenergiebedarf:</w:t>
            </w:r>
            <w:r>
              <w:rPr>
                <w:rFonts w:ascii="Theinhardt Regular"/>
                <w:spacing w:val="24"/>
                <w:sz w:val="14"/>
              </w:rPr>
              <w:t> </w:t>
            </w:r>
            <w:r>
              <w:rPr>
                <w:rFonts w:ascii="Theinhardt Regular"/>
                <w:spacing w:val="1"/>
                <w:sz w:val="14"/>
              </w:rPr>
              <w:t>Fremdenergiezufuhr:</w:t>
            </w:r>
          </w:p>
        </w:tc>
        <w:tc>
          <w:tcPr>
            <w:tcW w:w="4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4" w:lineRule="exact"/>
              <w:ind w:left="186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2"/>
                <w:sz w:val="14"/>
              </w:rPr>
              <w:t>50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4" w:lineRule="exact"/>
              <w:ind w:left="106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pacing w:val="1"/>
                <w:sz w:val="14"/>
                <w:szCs w:val="14"/>
              </w:rPr>
              <w:t>45’842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348" w:hRule="exact"/>
        </w:trPr>
        <w:tc>
          <w:tcPr>
            <w:tcW w:w="2141" w:type="dxa"/>
            <w:gridSpan w:val="3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2" w:lineRule="exact" w:before="7"/>
              <w:ind w:left="22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%</w:t>
            </w:r>
          </w:p>
          <w:p>
            <w:pPr>
              <w:pStyle w:val="TableParagraph"/>
              <w:spacing w:line="169" w:lineRule="exact"/>
              <w:ind w:left="186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2"/>
                <w:sz w:val="14"/>
              </w:rPr>
              <w:t>50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2" w:lineRule="exact" w:before="7"/>
              <w:ind w:left="168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kWh/a</w:t>
            </w:r>
          </w:p>
          <w:p>
            <w:pPr>
              <w:pStyle w:val="TableParagraph"/>
              <w:spacing w:line="169" w:lineRule="exact"/>
              <w:ind w:left="106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pacing w:val="1"/>
                <w:sz w:val="14"/>
                <w:szCs w:val="14"/>
              </w:rPr>
              <w:t>45’842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160" w:hRule="exact"/>
        </w:trPr>
        <w:tc>
          <w:tcPr>
            <w:tcW w:w="2141" w:type="dxa"/>
            <w:gridSpan w:val="3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0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100</w:t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2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-1"/>
                <w:sz w:val="14"/>
                <w:szCs w:val="14"/>
              </w:rPr>
              <w:t>91’300</w:t>
            </w:r>
          </w:p>
        </w:tc>
      </w:tr>
      <w:tr>
        <w:trPr>
          <w:trHeight w:val="186" w:hRule="exact"/>
        </w:trPr>
        <w:tc>
          <w:tcPr>
            <w:tcW w:w="2141" w:type="dxa"/>
            <w:gridSpan w:val="3"/>
            <w:vMerge/>
            <w:tcBorders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4" w:lineRule="exact"/>
              <w:ind w:left="186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2"/>
                <w:sz w:val="14"/>
              </w:rPr>
              <w:t>50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4" w:lineRule="exact"/>
              <w:ind w:left="114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z w:val="14"/>
                <w:szCs w:val="14"/>
              </w:rPr>
              <w:t>45’458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line="160" w:lineRule="exact" w:before="16"/>
        <w:ind w:left="116" w:right="821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Bestätigt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von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3"/>
          <w:sz w:val="14"/>
        </w:rPr>
        <w:t>CKW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Regular" w:hAnsi="Theinhardt Regular"/>
          <w:sz w:val="14"/>
        </w:rPr>
        <w:t>am </w:t>
      </w:r>
      <w:r>
        <w:rPr>
          <w:rFonts w:ascii="Theinhardt Regular" w:hAnsi="Theinhardt Regular"/>
          <w:spacing w:val="-3"/>
          <w:sz w:val="14"/>
        </w:rPr>
        <w:t>17.06.2016</w:t>
      </w:r>
      <w:r>
        <w:rPr>
          <w:rFonts w:ascii="Theinhardt Regular" w:hAnsi="Theinhardt Regular"/>
          <w:spacing w:val="26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Othmar</w:t>
      </w:r>
      <w:r>
        <w:rPr>
          <w:rFonts w:ascii="Theinhardt Regular" w:hAnsi="Theinhardt Regular"/>
          <w:sz w:val="14"/>
        </w:rPr>
        <w:t> Felber,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041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249</w:t>
      </w:r>
      <w:r>
        <w:rPr>
          <w:rFonts w:ascii="Theinhardt Regular" w:hAnsi="Theinhardt Regular"/>
          <w:sz w:val="14"/>
        </w:rPr>
        <w:t> 53 02</w:t>
      </w:r>
    </w:p>
    <w:p>
      <w:pPr>
        <w:spacing w:line="160" w:lineRule="exact" w:before="56"/>
        <w:ind w:left="116" w:right="0" w:firstLine="0"/>
        <w:jc w:val="left"/>
        <w:rPr>
          <w:rFonts w:ascii="Theinhardt Light Italic" w:hAnsi="Theinhardt Light Italic" w:cs="Theinhardt Light Italic" w:eastAsia="Theinhardt Light Italic"/>
          <w:sz w:val="14"/>
          <w:szCs w:val="14"/>
        </w:rPr>
      </w:pPr>
      <w:r>
        <w:rPr>
          <w:rFonts w:ascii="Theinhardt Light Italic" w:hAnsi="Theinhardt Light Italic"/>
          <w:i/>
          <w:sz w:val="14"/>
        </w:rPr>
        <w:t>* </w:t>
      </w:r>
      <w:r>
        <w:rPr>
          <w:rFonts w:ascii="Theinhardt Light Italic" w:hAnsi="Theinhardt Light Italic"/>
          <w:i/>
          <w:spacing w:val="-4"/>
          <w:sz w:val="14"/>
        </w:rPr>
        <w:t>2016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gilt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laut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Meteotest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als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«</w:t>
      </w:r>
      <w:r>
        <w:rPr>
          <w:rFonts w:ascii="Theinhardt Light Italic" w:hAnsi="Theinhardt Light Italic"/>
          <w:i/>
          <w:spacing w:val="2"/>
          <w:sz w:val="14"/>
        </w:rPr>
        <w:t>nasses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Jahr</w:t>
      </w:r>
      <w:r>
        <w:rPr>
          <w:rFonts w:ascii="Theinhardt Regular" w:hAnsi="Theinhardt Regular"/>
          <w:spacing w:val="2"/>
          <w:sz w:val="14"/>
        </w:rPr>
        <w:t>»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Light Italic" w:hAnsi="Theinhardt Light Italic"/>
          <w:i/>
          <w:sz w:val="14"/>
        </w:rPr>
        <w:t>(J. </w:t>
      </w:r>
      <w:r>
        <w:rPr>
          <w:rFonts w:ascii="Theinhardt Light Italic" w:hAnsi="Theinhardt Light Italic"/>
          <w:i/>
          <w:spacing w:val="1"/>
          <w:sz w:val="14"/>
        </w:rPr>
        <w:t>Remund,</w:t>
      </w:r>
      <w:r>
        <w:rPr>
          <w:rFonts w:ascii="Theinhardt Light Italic" w:hAnsi="Theinhardt Light Italic"/>
          <w:i/>
          <w:spacing w:val="34"/>
          <w:sz w:val="14"/>
        </w:rPr>
        <w:t> </w:t>
      </w:r>
      <w:r>
        <w:rPr>
          <w:rFonts w:ascii="Theinhardt Light Italic" w:hAnsi="Theinhardt Light Italic"/>
          <w:i/>
          <w:spacing w:val="-4"/>
          <w:sz w:val="14"/>
        </w:rPr>
        <w:t>12.07.2016)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mit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bloss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-1"/>
          <w:sz w:val="14"/>
        </w:rPr>
        <w:t>94%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Solareinstrahlung,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die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hier</w:t>
      </w:r>
      <w:r>
        <w:rPr>
          <w:rFonts w:ascii="Theinhardt Light Italic" w:hAnsi="Theinhardt Light Italic"/>
          <w:i/>
          <w:spacing w:val="24"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berücksichtigt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wird</w:t>
      </w:r>
      <w:r>
        <w:rPr>
          <w:rFonts w:ascii="Theinhardt Light Italic" w:hAnsi="Theinhardt Light Italic"/>
          <w:sz w:val="14"/>
        </w:rPr>
      </w:r>
    </w:p>
    <w:p>
      <w:pPr>
        <w:spacing w:line="160" w:lineRule="exact" w:before="0"/>
        <w:ind w:left="116" w:right="128" w:firstLine="0"/>
        <w:jc w:val="left"/>
        <w:rPr>
          <w:rFonts w:ascii="Theinhardt Light Italic" w:hAnsi="Theinhardt Light Italic" w:cs="Theinhardt Light Italic" w:eastAsia="Theinhardt Light Italic"/>
          <w:sz w:val="14"/>
          <w:szCs w:val="14"/>
        </w:rPr>
      </w:pPr>
      <w:r>
        <w:rPr>
          <w:rFonts w:ascii="Theinhardt Light Italic" w:hAnsi="Theinhardt Light Italic" w:cs="Theinhardt Light Italic" w:eastAsia="Theinhardt Light Italic"/>
          <w:i/>
          <w:spacing w:val="3"/>
          <w:sz w:val="14"/>
          <w:szCs w:val="14"/>
        </w:rPr>
        <w:t>**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2"/>
          <w:sz w:val="14"/>
          <w:szCs w:val="14"/>
        </w:rPr>
        <w:t>Eigenverbrauchsgemeinschaft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2"/>
          <w:sz w:val="14"/>
          <w:szCs w:val="14"/>
        </w:rPr>
        <w:t>mit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dem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angrenzen-</w:t>
      </w:r>
      <w:r>
        <w:rPr>
          <w:rFonts w:ascii="Theinhardt Light Italic" w:hAnsi="Theinhardt Light Italic" w:cs="Theinhardt Light Italic" w:eastAsia="Theinhardt Light Italic"/>
          <w:i/>
          <w:spacing w:val="36"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den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Gebäude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2"/>
          <w:sz w:val="14"/>
          <w:szCs w:val="14"/>
        </w:rPr>
        <w:t>wurde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bei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2"/>
          <w:sz w:val="14"/>
          <w:szCs w:val="14"/>
        </w:rPr>
        <w:t>Eigenverbrauch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berücksichtigt.</w:t>
      </w:r>
      <w:r>
        <w:rPr>
          <w:rFonts w:ascii="Theinhardt Light Italic" w:hAnsi="Theinhardt Light Italic" w:cs="Theinhardt Light Italic" w:eastAsia="Theinhardt Light Italic"/>
          <w:i/>
          <w:spacing w:val="48"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-2"/>
          <w:sz w:val="14"/>
          <w:szCs w:val="14"/>
        </w:rPr>
        <w:t>31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’</w:t>
      </w:r>
      <w:r>
        <w:rPr>
          <w:rFonts w:ascii="Theinhardt Light Italic" w:hAnsi="Theinhardt Light Italic" w:cs="Theinhardt Light Italic" w:eastAsia="Theinhardt Light Italic"/>
          <w:i/>
          <w:spacing w:val="-2"/>
          <w:sz w:val="14"/>
          <w:szCs w:val="14"/>
        </w:rPr>
        <w:t>000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2"/>
          <w:sz w:val="14"/>
          <w:szCs w:val="14"/>
        </w:rPr>
        <w:t>kWh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2"/>
          <w:sz w:val="14"/>
          <w:szCs w:val="14"/>
        </w:rPr>
        <w:t>Solarstrom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2"/>
          <w:sz w:val="14"/>
          <w:szCs w:val="14"/>
        </w:rPr>
        <w:t>wird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2"/>
          <w:sz w:val="14"/>
          <w:szCs w:val="14"/>
        </w:rPr>
        <w:t>exportiert,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2"/>
          <w:sz w:val="14"/>
          <w:szCs w:val="14"/>
        </w:rPr>
        <w:t>während</w:t>
      </w:r>
      <w:r>
        <w:rPr>
          <w:rFonts w:ascii="Theinhardt Light Italic" w:hAnsi="Theinhardt Light Italic" w:cs="Theinhardt Light Italic" w:eastAsia="Theinhardt Light Italic"/>
          <w:i/>
          <w:spacing w:val="42"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-1"/>
          <w:sz w:val="14"/>
          <w:szCs w:val="14"/>
        </w:rPr>
        <w:t>63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’</w:t>
      </w:r>
      <w:r>
        <w:rPr>
          <w:rFonts w:ascii="Theinhardt Light Italic" w:hAnsi="Theinhardt Light Italic" w:cs="Theinhardt Light Italic" w:eastAsia="Theinhardt Light Italic"/>
          <w:i/>
          <w:spacing w:val="-1"/>
          <w:sz w:val="14"/>
          <w:szCs w:val="14"/>
        </w:rPr>
        <w:t>562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2"/>
          <w:sz w:val="14"/>
          <w:szCs w:val="14"/>
        </w:rPr>
        <w:t>kWh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2"/>
          <w:sz w:val="14"/>
          <w:szCs w:val="14"/>
        </w:rPr>
        <w:t>Wärmebedarf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(Heizöl)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3"/>
          <w:sz w:val="14"/>
          <w:szCs w:val="14"/>
        </w:rPr>
        <w:t>importiert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wird.</w:t>
      </w:r>
      <w:r>
        <w:rPr>
          <w:rFonts w:ascii="Theinhardt Light Italic" w:hAnsi="Theinhardt Light Italic" w:cs="Theinhardt Light Italic" w:eastAsia="Theinhardt Light Italic"/>
          <w:sz w:val="14"/>
          <w:szCs w:val="14"/>
        </w:rPr>
      </w:r>
    </w:p>
    <w:p>
      <w:pPr>
        <w:spacing w:line="240" w:lineRule="auto" w:before="7"/>
        <w:rPr>
          <w:rFonts w:ascii="Theinhardt Light Italic" w:hAnsi="Theinhardt Light Italic" w:cs="Theinhardt Light Italic" w:eastAsia="Theinhardt Light Italic"/>
          <w:i/>
          <w:sz w:val="11"/>
          <w:szCs w:val="11"/>
        </w:rPr>
      </w:pPr>
    </w:p>
    <w:p>
      <w:pPr>
        <w:spacing w:before="0"/>
        <w:ind w:left="116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2"/>
          <w:sz w:val="14"/>
        </w:rPr>
        <w:t>Beteiligte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Personen</w:t>
      </w:r>
      <w:r>
        <w:rPr>
          <w:rFonts w:ascii="Theinhardt Black"/>
          <w:sz w:val="14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6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77"/>
        <w:ind w:left="11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Standort:</w:t>
      </w:r>
      <w:r>
        <w:rPr>
          <w:rFonts w:ascii="Theinhardt Bold"/>
          <w:sz w:val="14"/>
        </w:rPr>
      </w:r>
    </w:p>
    <w:p>
      <w:pPr>
        <w:spacing w:line="172" w:lineRule="exact" w:before="0"/>
        <w:ind w:left="11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2"/>
          <w:sz w:val="14"/>
        </w:rPr>
        <w:t>Chrüzmatte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4"/>
          <w:sz w:val="14"/>
        </w:rPr>
        <w:t>1,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6287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Aesch/LU</w:t>
      </w:r>
    </w:p>
    <w:p>
      <w:pPr>
        <w:spacing w:line="172" w:lineRule="exact" w:before="32"/>
        <w:ind w:left="11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3"/>
          <w:sz w:val="14"/>
        </w:rPr>
        <w:t>B</w:t>
      </w:r>
      <w:r>
        <w:rPr>
          <w:rFonts w:ascii="Theinhardt Bold"/>
          <w:b/>
          <w:spacing w:val="1"/>
          <w:sz w:val="14"/>
        </w:rPr>
        <w:t>au</w:t>
      </w:r>
      <w:r>
        <w:rPr>
          <w:rFonts w:ascii="Theinhardt Bold"/>
          <w:b/>
          <w:spacing w:val="2"/>
          <w:sz w:val="14"/>
        </w:rPr>
        <w:t>he</w:t>
      </w:r>
      <w:r>
        <w:rPr>
          <w:rFonts w:ascii="Theinhardt Bold"/>
          <w:b/>
          <w:spacing w:val="1"/>
          <w:sz w:val="14"/>
        </w:rPr>
        <w:t>r</w:t>
      </w:r>
      <w:r>
        <w:rPr>
          <w:rFonts w:ascii="Theinhardt Bold"/>
          <w:b/>
          <w:spacing w:val="2"/>
          <w:sz w:val="14"/>
        </w:rPr>
        <w:t>rs</w:t>
      </w:r>
      <w:r>
        <w:rPr>
          <w:rFonts w:ascii="Theinhardt Bold"/>
          <w:b/>
          <w:spacing w:val="3"/>
          <w:sz w:val="14"/>
        </w:rPr>
        <w:t>c</w:t>
      </w:r>
      <w:r>
        <w:rPr>
          <w:rFonts w:ascii="Theinhardt Bold"/>
          <w:b/>
          <w:spacing w:val="2"/>
          <w:sz w:val="14"/>
        </w:rPr>
        <w:t>h</w:t>
      </w:r>
      <w:r>
        <w:rPr>
          <w:rFonts w:ascii="Theinhardt Bold"/>
          <w:b/>
          <w:spacing w:val="1"/>
          <w:sz w:val="14"/>
        </w:rPr>
        <w:t>a</w:t>
      </w:r>
      <w:r>
        <w:rPr>
          <w:rFonts w:ascii="Theinhardt Bold"/>
          <w:b/>
          <w:spacing w:val="5"/>
          <w:sz w:val="14"/>
        </w:rPr>
        <w:t>f</w:t>
      </w:r>
      <w:r>
        <w:rPr>
          <w:rFonts w:ascii="Theinhardt Bold"/>
          <w:b/>
          <w:spacing w:val="3"/>
          <w:sz w:val="14"/>
        </w:rPr>
        <w:t>t</w:t>
      </w:r>
      <w:r>
        <w:rPr>
          <w:rFonts w:ascii="Theinhardt Bold"/>
          <w:b/>
          <w:sz w:val="14"/>
        </w:rPr>
        <w:t>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16" w:right="174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KMS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Management</w:t>
      </w:r>
      <w:r>
        <w:rPr>
          <w:rFonts w:ascii="Theinhardt Regular"/>
          <w:sz w:val="14"/>
        </w:rPr>
        <w:t> AG, </w:t>
      </w:r>
      <w:r>
        <w:rPr>
          <w:rFonts w:ascii="Theinhardt Regular"/>
          <w:spacing w:val="1"/>
          <w:sz w:val="14"/>
        </w:rPr>
        <w:t>Zumhofstr.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10,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6010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Kriens</w:t>
      </w:r>
      <w:r>
        <w:rPr>
          <w:rFonts w:ascii="Theinhardt Regular"/>
          <w:spacing w:val="40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041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329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80</w:t>
      </w:r>
      <w:r>
        <w:rPr>
          <w:rFonts w:ascii="Theinhardt Regular"/>
          <w:sz w:val="14"/>
        </w:rPr>
        <w:t> 60</w:t>
      </w:r>
      <w:hyperlink r:id="rId6">
        <w:r>
          <w:rPr>
            <w:rFonts w:ascii="Theinhardt Regular"/>
            <w:sz w:val="14"/>
          </w:rPr>
          <w:t>, </w:t>
        </w:r>
        <w:r>
          <w:rPr>
            <w:rFonts w:ascii="Theinhardt Regular"/>
            <w:spacing w:val="1"/>
            <w:sz w:val="14"/>
          </w:rPr>
          <w:t>mail@kms-ag.ch</w:t>
        </w:r>
      </w:hyperlink>
    </w:p>
    <w:p>
      <w:pPr>
        <w:spacing w:line="172" w:lineRule="exact" w:before="38"/>
        <w:ind w:left="11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Architektur: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Mark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Röösli,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3"/>
          <w:sz w:val="14"/>
        </w:rPr>
        <w:t>Neustadtstrasse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4"/>
          <w:sz w:val="14"/>
        </w:rPr>
        <w:t>27,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6003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Luzern</w:t>
      </w:r>
    </w:p>
    <w:p>
      <w:pPr>
        <w:spacing w:line="172" w:lineRule="exact" w:before="0"/>
        <w:ind w:left="11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079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342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5"/>
          <w:sz w:val="14"/>
        </w:rPr>
        <w:t>17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7"/>
          <w:sz w:val="14"/>
        </w:rPr>
        <w:t>17</w:t>
      </w:r>
      <w:hyperlink r:id="rId7">
        <w:r>
          <w:rPr>
            <w:rFonts w:ascii="Theinhardt Regular"/>
            <w:spacing w:val="-7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2"/>
            <w:sz w:val="14"/>
          </w:rPr>
          <w:t>markroses@sunrise.ch</w:t>
        </w:r>
      </w:hyperlink>
    </w:p>
    <w:p>
      <w:pPr>
        <w:spacing w:line="172" w:lineRule="exact" w:before="32"/>
        <w:ind w:left="11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Weitere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Beteiligte: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16" w:right="72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Ernst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Schweizer</w:t>
      </w:r>
      <w:r>
        <w:rPr>
          <w:rFonts w:ascii="Theinhardt Bold"/>
          <w:b/>
          <w:sz w:val="14"/>
        </w:rPr>
        <w:t> AG</w:t>
      </w:r>
      <w:r>
        <w:rPr>
          <w:rFonts w:ascii="Theinhardt Regular"/>
          <w:sz w:val="14"/>
        </w:rPr>
        <w:t>, </w:t>
      </w:r>
      <w:r>
        <w:rPr>
          <w:rFonts w:ascii="Theinhardt Regular"/>
          <w:spacing w:val="2"/>
          <w:sz w:val="14"/>
        </w:rPr>
        <w:t>Bahnhofsplatz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7"/>
          <w:sz w:val="14"/>
        </w:rPr>
        <w:t>11</w:t>
      </w:r>
      <w:r>
        <w:rPr>
          <w:rFonts w:ascii="Theinhardt Regular"/>
          <w:spacing w:val="34"/>
          <w:sz w:val="14"/>
        </w:rPr>
        <w:t> </w:t>
      </w:r>
      <w:r>
        <w:rPr>
          <w:rFonts w:ascii="Theinhardt Regular"/>
          <w:spacing w:val="1"/>
          <w:sz w:val="14"/>
        </w:rPr>
        <w:t>8908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Hedingen,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044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763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61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7"/>
          <w:sz w:val="14"/>
        </w:rPr>
        <w:t>11</w:t>
      </w:r>
    </w:p>
    <w:p>
      <w:pPr>
        <w:spacing w:line="160" w:lineRule="exact" w:before="46"/>
        <w:ind w:left="116" w:right="83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Ertex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Solartechnik</w:t>
      </w:r>
      <w:r>
        <w:rPr>
          <w:rFonts w:ascii="Theinhardt Regular"/>
          <w:spacing w:val="1"/>
          <w:sz w:val="14"/>
        </w:rPr>
        <w:t>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A-3300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Amstetten</w:t>
      </w:r>
      <w:r>
        <w:rPr>
          <w:rFonts w:ascii="Theinhardt Regular"/>
          <w:spacing w:val="42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0043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7472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28260</w:t>
      </w:r>
      <w:hyperlink r:id="rId8">
        <w:r>
          <w:rPr>
            <w:rFonts w:ascii="Theinhardt Regular"/>
            <w:spacing w:val="-1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info@ertex-solar.at</w:t>
        </w:r>
      </w:hyperlink>
    </w:p>
    <w:p>
      <w:pPr>
        <w:spacing w:line="172" w:lineRule="exact" w:before="49"/>
        <w:ind w:left="11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Werkstatt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GmbH</w:t>
      </w:r>
      <w:r>
        <w:rPr>
          <w:rFonts w:ascii="Theinhardt Regular"/>
          <w:spacing w:val="1"/>
          <w:sz w:val="14"/>
        </w:rPr>
        <w:t>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Affolternstr.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5"/>
          <w:sz w:val="14"/>
        </w:rPr>
        <w:t>7,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8909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Hedingen</w:t>
      </w:r>
    </w:p>
    <w:p>
      <w:pPr>
        <w:spacing w:line="172" w:lineRule="exact" w:before="0"/>
        <w:ind w:left="11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043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255</w:t>
      </w:r>
      <w:r>
        <w:rPr>
          <w:rFonts w:ascii="Theinhardt Regular"/>
          <w:sz w:val="14"/>
        </w:rPr>
        <w:t> 99 </w:t>
      </w:r>
      <w:r>
        <w:rPr>
          <w:rFonts w:ascii="Theinhardt Regular"/>
          <w:spacing w:val="1"/>
          <w:sz w:val="14"/>
        </w:rPr>
        <w:t>00</w:t>
      </w:r>
      <w:hyperlink r:id="rId9">
        <w:r>
          <w:rPr>
            <w:rFonts w:ascii="Theinhardt Regular"/>
            <w:spacing w:val="1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2"/>
            <w:sz w:val="14"/>
          </w:rPr>
          <w:t>www.werk-statt.ch</w:t>
        </w:r>
      </w:hyperlink>
    </w:p>
    <w:p>
      <w:pPr>
        <w:spacing w:line="172" w:lineRule="exact" w:before="32"/>
        <w:ind w:left="11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Raymond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Noirjean</w:t>
      </w:r>
      <w:r>
        <w:rPr>
          <w:rFonts w:ascii="Theinhardt Regular"/>
          <w:spacing w:val="1"/>
          <w:sz w:val="14"/>
        </w:rPr>
        <w:t>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Cheerstrasse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5"/>
          <w:sz w:val="14"/>
        </w:rPr>
        <w:t>7,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6014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Luzern</w:t>
      </w:r>
    </w:p>
    <w:p>
      <w:pPr>
        <w:spacing w:line="172" w:lineRule="exact" w:before="0"/>
        <w:ind w:left="11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041</w:t>
      </w:r>
      <w:r>
        <w:rPr>
          <w:rFonts w:ascii="Theinhardt Regular"/>
          <w:sz w:val="14"/>
        </w:rPr>
        <w:t> 250 </w:t>
      </w:r>
      <w:r>
        <w:rPr>
          <w:rFonts w:ascii="Theinhardt Regular"/>
          <w:spacing w:val="1"/>
          <w:sz w:val="14"/>
        </w:rPr>
        <w:t>90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7</w:t>
      </w:r>
      <w:hyperlink r:id="rId10">
        <w:r>
          <w:rPr>
            <w:rFonts w:ascii="Theinhardt Regular"/>
            <w:spacing w:val="-1"/>
            <w:sz w:val="14"/>
          </w:rPr>
          <w:t>3,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bnb_loechli@bluewin.ch</w:t>
        </w:r>
      </w:hyperlink>
    </w:p>
    <w:p>
      <w:pPr>
        <w:spacing w:line="172" w:lineRule="exact" w:before="32"/>
        <w:ind w:left="11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Windgate</w:t>
      </w:r>
      <w:r>
        <w:rPr>
          <w:rFonts w:ascii="Theinhardt Bold"/>
          <w:b/>
          <w:sz w:val="14"/>
        </w:rPr>
        <w:t> AG</w:t>
      </w:r>
      <w:r>
        <w:rPr>
          <w:rFonts w:ascii="Theinhardt Regular"/>
          <w:sz w:val="14"/>
        </w:rPr>
        <w:t>, </w:t>
      </w:r>
      <w:r>
        <w:rPr>
          <w:rFonts w:ascii="Theinhardt Regular"/>
          <w:spacing w:val="2"/>
          <w:sz w:val="14"/>
        </w:rPr>
        <w:t>Flughofstrasse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39,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8152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Glattbrugg,</w:t>
      </w:r>
    </w:p>
    <w:p>
      <w:pPr>
        <w:spacing w:line="172" w:lineRule="exact" w:before="0"/>
        <w:ind w:left="11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group style="position:absolute;margin-left:399.685089pt;margin-top:10.380999pt;width:167.25pt;height:.45pt;mso-position-horizontal-relative:page;mso-position-vertical-relative:paragraph;z-index:1192" coordorigin="7994,208" coordsize="3345,9">
            <v:group style="position:absolute;left:8015;top:212;width:3311;height:2" coordorigin="8015,212" coordsize="3311,2">
              <v:shape style="position:absolute;left:8015;top:212;width:3311;height:2" coordorigin="8015,212" coordsize="3311,0" path="m8015,212l11326,212e" filled="false" stroked="true" strokeweight=".425pt" strokecolor="#000000">
                <v:path arrowok="t"/>
                <v:stroke dashstyle="dash"/>
              </v:shape>
            </v:group>
            <v:group style="position:absolute;left:7998;top:212;width:2;height:2" coordorigin="7998,212" coordsize="2,2">
              <v:shape style="position:absolute;left:7998;top:212;width:2;height:2" coordorigin="7998,212" coordsize="0,0" path="m7998,212l7998,212e" filled="false" stroked="true" strokeweight=".425pt" strokecolor="#000000">
                <v:path arrowok="t"/>
              </v:shape>
            </v:group>
            <v:group style="position:absolute;left:11334;top:212;width:2;height:2" coordorigin="11334,212" coordsize="2,2">
              <v:shape style="position:absolute;left:11334;top:212;width:2;height:2" coordorigin="11334,212" coordsize="0,0" path="m11334,212l11334,212e" filled="false" stroked="true" strokeweight=".425pt" strokecolor="#000000">
                <v:path arrowok="t"/>
              </v:shape>
            </v:group>
            <w10:wrap type="none"/>
          </v:group>
        </w:pic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044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830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90</w:t>
      </w:r>
      <w:r>
        <w:rPr>
          <w:rFonts w:ascii="Theinhardt Regular"/>
          <w:sz w:val="14"/>
        </w:rPr>
        <w:t> 30</w:t>
      </w:r>
      <w:hyperlink r:id="rId11">
        <w:r>
          <w:rPr>
            <w:rFonts w:ascii="Theinhardt Regular"/>
            <w:sz w:val="14"/>
          </w:rPr>
          <w:t>, </w:t>
        </w:r>
        <w:r>
          <w:rPr>
            <w:rFonts w:ascii="Theinhardt Regular"/>
            <w:spacing w:val="1"/>
            <w:sz w:val="14"/>
          </w:rPr>
          <w:t>info@windgate.ch</w:t>
        </w:r>
      </w:hyperlink>
    </w:p>
    <w:p>
      <w:pPr>
        <w:spacing w:after="0" w:line="172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720" w:right="460"/>
          <w:cols w:num="3" w:equalWidth="0">
            <w:col w:w="3482" w:space="110"/>
            <w:col w:w="3456" w:space="110"/>
            <w:col w:w="3572"/>
          </w:cols>
        </w:sectPr>
      </w:pPr>
    </w:p>
    <w:p>
      <w:pPr>
        <w:spacing w:line="240" w:lineRule="auto" w:before="5"/>
        <w:rPr>
          <w:rFonts w:ascii="Theinhardt Regular" w:hAnsi="Theinhardt Regular" w:cs="Theinhardt Regular" w:eastAsia="Theinhardt Regular"/>
          <w:sz w:val="12"/>
          <w:szCs w:val="12"/>
        </w:rPr>
      </w:pPr>
    </w:p>
    <w:p>
      <w:pPr>
        <w:spacing w:line="160" w:lineRule="exact" w:before="76"/>
        <w:ind w:left="345" w:right="7372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t>1   </w:t>
      </w:r>
      <w:r>
        <w:rPr>
          <w:rFonts w:ascii="Theinhardt Bold" w:hAnsi="Theinhardt Bold"/>
          <w:b/>
          <w:spacing w:val="4"/>
          <w:sz w:val="14"/>
        </w:rPr>
        <w:t> </w:t>
      </w:r>
      <w:r>
        <w:rPr>
          <w:rFonts w:ascii="Theinhardt Bold" w:hAnsi="Theinhardt Bold"/>
          <w:b/>
          <w:sz w:val="14"/>
        </w:rPr>
        <w:t>Südwestansicht des neu </w:t>
      </w:r>
      <w:r>
        <w:rPr>
          <w:rFonts w:ascii="Theinhardt Bold" w:hAnsi="Theinhardt Bold"/>
          <w:b/>
          <w:spacing w:val="-1"/>
          <w:sz w:val="14"/>
        </w:rPr>
        <w:t>erstellten</w:t>
      </w:r>
      <w:r>
        <w:rPr>
          <w:rFonts w:ascii="Theinhardt Bold" w:hAnsi="Theinhardt Bold"/>
          <w:b/>
          <w:sz w:val="14"/>
        </w:rPr>
        <w:t> MFH Chrüz-</w:t>
      </w:r>
      <w:r>
        <w:rPr>
          <w:rFonts w:ascii="Theinhardt Bold" w:hAnsi="Theinhardt Bold"/>
          <w:b/>
          <w:spacing w:val="24"/>
          <w:sz w:val="14"/>
        </w:rPr>
        <w:t> </w:t>
      </w:r>
      <w:r>
        <w:rPr>
          <w:rFonts w:ascii="Theinhardt Bold" w:hAnsi="Theinhardt Bold"/>
          <w:b/>
          <w:sz w:val="14"/>
        </w:rPr>
        <w:t>matte in Aesch/LU.</w:t>
      </w:r>
      <w:r>
        <w:rPr>
          <w:rFonts w:ascii="Theinhardt Bold" w:hAnsi="Theinhardt Bold"/>
          <w:b/>
          <w:spacing w:val="-6"/>
          <w:sz w:val="14"/>
        </w:rPr>
        <w:t> </w:t>
      </w:r>
      <w:r>
        <w:rPr>
          <w:rFonts w:ascii="Theinhardt Bold" w:hAnsi="Theinhardt Bold"/>
          <w:b/>
          <w:sz w:val="14"/>
        </w:rPr>
        <w:t>Es deckt mit dach- und</w:t>
      </w:r>
      <w:r>
        <w:rPr>
          <w:rFonts w:ascii="Theinhardt Bold" w:hAnsi="Theinhardt Bold"/>
          <w:b/>
          <w:spacing w:val="24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dezent</w:t>
      </w:r>
      <w:r>
        <w:rPr>
          <w:rFonts w:ascii="Theinhardt Bold" w:hAnsi="Theinhardt Bold"/>
          <w:b/>
          <w:sz w:val="14"/>
        </w:rPr>
        <w:t> südwestlich fassadenintegrierten</w:t>
      </w:r>
      <w:r>
        <w:rPr>
          <w:rFonts w:ascii="Theinhardt Bold" w:hAnsi="Theinhardt Bold"/>
          <w:b/>
          <w:spacing w:val="25"/>
          <w:sz w:val="14"/>
        </w:rPr>
        <w:t> </w:t>
      </w:r>
      <w:r>
        <w:rPr>
          <w:rFonts w:ascii="Theinhardt Bold" w:hAnsi="Theinhardt Bold"/>
          <w:b/>
          <w:sz w:val="14"/>
        </w:rPr>
        <w:t>Solaranlagen 50% des Gesamtenergiebedarfs.</w:t>
      </w:r>
      <w:r>
        <w:rPr>
          <w:rFonts w:ascii="Theinhardt Bold" w:hAnsi="Theinhardt Bold"/>
          <w:sz w:val="14"/>
        </w:rPr>
      </w: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70"/>
        <w:ind w:left="668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Heavy"/>
          <w:b/>
          <w:sz w:val="14"/>
        </w:rPr>
        <w:t>79</w:t>
      </w:r>
      <w:r>
        <w:rPr>
          <w:rFonts w:ascii="Theinhardt Heavy"/>
          <w:sz w:val="14"/>
        </w:rPr>
      </w:r>
    </w:p>
    <w:sectPr>
      <w:type w:val="continuous"/>
      <w:pgSz w:w="11910" w:h="16840"/>
      <w:pgMar w:top="860" w:bottom="280" w:left="72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Light Italic">
    <w:altName w:val="Theinhardt Light Italic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43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mail@kms-ag.ch" TargetMode="External"/><Relationship Id="rId7" Type="http://schemas.openxmlformats.org/officeDocument/2006/relationships/hyperlink" Target="mailto:markroses@sunrise.ch" TargetMode="External"/><Relationship Id="rId8" Type="http://schemas.openxmlformats.org/officeDocument/2006/relationships/hyperlink" Target="mailto:info@ertex-solar.at" TargetMode="External"/><Relationship Id="rId9" Type="http://schemas.openxmlformats.org/officeDocument/2006/relationships/hyperlink" Target="http://www.werk-statt.ch/" TargetMode="External"/><Relationship Id="rId10" Type="http://schemas.openxmlformats.org/officeDocument/2006/relationships/hyperlink" Target="mailto:bnb_loechli@bluewin.ch" TargetMode="External"/><Relationship Id="rId11" Type="http://schemas.openxmlformats.org/officeDocument/2006/relationships/hyperlink" Target="mailto:info@windgate.ch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2016-09-22T11:09:28Z</dcterms:created>
  <dcterms:modified xsi:type="dcterms:W3CDTF">2016-09-22T11:09:28Z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2016-09-22T00:00:00Z</vt:filetime>
  </property>
  <property fmtid="{D5CDD505-2E9C-101B-9397-08002B2CF9AE}" pid="3" name="LastSaved">
    <vt:filetime>2016-09-22T00:00:00Z</vt:filetime>
  </property>
</Properties>
</file>