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2669" w:val="left" w:leader="none"/>
        </w:tabs>
        <w:spacing w:line="230" w:lineRule="exact"/>
        <w:ind w:left="230" w:right="99"/>
        <w:jc w:val="both"/>
        <w:rPr>
          <w:rFonts w:ascii="Theinhardt Regular" w:hAnsi="Theinhardt Regular" w:cs="Theinhardt Regular" w:eastAsia="Theinhardt Regular"/>
          <w:b w:val="0"/>
          <w:bCs w:val="0"/>
        </w:rPr>
      </w:pPr>
      <w:r>
        <w:rPr/>
        <w:pict>
          <v:shape style="position:absolute;margin-left:36.850388pt;margin-top:51.298744pt;width:132.682212pt;height:75.614586pt;mso-position-horizontal-relative:page;mso-position-vertical-relative:paragraph;z-index:1096" type="#_x0000_t75" stroked="false">
            <v:imagedata r:id="rId5" o:title=""/>
          </v:shape>
        </w:pict>
      </w:r>
      <w:r>
        <w:rPr/>
        <w:pict>
          <v:group style="position:absolute;margin-left:42.7323pt;margin-top:13.847289pt;width:.1pt;height:.1pt;mso-position-horizontal-relative:page;mso-position-vertical-relative:paragraph;z-index:-4024" coordorigin="855,277" coordsize="2,2">
            <v:shape style="position:absolute;left:855;top:277;width:2;height:2" coordorigin="855,277" coordsize="0,0" path="m855,277l855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13.847289pt;width:.1pt;height:.1pt;mso-position-horizontal-relative:page;mso-position-vertical-relative:paragraph;z-index:1144" coordorigin="3298,277" coordsize="2,2">
            <v:shape style="position:absolute;left:3298;top:277;width:2;height:2" coordorigin="3298,277" coordsize="0,0" path="m3298,277l3298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42.7323pt;margin-top:25.34729pt;width:.1pt;height:.1pt;mso-position-horizontal-relative:page;mso-position-vertical-relative:paragraph;z-index:-3976" coordorigin="855,507" coordsize="2,2">
            <v:shape style="position:absolute;left:855;top:507;width:2;height:2" coordorigin="855,507" coordsize="0,0" path="m855,507l855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25.34729pt;width:.1pt;height:.1pt;mso-position-horizontal-relative:page;mso-position-vertical-relative:paragraph;z-index:1192" coordorigin="3298,507" coordsize="2,2">
            <v:shape style="position:absolute;left:3298;top:507;width:2;height:2" coordorigin="3298,507" coordsize="0,0" path="m3298,507l3298,507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</w:rPr>
      </w:r>
      <w:r>
        <w:rPr>
          <w:rFonts w:ascii="Theinhardt Black" w:hAnsi="Theinhardt Black"/>
          <w:b/>
          <w:spacing w:val="2"/>
          <w:u w:val="dotted" w:color="000000"/>
        </w:rPr>
        <w:t>Catégorie</w:t>
      </w:r>
      <w:r>
        <w:rPr>
          <w:rFonts w:ascii="Theinhardt Black" w:hAnsi="Theinhardt Black"/>
          <w:b/>
          <w:u w:val="dotted" w:color="000000"/>
        </w:rPr>
        <w:t>                         </w:t>
      </w:r>
      <w:r>
        <w:rPr>
          <w:rFonts w:ascii="Theinhardt Black" w:hAnsi="Theinhardt Black"/>
          <w:b/>
          <w:spacing w:val="18"/>
          <w:u w:val="dotted" w:color="000000"/>
        </w:rPr>
        <w:t> </w:t>
      </w:r>
      <w:r>
        <w:rPr>
          <w:rFonts w:ascii="Theinhardt Black" w:hAnsi="Theinhardt Black"/>
          <w:b/>
          <w:u w:val="dotted" w:color="000000"/>
        </w:rPr>
        <w:t>B</w:t>
      </w:r>
      <w:r>
        <w:rPr>
          <w:rFonts w:ascii="Theinhardt Black" w:hAnsi="Theinhardt Black"/>
          <w:b/>
          <w:u w:val="dotted" w:color="000000"/>
        </w:rPr>
        <w:t> </w:t>
        <w:tab/>
      </w:r>
      <w:r>
        <w:rPr>
          <w:rFonts w:ascii="Theinhardt Black" w:hAnsi="Theinhardt Black"/>
          <w:b/>
        </w:rPr>
      </w:r>
      <w:r>
        <w:rPr>
          <w:rFonts w:ascii="Theinhardt Black" w:hAnsi="Theinhardt Black"/>
          <w:b/>
          <w:spacing w:val="21"/>
        </w:rPr>
        <w:t> </w:t>
      </w:r>
      <w:r>
        <w:rPr>
          <w:rFonts w:ascii="Theinhardt Black" w:hAnsi="Theinhardt Black"/>
          <w:b/>
          <w:spacing w:val="3"/>
          <w:u w:val="dotted" w:color="000000"/>
        </w:rPr>
        <w:t>Bât.</w:t>
      </w:r>
      <w:r>
        <w:rPr>
          <w:rFonts w:ascii="Theinhardt Black" w:hAnsi="Theinhardt Black"/>
          <w:b/>
          <w:spacing w:val="-11"/>
          <w:u w:val="dotted" w:color="000000"/>
        </w:rPr>
        <w:t> </w:t>
      </w:r>
      <w:r>
        <w:rPr>
          <w:rFonts w:ascii="Theinhardt Black" w:hAnsi="Theinhardt Black"/>
          <w:b/>
          <w:u w:val="dotted" w:color="000000"/>
        </w:rPr>
        <w:t>à Énergie </w:t>
      </w:r>
      <w:r>
        <w:rPr>
          <w:rFonts w:ascii="Theinhardt Black" w:hAnsi="Theinhardt Black"/>
          <w:b/>
          <w:spacing w:val="1"/>
          <w:u w:val="dotted" w:color="000000"/>
        </w:rPr>
        <w:t>Positive</w:t>
      </w:r>
      <w:r>
        <w:rPr>
          <w:rFonts w:ascii="Theinhardt Black" w:hAnsi="Theinhardt Black"/>
          <w:b/>
          <w:u w:val="dotted" w:color="000000"/>
        </w:rPr>
        <w:t>          </w:t>
      </w:r>
      <w:r>
        <w:rPr>
          <w:rFonts w:ascii="Theinhardt Black" w:hAnsi="Theinhardt Black"/>
          <w:b/>
          <w:spacing w:val="10"/>
          <w:u w:val="dotted" w:color="000000"/>
        </w:rPr>
        <w:t> </w:t>
      </w:r>
      <w:r>
        <w:rPr>
          <w:rFonts w:ascii="Theinhardt Black" w:hAnsi="Theinhardt Black"/>
          <w:b/>
          <w:spacing w:val="10"/>
        </w:rPr>
      </w:r>
      <w:r>
        <w:rPr>
          <w:rFonts w:ascii="Theinhardt Black" w:hAnsi="Theinhardt Black"/>
          <w:b/>
          <w:spacing w:val="34"/>
        </w:rPr>
        <w:t> </w:t>
      </w:r>
      <w:r>
        <w:rPr>
          <w:rFonts w:ascii="Theinhardt Regular" w:hAnsi="Theinhardt Regular"/>
          <w:b w:val="0"/>
          <w:spacing w:val="-1"/>
        </w:rPr>
        <w:t>Diplôme</w:t>
      </w:r>
      <w:r>
        <w:rPr>
          <w:rFonts w:ascii="Theinhardt Regular" w:hAnsi="Theinhardt Regular"/>
          <w:b w:val="0"/>
          <w:spacing w:val="1"/>
        </w:rPr>
        <w:t> </w:t>
      </w:r>
      <w:r>
        <w:rPr>
          <w:rFonts w:ascii="Theinhardt Regular" w:hAnsi="Theinhardt Regular"/>
          <w:b w:val="0"/>
          <w:spacing w:val="-1"/>
        </w:rPr>
        <w:t>BEP</w:t>
      </w:r>
      <w:r>
        <w:rPr>
          <w:rFonts w:ascii="Theinhardt Regular" w:hAnsi="Theinhardt Regular"/>
          <w:b w:val="0"/>
          <w:spacing w:val="-1"/>
          <w:position w:val="6"/>
          <w:sz w:val="10"/>
        </w:rPr>
        <w:t>®</w:t>
      </w:r>
      <w:r>
        <w:rPr>
          <w:rFonts w:ascii="Theinhardt Regular" w:hAnsi="Theinhardt Regular"/>
          <w:b w:val="0"/>
          <w:spacing w:val="3"/>
          <w:position w:val="6"/>
          <w:sz w:val="10"/>
        </w:rPr>
        <w:t> </w:t>
      </w:r>
      <w:r>
        <w:rPr>
          <w:rFonts w:ascii="Theinhardt Regular" w:hAnsi="Theinhardt Regular"/>
          <w:b w:val="0"/>
        </w:rPr>
        <w:t>2016</w:t>
      </w:r>
    </w:p>
    <w:p>
      <w:pPr>
        <w:spacing w:line="230" w:lineRule="exact" w:before="32"/>
        <w:ind w:left="98" w:right="11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nouveau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siège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social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Soleol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est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vraie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centrale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énergies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renouvelables.</w:t>
      </w:r>
      <w:r>
        <w:rPr>
          <w:rFonts w:ascii="Theinhardt Bold" w:hAnsi="Theinhardt Bold" w:cs="Theinhardt Bold" w:eastAsia="Theinhardt Bold"/>
          <w:b/>
          <w:bCs/>
          <w:spacing w:val="-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L’entreprise</w:t>
      </w:r>
      <w:r>
        <w:rPr>
          <w:rFonts w:ascii="Theinhardt Bold" w:hAnsi="Theinhardt Bold" w:cs="Theinhardt Bold" w:eastAsia="Theinhardt Bold"/>
          <w:b/>
          <w:bCs/>
          <w:spacing w:val="4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construit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première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«fabrique»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BEP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Suisse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romande.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Bien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intégré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façade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bureaux,</w:t>
      </w:r>
      <w:r>
        <w:rPr>
          <w:rFonts w:ascii="Theinhardt Bold" w:hAnsi="Theinhardt Bold" w:cs="Theinhardt Bold" w:eastAsia="Theinhardt Bold"/>
          <w:b/>
          <w:bCs/>
          <w:spacing w:val="5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système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PV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33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produit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13’200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Sur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toiture,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l’installation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PV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184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génère</w:t>
      </w:r>
      <w:r>
        <w:rPr>
          <w:rFonts w:ascii="Theinhardt Bold" w:hAnsi="Theinhardt Bold" w:cs="Theinhardt Bold" w:eastAsia="Theinhardt Bold"/>
          <w:b/>
          <w:bCs/>
          <w:spacing w:val="5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206’700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kWh/a,</w:t>
      </w:r>
      <w:r>
        <w:rPr>
          <w:rFonts w:ascii="Theinhardt Bold" w:hAnsi="Theinhardt Bold" w:cs="Theinhardt Bold" w:eastAsia="Theinhardt Bold"/>
          <w:b/>
          <w:bCs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combinaison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avec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rampes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PV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transparentes.</w:t>
      </w:r>
      <w:r>
        <w:rPr>
          <w:rFonts w:ascii="Theinhardt Bold" w:hAnsi="Theinhardt Bold" w:cs="Theinhardt Bold" w:eastAsia="Theinhardt Bold"/>
          <w:b/>
          <w:bCs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S’y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ajoute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parking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couvert</w:t>
      </w:r>
      <w:r>
        <w:rPr>
          <w:rFonts w:ascii="Theinhardt Bold" w:hAnsi="Theinhardt Bold" w:cs="Theinhardt Bold" w:eastAsia="Theinhardt Bold"/>
          <w:b/>
          <w:bCs/>
          <w:spacing w:val="5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solaire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pour recharger les véhicules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Tesla.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 un ascenseur fonctionnant à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l’énergie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du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soleil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ré-</w:t>
      </w:r>
      <w:r>
        <w:rPr>
          <w:rFonts w:ascii="Theinhardt Bold" w:hAnsi="Theinhardt Bold" w:cs="Theinhardt Bold" w:eastAsia="Theinhardt Bold"/>
          <w:b/>
          <w:bCs/>
          <w:spacing w:val="4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cupère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courant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descente.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Tous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systèmes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fournissent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ensemble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234’700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4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Bâtiment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Énergie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Positive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(BEP)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Soleol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consomme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163’700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assure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auto-</w:t>
      </w:r>
      <w:r>
        <w:rPr>
          <w:rFonts w:ascii="Theinhardt Bold" w:hAnsi="Theinhardt Bold" w:cs="Theinhardt Bold" w:eastAsia="Theinhardt Bold"/>
          <w:b/>
          <w:bCs/>
          <w:spacing w:val="6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production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143%.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620" w:right="440"/>
          <w:cols w:num="2" w:equalWidth="0">
            <w:col w:w="2771" w:space="40"/>
            <w:col w:w="8039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9"/>
        <w:rPr>
          <w:rFonts w:ascii="Theinhardt Bold" w:hAnsi="Theinhardt Bold" w:cs="Theinhardt Bold" w:eastAsia="Theinhardt Bold"/>
          <w:b/>
          <w:bCs/>
          <w:sz w:val="21"/>
          <w:szCs w:val="21"/>
        </w:rPr>
      </w:pPr>
    </w:p>
    <w:p>
      <w:pPr>
        <w:spacing w:before="5"/>
        <w:ind w:left="23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2"/>
          <w:sz w:val="40"/>
        </w:rPr>
        <w:t>BEP</w:t>
      </w:r>
      <w:r>
        <w:rPr>
          <w:rFonts w:ascii="Theinhardt Black"/>
          <w:b/>
          <w:color w:val="0067B1"/>
          <w:sz w:val="40"/>
        </w:rPr>
        <w:t> 143% </w:t>
      </w:r>
      <w:r>
        <w:rPr>
          <w:rFonts w:ascii="Theinhardt Black"/>
          <w:b/>
          <w:color w:val="0067B1"/>
          <w:spacing w:val="3"/>
          <w:sz w:val="40"/>
        </w:rPr>
        <w:t>Soleol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8"/>
          <w:sz w:val="40"/>
        </w:rPr>
        <w:t>SA,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z w:val="40"/>
        </w:rPr>
        <w:t>1470 </w:t>
      </w:r>
      <w:r>
        <w:rPr>
          <w:rFonts w:ascii="Theinhardt Black"/>
          <w:b/>
          <w:color w:val="0067B1"/>
          <w:spacing w:val="5"/>
          <w:sz w:val="40"/>
        </w:rPr>
        <w:t>Estavayer-le-Lac/FR</w:t>
      </w:r>
      <w:r>
        <w:rPr>
          <w:rFonts w:ascii="Theinhardt Black"/>
          <w:sz w:val="40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1"/>
          <w:szCs w:val="21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1"/>
          <w:szCs w:val="21"/>
        </w:rPr>
        <w:sectPr>
          <w:type w:val="continuous"/>
          <w:pgSz w:w="11910" w:h="16840"/>
          <w:pgMar w:top="860" w:bottom="280" w:left="620" w:right="440"/>
        </w:sectPr>
      </w:pPr>
    </w:p>
    <w:p>
      <w:pPr>
        <w:pStyle w:val="BodyText"/>
        <w:spacing w:line="230" w:lineRule="exact" w:before="80"/>
        <w:ind w:left="230" w:right="0" w:firstLine="0"/>
        <w:jc w:val="both"/>
      </w:pPr>
      <w:r>
        <w:rPr>
          <w:spacing w:val="-1"/>
        </w:rPr>
        <w:t>Fondée</w:t>
      </w:r>
      <w:r>
        <w:rPr>
          <w:spacing w:val="18"/>
        </w:rPr>
        <w:t> </w:t>
      </w:r>
      <w:r>
        <w:rPr/>
        <w:t>en</w:t>
      </w:r>
      <w:r>
        <w:rPr>
          <w:spacing w:val="18"/>
        </w:rPr>
        <w:t> </w:t>
      </w:r>
      <w:r>
        <w:rPr/>
        <w:t>2008,</w:t>
      </w:r>
      <w:r>
        <w:rPr>
          <w:spacing w:val="7"/>
        </w:rPr>
        <w:t> </w:t>
      </w:r>
      <w:r>
        <w:rPr/>
        <w:t>Soleol</w:t>
      </w:r>
      <w:r>
        <w:rPr>
          <w:spacing w:val="18"/>
        </w:rPr>
        <w:t> </w:t>
      </w:r>
      <w:r>
        <w:rPr>
          <w:spacing w:val="-1"/>
        </w:rPr>
        <w:t>SA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construit</w:t>
      </w:r>
      <w:r>
        <w:rPr>
          <w:spacing w:val="18"/>
        </w:rPr>
        <w:t> </w:t>
      </w:r>
      <w:r>
        <w:rPr/>
        <w:t>un</w:t>
      </w:r>
      <w:r>
        <w:rPr>
          <w:spacing w:val="23"/>
        </w:rPr>
        <w:t> </w:t>
      </w:r>
      <w:r>
        <w:rPr/>
        <w:t>nouveau</w:t>
      </w:r>
      <w:r>
        <w:rPr>
          <w:spacing w:val="-11"/>
        </w:rPr>
        <w:t> </w:t>
      </w:r>
      <w:r>
        <w:rPr/>
        <w:t>siège</w:t>
      </w:r>
      <w:r>
        <w:rPr>
          <w:spacing w:val="-11"/>
        </w:rPr>
        <w:t> </w:t>
      </w:r>
      <w:r>
        <w:rPr>
          <w:spacing w:val="-1"/>
        </w:rPr>
        <w:t>social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parfaite</w:t>
      </w:r>
      <w:r>
        <w:rPr>
          <w:spacing w:val="-11"/>
        </w:rPr>
        <w:t> </w:t>
      </w:r>
      <w:r>
        <w:rPr/>
        <w:t>adéquation</w:t>
      </w:r>
      <w:r>
        <w:rPr>
          <w:spacing w:val="20"/>
        </w:rPr>
        <w:t> </w:t>
      </w:r>
      <w:r>
        <w:rPr>
          <w:spacing w:val="-2"/>
        </w:rPr>
        <w:t>avec</w:t>
      </w:r>
      <w:r>
        <w:rPr>
          <w:spacing w:val="26"/>
        </w:rPr>
        <w:t> </w:t>
      </w:r>
      <w:r>
        <w:rPr>
          <w:spacing w:val="-1"/>
        </w:rPr>
        <w:t>son</w:t>
      </w:r>
      <w:r>
        <w:rPr>
          <w:spacing w:val="27"/>
        </w:rPr>
        <w:t> </w:t>
      </w:r>
      <w:r>
        <w:rPr/>
        <w:t>nom:</w:t>
      </w:r>
      <w:r>
        <w:rPr>
          <w:spacing w:val="26"/>
        </w:rPr>
        <w:t> </w:t>
      </w:r>
      <w:r>
        <w:rPr>
          <w:spacing w:val="-2"/>
        </w:rPr>
        <w:t>presque</w:t>
      </w:r>
      <w:r>
        <w:rPr>
          <w:spacing w:val="27"/>
        </w:rPr>
        <w:t> </w:t>
      </w:r>
      <w:r>
        <w:rPr/>
        <w:t>tous</w:t>
      </w:r>
      <w:r>
        <w:rPr>
          <w:spacing w:val="27"/>
        </w:rPr>
        <w:t> </w:t>
      </w:r>
      <w:r>
        <w:rPr/>
        <w:t>les</w:t>
      </w:r>
      <w:r>
        <w:rPr>
          <w:spacing w:val="26"/>
        </w:rPr>
        <w:t> </w:t>
      </w:r>
      <w:r>
        <w:rPr>
          <w:spacing w:val="1"/>
        </w:rPr>
        <w:t>types</w:t>
      </w:r>
      <w:r>
        <w:rPr>
          <w:spacing w:val="25"/>
        </w:rPr>
        <w:t> </w:t>
      </w:r>
      <w:r>
        <w:rPr>
          <w:spacing w:val="-2"/>
        </w:rPr>
        <w:t>d’énergies</w:t>
      </w:r>
      <w:r>
        <w:rPr>
          <w:spacing w:val="5"/>
        </w:rPr>
        <w:t> </w:t>
      </w:r>
      <w:r>
        <w:rPr>
          <w:spacing w:val="-1"/>
        </w:rPr>
        <w:t>renouvelables</w:t>
      </w:r>
      <w:r>
        <w:rPr>
          <w:spacing w:val="5"/>
        </w:rPr>
        <w:t> </w:t>
      </w:r>
      <w:r>
        <w:rPr/>
        <w:t>y</w:t>
      </w:r>
      <w:r>
        <w:rPr>
          <w:spacing w:val="5"/>
        </w:rPr>
        <w:t> </w:t>
      </w:r>
      <w:r>
        <w:rPr>
          <w:spacing w:val="-1"/>
        </w:rPr>
        <w:t>sont</w:t>
      </w:r>
      <w:r>
        <w:rPr>
          <w:spacing w:val="5"/>
        </w:rPr>
        <w:t> </w:t>
      </w:r>
      <w:r>
        <w:rPr>
          <w:spacing w:val="-1"/>
        </w:rPr>
        <w:t>intégrés,</w:t>
      </w:r>
      <w:r>
        <w:rPr>
          <w:spacing w:val="-6"/>
        </w:rPr>
        <w:t> </w:t>
      </w:r>
      <w:r>
        <w:rPr/>
        <w:t>et</w:t>
      </w:r>
      <w:r>
        <w:rPr>
          <w:spacing w:val="35"/>
        </w:rPr>
        <w:t> </w:t>
      </w:r>
      <w:r>
        <w:rPr>
          <w:spacing w:val="-1"/>
        </w:rPr>
        <w:t>l’accent</w:t>
      </w:r>
      <w:r>
        <w:rPr/>
        <w:t> est mis sur </w:t>
      </w:r>
      <w:r>
        <w:rPr>
          <w:spacing w:val="-2"/>
        </w:rPr>
        <w:t>l’énergie</w:t>
      </w:r>
      <w:r>
        <w:rPr/>
        <w:t> </w:t>
      </w:r>
      <w:r>
        <w:rPr>
          <w:spacing w:val="-1"/>
        </w:rPr>
        <w:t>solaire.</w:t>
      </w:r>
    </w:p>
    <w:p>
      <w:pPr>
        <w:pStyle w:val="BodyText"/>
        <w:spacing w:line="230" w:lineRule="exact"/>
        <w:ind w:left="230" w:right="0"/>
        <w:jc w:val="both"/>
      </w:pPr>
      <w:r>
        <w:rPr/>
        <w:t>Sur</w:t>
      </w:r>
      <w:r>
        <w:rPr>
          <w:spacing w:val="24"/>
        </w:rPr>
        <w:t> </w:t>
      </w:r>
      <w:r>
        <w:rPr/>
        <w:t>le</w:t>
      </w:r>
      <w:r>
        <w:rPr>
          <w:spacing w:val="25"/>
        </w:rPr>
        <w:t> </w:t>
      </w:r>
      <w:r>
        <w:rPr/>
        <w:t>toit,</w:t>
      </w:r>
      <w:r>
        <w:rPr>
          <w:spacing w:val="13"/>
        </w:rPr>
        <w:t> </w:t>
      </w:r>
      <w:r>
        <w:rPr/>
        <w:t>les</w:t>
      </w:r>
      <w:r>
        <w:rPr>
          <w:spacing w:val="24"/>
        </w:rPr>
        <w:t> </w:t>
      </w:r>
      <w:r>
        <w:rPr>
          <w:spacing w:val="-1"/>
        </w:rPr>
        <w:t>pionniers</w:t>
      </w:r>
      <w:r>
        <w:rPr>
          <w:spacing w:val="25"/>
        </w:rPr>
        <w:t> </w:t>
      </w:r>
      <w:r>
        <w:rPr>
          <w:spacing w:val="-1"/>
        </w:rPr>
        <w:t>BEP</w:t>
      </w:r>
      <w:r>
        <w:rPr>
          <w:spacing w:val="25"/>
        </w:rPr>
        <w:t> </w:t>
      </w:r>
      <w:r>
        <w:rPr/>
        <w:t>ont</w:t>
      </w:r>
      <w:r>
        <w:rPr>
          <w:spacing w:val="24"/>
        </w:rPr>
        <w:t> </w:t>
      </w:r>
      <w:r>
        <w:rPr>
          <w:spacing w:val="-1"/>
        </w:rPr>
        <w:t>placé</w:t>
      </w:r>
      <w:r>
        <w:rPr>
          <w:spacing w:val="32"/>
        </w:rPr>
        <w:t> </w:t>
      </w:r>
      <w:r>
        <w:rPr/>
        <w:t>une</w:t>
      </w:r>
      <w:r>
        <w:rPr>
          <w:spacing w:val="19"/>
        </w:rPr>
        <w:t> </w:t>
      </w:r>
      <w:r>
        <w:rPr/>
        <w:t>installation</w:t>
      </w:r>
      <w:r>
        <w:rPr>
          <w:spacing w:val="19"/>
        </w:rPr>
        <w:t> </w:t>
      </w:r>
      <w:r>
        <w:rPr/>
        <w:t>PV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184</w:t>
      </w:r>
      <w:r>
        <w:rPr>
          <w:spacing w:val="19"/>
        </w:rPr>
        <w:t> </w:t>
      </w:r>
      <w:r>
        <w:rPr>
          <w:spacing w:val="-3"/>
        </w:rPr>
        <w:t>kWc</w:t>
      </w:r>
      <w:r>
        <w:rPr>
          <w:spacing w:val="19"/>
        </w:rPr>
        <w:t> </w:t>
      </w:r>
      <w:r>
        <w:rPr>
          <w:spacing w:val="-1"/>
        </w:rPr>
        <w:t>basée</w:t>
      </w:r>
      <w:r>
        <w:rPr>
          <w:spacing w:val="19"/>
        </w:rPr>
        <w:t> </w:t>
      </w:r>
      <w:r>
        <w:rPr/>
        <w:t>sur</w:t>
      </w:r>
      <w:r>
        <w:rPr>
          <w:spacing w:val="26"/>
        </w:rPr>
        <w:t> </w:t>
      </w:r>
      <w:r>
        <w:rPr/>
        <w:t>des</w:t>
      </w:r>
      <w:r>
        <w:rPr>
          <w:spacing w:val="13"/>
        </w:rPr>
        <w:t> </w:t>
      </w:r>
      <w:r>
        <w:rPr/>
        <w:t>cellules</w:t>
      </w:r>
      <w:r>
        <w:rPr>
          <w:spacing w:val="13"/>
        </w:rPr>
        <w:t> </w:t>
      </w:r>
      <w:r>
        <w:rPr>
          <w:spacing w:val="-1"/>
        </w:rPr>
        <w:t>solaires</w:t>
      </w:r>
      <w:r>
        <w:rPr>
          <w:spacing w:val="13"/>
        </w:rPr>
        <w:t> </w:t>
      </w:r>
      <w:r>
        <w:rPr/>
        <w:t>polycristallines.</w:t>
      </w:r>
      <w:r>
        <w:rPr>
          <w:spacing w:val="2"/>
        </w:rPr>
        <w:t> </w:t>
      </w:r>
      <w:r>
        <w:rPr/>
        <w:t>Elle</w:t>
      </w:r>
      <w:r>
        <w:rPr>
          <w:spacing w:val="24"/>
        </w:rPr>
        <w:t> </w:t>
      </w:r>
      <w:r>
        <w:rPr>
          <w:spacing w:val="-1"/>
        </w:rPr>
        <w:t>pourrait</w:t>
      </w:r>
      <w:r>
        <w:rPr>
          <w:spacing w:val="21"/>
        </w:rPr>
        <w:t> </w:t>
      </w:r>
      <w:r>
        <w:rPr/>
        <w:t>déjà</w:t>
      </w:r>
      <w:r>
        <w:rPr>
          <w:spacing w:val="21"/>
        </w:rPr>
        <w:t> </w:t>
      </w:r>
      <w:r>
        <w:rPr>
          <w:spacing w:val="-1"/>
        </w:rPr>
        <w:t>couvrir</w:t>
      </w:r>
      <w:r>
        <w:rPr>
          <w:spacing w:val="21"/>
        </w:rPr>
        <w:t> </w:t>
      </w:r>
      <w:r>
        <w:rPr/>
        <w:t>126%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la</w:t>
      </w:r>
      <w:r>
        <w:rPr>
          <w:spacing w:val="21"/>
        </w:rPr>
        <w:t> </w:t>
      </w:r>
      <w:r>
        <w:rPr>
          <w:spacing w:val="-1"/>
        </w:rPr>
        <w:t>consom-</w:t>
      </w:r>
      <w:r>
        <w:rPr>
          <w:spacing w:val="33"/>
        </w:rPr>
        <w:t> </w:t>
      </w:r>
      <w:r>
        <w:rPr/>
        <w:t>mation de totale 163’700 </w:t>
      </w:r>
      <w:r>
        <w:rPr>
          <w:spacing w:val="-2"/>
        </w:rPr>
        <w:t>kWh/a.</w:t>
      </w:r>
    </w:p>
    <w:p>
      <w:pPr>
        <w:pStyle w:val="BodyText"/>
        <w:spacing w:line="230" w:lineRule="exact"/>
        <w:ind w:left="230" w:right="0"/>
        <w:jc w:val="both"/>
      </w:pPr>
      <w:r>
        <w:rPr/>
        <w:t>Sur</w:t>
      </w:r>
      <w:r>
        <w:rPr>
          <w:spacing w:val="22"/>
        </w:rPr>
        <w:t> </w:t>
      </w:r>
      <w:r>
        <w:rPr/>
        <w:t>le</w:t>
      </w:r>
      <w:r>
        <w:rPr>
          <w:spacing w:val="22"/>
        </w:rPr>
        <w:t> </w:t>
      </w:r>
      <w:r>
        <w:rPr/>
        <w:t>bâtiment</w:t>
      </w:r>
      <w:r>
        <w:rPr>
          <w:spacing w:val="22"/>
        </w:rPr>
        <w:t> </w:t>
      </w:r>
      <w:r>
        <w:rPr/>
        <w:t>des</w:t>
      </w:r>
      <w:r>
        <w:rPr>
          <w:spacing w:val="22"/>
        </w:rPr>
        <w:t> </w:t>
      </w:r>
      <w:r>
        <w:rPr>
          <w:spacing w:val="-1"/>
        </w:rPr>
        <w:t>bureaux,</w:t>
      </w:r>
      <w:r>
        <w:rPr>
          <w:spacing w:val="11"/>
        </w:rPr>
        <w:t> </w:t>
      </w:r>
      <w:r>
        <w:rPr>
          <w:spacing w:val="-2"/>
        </w:rPr>
        <w:t>outre</w:t>
      </w:r>
      <w:r>
        <w:rPr>
          <w:spacing w:val="22"/>
        </w:rPr>
        <w:t> </w:t>
      </w:r>
      <w:r>
        <w:rPr/>
        <w:t>une</w:t>
      </w:r>
      <w:r>
        <w:rPr>
          <w:spacing w:val="28"/>
        </w:rPr>
        <w:t> </w:t>
      </w:r>
      <w:r>
        <w:rPr>
          <w:spacing w:val="-1"/>
        </w:rPr>
        <w:t>balustrade</w:t>
      </w:r>
      <w:r>
        <w:rPr>
          <w:spacing w:val="18"/>
        </w:rPr>
        <w:t> </w:t>
      </w:r>
      <w:r>
        <w:rPr>
          <w:spacing w:val="-1"/>
        </w:rPr>
        <w:t>solaire,</w:t>
      </w:r>
      <w:r>
        <w:rPr>
          <w:spacing w:val="7"/>
        </w:rPr>
        <w:t> </w:t>
      </w:r>
      <w:r>
        <w:rPr/>
        <w:t>on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>
          <w:spacing w:val="-1"/>
        </w:rPr>
        <w:t>posé</w:t>
      </w:r>
      <w:r>
        <w:rPr>
          <w:spacing w:val="18"/>
        </w:rPr>
        <w:t> </w:t>
      </w:r>
      <w:r>
        <w:rPr/>
        <w:t>des</w:t>
      </w:r>
      <w:r>
        <w:rPr>
          <w:spacing w:val="18"/>
        </w:rPr>
        <w:t> </w:t>
      </w:r>
      <w:r>
        <w:rPr/>
        <w:t>modules</w:t>
      </w:r>
      <w:r>
        <w:rPr>
          <w:spacing w:val="30"/>
        </w:rPr>
        <w:t> </w:t>
      </w:r>
      <w:r>
        <w:rPr>
          <w:spacing w:val="-1"/>
        </w:rPr>
        <w:t>hybrides</w:t>
      </w:r>
      <w:r>
        <w:rPr>
          <w:spacing w:val="10"/>
        </w:rPr>
        <w:t> </w:t>
      </w:r>
      <w:r>
        <w:rPr/>
        <w:t>qui</w:t>
      </w:r>
      <w:r>
        <w:rPr>
          <w:spacing w:val="10"/>
        </w:rPr>
        <w:t> </w:t>
      </w:r>
      <w:r>
        <w:rPr>
          <w:spacing w:val="-1"/>
        </w:rPr>
        <w:t>produisent</w:t>
      </w:r>
      <w:r>
        <w:rPr>
          <w:spacing w:val="10"/>
        </w:rPr>
        <w:t> </w:t>
      </w:r>
      <w:r>
        <w:rPr/>
        <w:t>à</w:t>
      </w:r>
      <w:r>
        <w:rPr>
          <w:spacing w:val="10"/>
        </w:rPr>
        <w:t> </w:t>
      </w:r>
      <w:r>
        <w:rPr/>
        <w:t>la</w:t>
      </w:r>
      <w:r>
        <w:rPr>
          <w:spacing w:val="10"/>
        </w:rPr>
        <w:t> </w:t>
      </w:r>
      <w:r>
        <w:rPr>
          <w:spacing w:val="-1"/>
        </w:rPr>
        <w:t>fois</w:t>
      </w:r>
      <w:r>
        <w:rPr>
          <w:spacing w:val="10"/>
        </w:rPr>
        <w:t> </w:t>
      </w:r>
      <w:r>
        <w:rPr/>
        <w:t>de</w:t>
      </w:r>
      <w:r>
        <w:rPr>
          <w:spacing w:val="10"/>
        </w:rPr>
        <w:t> </w:t>
      </w:r>
      <w:r>
        <w:rPr/>
        <w:t>la</w:t>
      </w:r>
      <w:r>
        <w:rPr>
          <w:spacing w:val="10"/>
        </w:rPr>
        <w:t> </w:t>
      </w:r>
      <w:r>
        <w:rPr/>
        <w:t>cha-</w:t>
      </w:r>
      <w:r>
        <w:rPr>
          <w:spacing w:val="30"/>
        </w:rPr>
        <w:t> </w:t>
      </w:r>
      <w:r>
        <w:rPr/>
        <w:t>leur</w:t>
      </w:r>
      <w:r>
        <w:rPr>
          <w:spacing w:val="24"/>
        </w:rPr>
        <w:t> </w:t>
      </w:r>
      <w:r>
        <w:rPr/>
        <w:t>et</w:t>
      </w:r>
      <w:r>
        <w:rPr>
          <w:spacing w:val="25"/>
        </w:rPr>
        <w:t> </w:t>
      </w:r>
      <w:r>
        <w:rPr/>
        <w:t>de</w:t>
      </w:r>
      <w:r>
        <w:rPr>
          <w:spacing w:val="24"/>
        </w:rPr>
        <w:t> </w:t>
      </w:r>
      <w:r>
        <w:rPr>
          <w:spacing w:val="-2"/>
        </w:rPr>
        <w:t>l’énergie</w:t>
      </w:r>
      <w:r>
        <w:rPr>
          <w:spacing w:val="25"/>
        </w:rPr>
        <w:t> </w:t>
      </w:r>
      <w:r>
        <w:rPr>
          <w:spacing w:val="-1"/>
        </w:rPr>
        <w:t>solaires.</w:t>
      </w:r>
      <w:r>
        <w:rPr>
          <w:spacing w:val="14"/>
        </w:rPr>
        <w:t> </w:t>
      </w:r>
      <w:r>
        <w:rPr/>
        <w:t>Mais</w:t>
      </w:r>
      <w:r>
        <w:rPr>
          <w:spacing w:val="25"/>
        </w:rPr>
        <w:t> </w:t>
      </w:r>
      <w:r>
        <w:rPr/>
        <w:t>les</w:t>
      </w:r>
      <w:r>
        <w:rPr>
          <w:spacing w:val="24"/>
        </w:rPr>
        <w:t> </w:t>
      </w:r>
      <w:r>
        <w:rPr/>
        <w:t>cap-</w:t>
      </w:r>
      <w:r>
        <w:rPr>
          <w:spacing w:val="26"/>
        </w:rPr>
        <w:t> </w:t>
      </w:r>
      <w:r>
        <w:rPr/>
        <w:t>teurs</w:t>
      </w:r>
      <w:r>
        <w:rPr>
          <w:spacing w:val="8"/>
        </w:rPr>
        <w:t> </w:t>
      </w:r>
      <w:r>
        <w:rPr>
          <w:spacing w:val="-1"/>
        </w:rPr>
        <w:t>hybrides</w:t>
      </w:r>
      <w:r>
        <w:rPr>
          <w:spacing w:val="8"/>
        </w:rPr>
        <w:t> </w:t>
      </w:r>
      <w:r>
        <w:rPr/>
        <w:t>ont</w:t>
      </w:r>
      <w:r>
        <w:rPr>
          <w:spacing w:val="8"/>
        </w:rPr>
        <w:t> </w:t>
      </w:r>
      <w:r>
        <w:rPr/>
        <w:t>leurs</w:t>
      </w:r>
      <w:r>
        <w:rPr>
          <w:spacing w:val="8"/>
        </w:rPr>
        <w:t> </w:t>
      </w:r>
      <w:r>
        <w:rPr/>
        <w:t>limites:</w:t>
      </w:r>
      <w:r>
        <w:rPr>
          <w:spacing w:val="8"/>
        </w:rPr>
        <w:t> </w:t>
      </w:r>
      <w:r>
        <w:rPr/>
        <w:t>alors</w:t>
      </w:r>
      <w:r>
        <w:rPr>
          <w:spacing w:val="8"/>
        </w:rPr>
        <w:t> </w:t>
      </w:r>
      <w:r>
        <w:rPr/>
        <w:t>qu’ils</w:t>
      </w:r>
      <w:r>
        <w:rPr>
          <w:spacing w:val="24"/>
        </w:rPr>
        <w:t> </w:t>
      </w:r>
      <w:r>
        <w:rPr>
          <w:spacing w:val="-2"/>
        </w:rPr>
        <w:t>devraient</w:t>
      </w:r>
      <w:r>
        <w:rPr>
          <w:spacing w:val="1"/>
        </w:rPr>
        <w:t> </w:t>
      </w:r>
      <w:r>
        <w:rPr/>
        <w:t>exploiter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chaleur</w:t>
      </w:r>
      <w:r>
        <w:rPr>
          <w:spacing w:val="1"/>
        </w:rPr>
        <w:t> </w:t>
      </w:r>
      <w:r>
        <w:rPr/>
        <w:t>des</w:t>
      </w:r>
      <w:r>
        <w:rPr>
          <w:spacing w:val="1"/>
        </w:rPr>
        <w:t> </w:t>
      </w:r>
      <w:r>
        <w:rPr>
          <w:spacing w:val="-1"/>
        </w:rPr>
        <w:t>panneaux</w:t>
      </w:r>
      <w:r>
        <w:rPr>
          <w:spacing w:val="33"/>
        </w:rPr>
        <w:t> </w:t>
      </w:r>
      <w:r>
        <w:rPr/>
        <w:t>PV</w:t>
      </w:r>
      <w:r>
        <w:rPr>
          <w:spacing w:val="5"/>
        </w:rPr>
        <w:t> </w:t>
      </w:r>
      <w:r>
        <w:rPr/>
        <w:t>pour</w:t>
      </w:r>
      <w:r>
        <w:rPr>
          <w:spacing w:val="5"/>
        </w:rPr>
        <w:t> </w:t>
      </w:r>
      <w:r>
        <w:rPr>
          <w:spacing w:val="-2"/>
        </w:rPr>
        <w:t>refroidir</w:t>
      </w:r>
      <w:r>
        <w:rPr>
          <w:spacing w:val="5"/>
        </w:rPr>
        <w:t> </w:t>
      </w:r>
      <w:r>
        <w:rPr/>
        <w:t>les</w:t>
      </w:r>
      <w:r>
        <w:rPr>
          <w:spacing w:val="5"/>
        </w:rPr>
        <w:t> </w:t>
      </w:r>
      <w:r>
        <w:rPr/>
        <w:t>installations</w:t>
      </w:r>
      <w:r>
        <w:rPr>
          <w:spacing w:val="5"/>
        </w:rPr>
        <w:t> </w:t>
      </w:r>
      <w:r>
        <w:rPr>
          <w:spacing w:val="-6"/>
        </w:rPr>
        <w:t>PV, </w:t>
      </w:r>
      <w:r>
        <w:rPr/>
        <w:t>quand</w:t>
      </w:r>
      <w:r>
        <w:rPr>
          <w:spacing w:val="22"/>
        </w:rPr>
        <w:t> </w:t>
      </w:r>
      <w:r>
        <w:rPr/>
        <w:t>les</w:t>
      </w:r>
      <w:r>
        <w:rPr>
          <w:spacing w:val="-17"/>
        </w:rPr>
        <w:t> </w:t>
      </w:r>
      <w:r>
        <w:rPr>
          <w:spacing w:val="-1"/>
        </w:rPr>
        <w:t>températures</w:t>
      </w:r>
      <w:r>
        <w:rPr>
          <w:spacing w:val="-17"/>
        </w:rPr>
        <w:t> </w:t>
      </w:r>
      <w:r>
        <w:rPr>
          <w:spacing w:val="-1"/>
        </w:rPr>
        <w:t>sont</w:t>
      </w:r>
      <w:r>
        <w:rPr>
          <w:spacing w:val="-17"/>
        </w:rPr>
        <w:t> </w:t>
      </w:r>
      <w:r>
        <w:rPr>
          <w:spacing w:val="-1"/>
        </w:rPr>
        <w:t>élevées,</w:t>
      </w:r>
      <w:r>
        <w:rPr>
          <w:spacing w:val="-28"/>
        </w:rPr>
        <w:t> </w:t>
      </w:r>
      <w:r>
        <w:rPr/>
        <w:t>ils</w:t>
      </w:r>
      <w:r>
        <w:rPr>
          <w:spacing w:val="-17"/>
        </w:rPr>
        <w:t> </w:t>
      </w:r>
      <w:r>
        <w:rPr>
          <w:spacing w:val="-1"/>
        </w:rPr>
        <w:t>deviennent</w:t>
      </w:r>
      <w:r>
        <w:rPr>
          <w:spacing w:val="27"/>
        </w:rPr>
        <w:t> </w:t>
      </w:r>
      <w:r>
        <w:rPr>
          <w:spacing w:val="-2"/>
        </w:rPr>
        <w:t>presque</w:t>
      </w:r>
      <w:r>
        <w:rPr>
          <w:spacing w:val="-9"/>
        </w:rPr>
        <w:t> </w:t>
      </w:r>
      <w:r>
        <w:rPr/>
        <w:t>aussi</w:t>
      </w:r>
      <w:r>
        <w:rPr>
          <w:spacing w:val="-9"/>
        </w:rPr>
        <w:t> </w:t>
      </w:r>
      <w:r>
        <w:rPr/>
        <w:t>chauds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des</w:t>
      </w:r>
      <w:r>
        <w:rPr>
          <w:spacing w:val="-9"/>
        </w:rPr>
        <w:t> </w:t>
      </w:r>
      <w:r>
        <w:rPr>
          <w:spacing w:val="-1"/>
        </w:rPr>
        <w:t>panneaux</w:t>
      </w:r>
      <w:r>
        <w:rPr>
          <w:spacing w:val="-9"/>
        </w:rPr>
        <w:t> </w:t>
      </w:r>
      <w:r>
        <w:rPr/>
        <w:t>PV</w:t>
      </w:r>
      <w:r>
        <w:rPr>
          <w:spacing w:val="29"/>
        </w:rPr>
        <w:t> </w:t>
      </w:r>
      <w:r>
        <w:rPr/>
        <w:t>normaux</w:t>
      </w:r>
      <w:r>
        <w:rPr>
          <w:spacing w:val="21"/>
        </w:rPr>
        <w:t> </w:t>
      </w:r>
      <w:r>
        <w:rPr/>
        <w:t>et</w:t>
      </w:r>
      <w:r>
        <w:rPr>
          <w:spacing w:val="21"/>
        </w:rPr>
        <w:t> </w:t>
      </w:r>
      <w:r>
        <w:rPr/>
        <w:t>ne</w:t>
      </w:r>
      <w:r>
        <w:rPr>
          <w:spacing w:val="21"/>
        </w:rPr>
        <w:t> </w:t>
      </w:r>
      <w:r>
        <w:rPr/>
        <w:t>peuvent</w:t>
      </w:r>
      <w:r>
        <w:rPr>
          <w:spacing w:val="21"/>
        </w:rPr>
        <w:t> </w:t>
      </w:r>
      <w:r>
        <w:rPr/>
        <w:t>donc</w:t>
      </w:r>
      <w:r>
        <w:rPr>
          <w:spacing w:val="21"/>
        </w:rPr>
        <w:t> </w:t>
      </w:r>
      <w:r>
        <w:rPr/>
        <w:t>que</w:t>
      </w:r>
      <w:r>
        <w:rPr>
          <w:spacing w:val="21"/>
        </w:rPr>
        <w:t> </w:t>
      </w:r>
      <w:r>
        <w:rPr/>
        <w:t>difficile-</w:t>
      </w:r>
    </w:p>
    <w:p>
      <w:pPr>
        <w:pStyle w:val="BodyText"/>
        <w:spacing w:line="234" w:lineRule="exact" w:before="90"/>
        <w:ind w:right="0" w:firstLine="0"/>
        <w:jc w:val="left"/>
      </w:pPr>
      <w:r>
        <w:rPr/>
        <w:br w:type="column"/>
      </w:r>
      <w:r>
        <w:rPr/>
        <w:t>ment les </w:t>
      </w:r>
      <w:r>
        <w:rPr>
          <w:spacing w:val="-3"/>
        </w:rPr>
        <w:t>refroidir.</w:t>
      </w:r>
    </w:p>
    <w:p>
      <w:pPr>
        <w:pStyle w:val="BodyText"/>
        <w:spacing w:line="232" w:lineRule="auto" w:before="2"/>
        <w:ind w:right="8"/>
        <w:jc w:val="both"/>
      </w:pPr>
      <w:r>
        <w:rPr>
          <w:spacing w:val="-1"/>
        </w:rPr>
        <w:t>Devant</w:t>
      </w:r>
      <w:r>
        <w:rPr>
          <w:spacing w:val="28"/>
        </w:rPr>
        <w:t> </w:t>
      </w:r>
      <w:r>
        <w:rPr/>
        <w:t>le</w:t>
      </w:r>
      <w:r>
        <w:rPr>
          <w:spacing w:val="29"/>
        </w:rPr>
        <w:t> </w:t>
      </w:r>
      <w:r>
        <w:rPr/>
        <w:t>bâtiment,</w:t>
      </w:r>
      <w:r>
        <w:rPr>
          <w:spacing w:val="18"/>
        </w:rPr>
        <w:t> </w:t>
      </w:r>
      <w:r>
        <w:rPr/>
        <w:t>un</w:t>
      </w:r>
      <w:r>
        <w:rPr>
          <w:spacing w:val="28"/>
        </w:rPr>
        <w:t> </w:t>
      </w:r>
      <w:r>
        <w:rPr>
          <w:spacing w:val="-1"/>
        </w:rPr>
        <w:t>parking</w:t>
      </w:r>
      <w:r>
        <w:rPr>
          <w:spacing w:val="29"/>
        </w:rPr>
        <w:t> </w:t>
      </w:r>
      <w:r>
        <w:rPr/>
        <w:t>couvert</w:t>
      </w:r>
      <w:r>
        <w:rPr>
          <w:spacing w:val="30"/>
        </w:rPr>
        <w:t> </w:t>
      </w:r>
      <w:r>
        <w:rPr>
          <w:spacing w:val="-2"/>
        </w:rPr>
        <w:t>solaire</w:t>
      </w:r>
      <w:r>
        <w:rPr>
          <w:spacing w:val="24"/>
        </w:rPr>
        <w:t> </w:t>
      </w:r>
      <w:r>
        <w:rPr/>
        <w:t>permet</w:t>
      </w:r>
      <w:r>
        <w:rPr>
          <w:spacing w:val="25"/>
        </w:rPr>
        <w:t> </w:t>
      </w:r>
      <w:r>
        <w:rPr/>
        <w:t>de</w:t>
      </w:r>
      <w:r>
        <w:rPr>
          <w:spacing w:val="24"/>
        </w:rPr>
        <w:t> </w:t>
      </w:r>
      <w:r>
        <w:rPr>
          <w:spacing w:val="-2"/>
        </w:rPr>
        <w:t>recharger</w:t>
      </w:r>
      <w:r>
        <w:rPr>
          <w:spacing w:val="25"/>
        </w:rPr>
        <w:t> </w:t>
      </w:r>
      <w:r>
        <w:rPr/>
        <w:t>tous</w:t>
      </w:r>
      <w:r>
        <w:rPr>
          <w:spacing w:val="25"/>
        </w:rPr>
        <w:t> </w:t>
      </w:r>
      <w:r>
        <w:rPr/>
        <w:t>les</w:t>
      </w:r>
      <w:r>
        <w:rPr>
          <w:spacing w:val="24"/>
        </w:rPr>
        <w:t> </w:t>
      </w:r>
      <w:r>
        <w:rPr/>
        <w:t>jours</w:t>
      </w:r>
      <w:r>
        <w:rPr>
          <w:spacing w:val="23"/>
        </w:rPr>
        <w:t> </w:t>
      </w:r>
      <w:r>
        <w:rPr/>
        <w:t>les</w:t>
      </w:r>
      <w:r>
        <w:rPr>
          <w:spacing w:val="16"/>
        </w:rPr>
        <w:t> </w:t>
      </w:r>
      <w:r>
        <w:rPr/>
        <w:t>véhicules</w:t>
      </w:r>
      <w:r>
        <w:rPr>
          <w:spacing w:val="2"/>
        </w:rPr>
        <w:t> </w:t>
      </w:r>
      <w:r>
        <w:rPr>
          <w:spacing w:val="-3"/>
        </w:rPr>
        <w:t>Tesla.</w:t>
      </w:r>
      <w:r>
        <w:rPr>
          <w:spacing w:val="5"/>
        </w:rPr>
        <w:t> </w:t>
      </w:r>
      <w:r>
        <w:rPr>
          <w:spacing w:val="-1"/>
        </w:rPr>
        <w:t>Équipé</w:t>
      </w:r>
      <w:r>
        <w:rPr>
          <w:spacing w:val="16"/>
        </w:rPr>
        <w:t> </w:t>
      </w:r>
      <w:r>
        <w:rPr/>
        <w:t>de</w:t>
      </w:r>
      <w:r>
        <w:rPr>
          <w:spacing w:val="16"/>
        </w:rPr>
        <w:t> </w:t>
      </w:r>
      <w:r>
        <w:rPr/>
        <w:t>modules</w:t>
      </w:r>
      <w:r>
        <w:rPr>
          <w:spacing w:val="16"/>
        </w:rPr>
        <w:t> </w:t>
      </w:r>
      <w:r>
        <w:rPr/>
        <w:t>PV</w:t>
      </w:r>
      <w:r>
        <w:rPr>
          <w:spacing w:val="27"/>
        </w:rPr>
        <w:t> </w:t>
      </w:r>
      <w:r>
        <w:rPr/>
        <w:t>de</w:t>
      </w:r>
      <w:r>
        <w:rPr>
          <w:spacing w:val="24"/>
        </w:rPr>
        <w:t> </w:t>
      </w:r>
      <w:r>
        <w:rPr/>
        <w:t>10.2</w:t>
      </w:r>
      <w:r>
        <w:rPr>
          <w:spacing w:val="25"/>
        </w:rPr>
        <w:t> </w:t>
      </w:r>
      <w:r>
        <w:rPr>
          <w:spacing w:val="-2"/>
        </w:rPr>
        <w:t>kWc,</w:t>
      </w:r>
      <w:r>
        <w:rPr>
          <w:spacing w:val="13"/>
        </w:rPr>
        <w:t> </w:t>
      </w:r>
      <w:r>
        <w:rPr/>
        <w:t>il</w:t>
      </w:r>
      <w:r>
        <w:rPr>
          <w:spacing w:val="24"/>
        </w:rPr>
        <w:t> </w:t>
      </w:r>
      <w:r>
        <w:rPr>
          <w:spacing w:val="-1"/>
        </w:rPr>
        <w:t>produit</w:t>
      </w:r>
      <w:r>
        <w:rPr>
          <w:spacing w:val="25"/>
        </w:rPr>
        <w:t> </w:t>
      </w:r>
      <w:r>
        <w:rPr/>
        <w:t>du</w:t>
      </w:r>
      <w:r>
        <w:rPr>
          <w:spacing w:val="25"/>
        </w:rPr>
        <w:t> </w:t>
      </w:r>
      <w:r>
        <w:rPr>
          <w:spacing w:val="-1"/>
        </w:rPr>
        <w:t>courant</w:t>
      </w:r>
      <w:r>
        <w:rPr>
          <w:spacing w:val="24"/>
        </w:rPr>
        <w:t> </w:t>
      </w:r>
      <w:r>
        <w:rPr>
          <w:spacing w:val="-2"/>
        </w:rPr>
        <w:t>solaire</w:t>
      </w:r>
      <w:r>
        <w:rPr>
          <w:spacing w:val="29"/>
        </w:rPr>
        <w:t> </w:t>
      </w:r>
      <w:r>
        <w:rPr>
          <w:spacing w:val="-1"/>
        </w:rPr>
        <w:t>supplémentaire.</w:t>
      </w:r>
      <w:r>
        <w:rPr>
          <w:spacing w:val="4"/>
        </w:rPr>
        <w:t> </w:t>
      </w:r>
      <w:r>
        <w:rPr/>
        <w:t>Des</w:t>
      </w:r>
      <w:r>
        <w:rPr>
          <w:spacing w:val="14"/>
        </w:rPr>
        <w:t> </w:t>
      </w:r>
      <w:r>
        <w:rPr/>
        <w:t>cellules</w:t>
      </w:r>
      <w:r>
        <w:rPr>
          <w:spacing w:val="14"/>
        </w:rPr>
        <w:t> </w:t>
      </w:r>
      <w:r>
        <w:rPr/>
        <w:t>monocristalli-</w:t>
      </w:r>
      <w:r>
        <w:rPr>
          <w:spacing w:val="30"/>
        </w:rPr>
        <w:t> </w:t>
      </w:r>
      <w:r>
        <w:rPr/>
        <w:t>nes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33</w:t>
      </w:r>
      <w:r>
        <w:rPr>
          <w:spacing w:val="-8"/>
        </w:rPr>
        <w:t> </w:t>
      </w:r>
      <w:r>
        <w:rPr>
          <w:spacing w:val="-3"/>
        </w:rPr>
        <w:t>kWc</w:t>
      </w:r>
      <w:r>
        <w:rPr>
          <w:spacing w:val="-8"/>
        </w:rPr>
        <w:t> </w:t>
      </w:r>
      <w:r>
        <w:rPr/>
        <w:t>bien</w:t>
      </w:r>
      <w:r>
        <w:rPr>
          <w:spacing w:val="-8"/>
        </w:rPr>
        <w:t> </w:t>
      </w:r>
      <w:r>
        <w:rPr>
          <w:spacing w:val="-1"/>
        </w:rPr>
        <w:t>intégrées</w:t>
      </w:r>
      <w:r>
        <w:rPr>
          <w:spacing w:val="-8"/>
        </w:rPr>
        <w:t> </w:t>
      </w:r>
      <w:r>
        <w:rPr/>
        <w:t>à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>
          <w:spacing w:val="-1"/>
        </w:rPr>
        <w:t>façade</w:t>
      </w:r>
      <w:r>
        <w:rPr>
          <w:spacing w:val="-8"/>
        </w:rPr>
        <w:t> </w:t>
      </w:r>
      <w:r>
        <w:rPr/>
        <w:t>lui</w:t>
      </w:r>
      <w:r>
        <w:rPr>
          <w:spacing w:val="29"/>
        </w:rPr>
        <w:t> </w:t>
      </w:r>
      <w:r>
        <w:rPr>
          <w:spacing w:val="-1"/>
        </w:rPr>
        <w:t>confèrent</w:t>
      </w:r>
      <w:r>
        <w:rPr>
          <w:spacing w:val="-5"/>
        </w:rPr>
        <w:t> </w:t>
      </w:r>
      <w:r>
        <w:rPr/>
        <w:t>une</w:t>
      </w:r>
      <w:r>
        <w:rPr>
          <w:spacing w:val="-5"/>
        </w:rPr>
        <w:t> </w:t>
      </w:r>
      <w:r>
        <w:rPr/>
        <w:t>belle</w:t>
      </w:r>
      <w:r>
        <w:rPr>
          <w:spacing w:val="-5"/>
        </w:rPr>
        <w:t> </w:t>
      </w:r>
      <w:r>
        <w:rPr/>
        <w:t>unité.</w:t>
      </w:r>
      <w:r>
        <w:rPr>
          <w:spacing w:val="-31"/>
        </w:rPr>
        <w:t> </w:t>
      </w:r>
      <w:r>
        <w:rPr>
          <w:spacing w:val="-5"/>
        </w:rPr>
        <w:t>Tous </w:t>
      </w:r>
      <w:r>
        <w:rPr/>
        <w:t>les</w:t>
      </w:r>
      <w:r>
        <w:rPr>
          <w:spacing w:val="-5"/>
        </w:rPr>
        <w:t> </w:t>
      </w:r>
      <w:r>
        <w:rPr/>
        <w:t>systèmes</w:t>
      </w:r>
      <w:r>
        <w:rPr>
          <w:spacing w:val="25"/>
        </w:rPr>
        <w:t> </w:t>
      </w:r>
      <w:r>
        <w:rPr>
          <w:spacing w:val="-1"/>
        </w:rPr>
        <w:t>solaires</w:t>
      </w:r>
      <w:r>
        <w:rPr>
          <w:spacing w:val="12"/>
        </w:rPr>
        <w:t> </w:t>
      </w:r>
      <w:r>
        <w:rPr>
          <w:spacing w:val="-1"/>
        </w:rPr>
        <w:t>fournissent</w:t>
      </w:r>
      <w:r>
        <w:rPr>
          <w:spacing w:val="12"/>
        </w:rPr>
        <w:t> </w:t>
      </w:r>
      <w:r>
        <w:rPr>
          <w:spacing w:val="-1"/>
        </w:rPr>
        <w:t>ensemble</w:t>
      </w:r>
      <w:r>
        <w:rPr>
          <w:spacing w:val="12"/>
        </w:rPr>
        <w:t> </w:t>
      </w:r>
      <w:r>
        <w:rPr/>
        <w:t>234’700</w:t>
      </w:r>
      <w:r>
        <w:rPr>
          <w:spacing w:val="25"/>
        </w:rPr>
        <w:t> </w:t>
      </w:r>
      <w:r>
        <w:rPr>
          <w:spacing w:val="-2"/>
        </w:rPr>
        <w:t>kWh/a.</w:t>
      </w:r>
    </w:p>
    <w:p>
      <w:pPr>
        <w:pStyle w:val="BodyText"/>
        <w:spacing w:line="232" w:lineRule="auto"/>
        <w:ind w:right="0"/>
        <w:jc w:val="both"/>
      </w:pPr>
      <w:r>
        <w:rPr>
          <w:spacing w:val="-2"/>
        </w:rPr>
        <w:t>Lors</w:t>
      </w:r>
      <w:r>
        <w:rPr>
          <w:spacing w:val="15"/>
        </w:rPr>
        <w:t> </w:t>
      </w:r>
      <w:r>
        <w:rPr/>
        <w:t>de</w:t>
      </w:r>
      <w:r>
        <w:rPr>
          <w:spacing w:val="15"/>
        </w:rPr>
        <w:t> </w:t>
      </w:r>
      <w:r>
        <w:rPr/>
        <w:t>la</w:t>
      </w:r>
      <w:r>
        <w:rPr>
          <w:spacing w:val="15"/>
        </w:rPr>
        <w:t> </w:t>
      </w:r>
      <w:r>
        <w:rPr/>
        <w:t>construction,</w:t>
      </w:r>
      <w:r>
        <w:rPr>
          <w:spacing w:val="5"/>
        </w:rPr>
        <w:t> </w:t>
      </w:r>
      <w:r>
        <w:rPr/>
        <w:t>on</w:t>
      </w:r>
      <w:r>
        <w:rPr>
          <w:spacing w:val="15"/>
        </w:rPr>
        <w:t> </w:t>
      </w:r>
      <w:r>
        <w:rPr/>
        <w:t>a</w:t>
      </w:r>
      <w:r>
        <w:rPr>
          <w:spacing w:val="15"/>
        </w:rPr>
        <w:t> </w:t>
      </w:r>
      <w:r>
        <w:rPr/>
        <w:t>utilisé</w:t>
      </w:r>
      <w:r>
        <w:rPr>
          <w:spacing w:val="15"/>
        </w:rPr>
        <w:t> </w:t>
      </w:r>
      <w:r>
        <w:rPr/>
        <w:t>des</w:t>
      </w:r>
      <w:r>
        <w:rPr>
          <w:spacing w:val="25"/>
        </w:rPr>
        <w:t> </w:t>
      </w:r>
      <w:r>
        <w:rPr/>
        <w:t>matériaux</w:t>
      </w:r>
      <w:r>
        <w:rPr>
          <w:spacing w:val="23"/>
        </w:rPr>
        <w:t> </w:t>
      </w:r>
      <w:r>
        <w:rPr/>
        <w:t>aussi</w:t>
      </w:r>
      <w:r>
        <w:rPr>
          <w:spacing w:val="23"/>
        </w:rPr>
        <w:t> </w:t>
      </w:r>
      <w:r>
        <w:rPr/>
        <w:t>écologiques</w:t>
      </w:r>
      <w:r>
        <w:rPr>
          <w:spacing w:val="23"/>
        </w:rPr>
        <w:t> </w:t>
      </w:r>
      <w:r>
        <w:rPr/>
        <w:t>que</w:t>
      </w:r>
      <w:r>
        <w:rPr>
          <w:spacing w:val="23"/>
        </w:rPr>
        <w:t> </w:t>
      </w:r>
      <w:r>
        <w:rPr/>
        <w:t>possible.</w:t>
      </w:r>
      <w:r>
        <w:rPr>
          <w:spacing w:val="21"/>
        </w:rPr>
        <w:t> </w:t>
      </w:r>
      <w:r>
        <w:rPr/>
        <w:t>La</w:t>
      </w:r>
      <w:r>
        <w:rPr>
          <w:spacing w:val="8"/>
        </w:rPr>
        <w:t> </w:t>
      </w:r>
      <w:r>
        <w:rPr/>
        <w:t>partie</w:t>
      </w:r>
      <w:r>
        <w:rPr>
          <w:spacing w:val="8"/>
        </w:rPr>
        <w:t> </w:t>
      </w:r>
      <w:r>
        <w:rPr>
          <w:spacing w:val="-1"/>
        </w:rPr>
        <w:t>bureaux</w:t>
      </w:r>
      <w:r>
        <w:rPr>
          <w:spacing w:val="8"/>
        </w:rPr>
        <w:t> </w:t>
      </w:r>
      <w:r>
        <w:rPr>
          <w:spacing w:val="-1"/>
        </w:rPr>
        <w:t>se</w:t>
      </w:r>
      <w:r>
        <w:rPr>
          <w:spacing w:val="8"/>
        </w:rPr>
        <w:t> </w:t>
      </w:r>
      <w:r>
        <w:rPr>
          <w:spacing w:val="-1"/>
        </w:rPr>
        <w:t>compose</w:t>
      </w:r>
      <w:r>
        <w:rPr>
          <w:spacing w:val="8"/>
        </w:rPr>
        <w:t> </w:t>
      </w:r>
      <w:r>
        <w:rPr/>
        <w:t>ainsi</w:t>
      </w:r>
      <w:r>
        <w:rPr>
          <w:spacing w:val="8"/>
        </w:rPr>
        <w:t> </w:t>
      </w:r>
      <w:r>
        <w:rPr/>
        <w:t>à</w:t>
      </w:r>
      <w:r>
        <w:rPr>
          <w:spacing w:val="8"/>
        </w:rPr>
        <w:t> </w:t>
      </w:r>
      <w:r>
        <w:rPr/>
        <w:t>95%</w:t>
      </w:r>
      <w:r>
        <w:rPr>
          <w:spacing w:val="21"/>
        </w:rPr>
        <w:t> </w:t>
      </w:r>
      <w:r>
        <w:rPr/>
        <w:t>de</w:t>
      </w:r>
      <w:r>
        <w:rPr>
          <w:spacing w:val="-7"/>
        </w:rPr>
        <w:t> </w:t>
      </w:r>
      <w:r>
        <w:rPr/>
        <w:t>bois.</w:t>
      </w:r>
      <w:r>
        <w:rPr>
          <w:spacing w:val="-17"/>
        </w:rPr>
        <w:t> </w:t>
      </w:r>
      <w:r>
        <w:rPr/>
        <w:t>Une</w:t>
      </w:r>
      <w:r>
        <w:rPr>
          <w:spacing w:val="-7"/>
        </w:rPr>
        <w:t> </w:t>
      </w:r>
      <w:r>
        <w:rPr>
          <w:spacing w:val="-1"/>
        </w:rPr>
        <w:t>chaudière</w:t>
      </w:r>
      <w:r>
        <w:rPr>
          <w:spacing w:val="-7"/>
        </w:rPr>
        <w:t> </w:t>
      </w:r>
      <w:r>
        <w:rPr/>
        <w:t>à</w:t>
      </w:r>
      <w:r>
        <w:rPr>
          <w:spacing w:val="-7"/>
        </w:rPr>
        <w:t> </w:t>
      </w:r>
      <w:r>
        <w:rPr/>
        <w:t>plaquettes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bois</w:t>
      </w:r>
      <w:r>
        <w:rPr>
          <w:spacing w:val="28"/>
        </w:rPr>
        <w:t> </w:t>
      </w:r>
      <w:r>
        <w:rPr>
          <w:spacing w:val="-2"/>
        </w:rPr>
        <w:t>couvre</w:t>
      </w:r>
      <w:r>
        <w:rPr>
          <w:spacing w:val="-4"/>
        </w:rPr>
        <w:t> </w:t>
      </w:r>
      <w:r>
        <w:rPr/>
        <w:t>les</w:t>
      </w:r>
      <w:r>
        <w:rPr>
          <w:spacing w:val="-4"/>
        </w:rPr>
        <w:t> </w:t>
      </w:r>
      <w:r>
        <w:rPr>
          <w:spacing w:val="-1"/>
        </w:rPr>
        <w:t>besoins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chauffage</w:t>
      </w:r>
      <w:r>
        <w:rPr>
          <w:spacing w:val="-4"/>
        </w:rPr>
        <w:t> </w:t>
      </w:r>
      <w:r>
        <w:rPr/>
        <w:t>à</w:t>
      </w:r>
      <w:r>
        <w:rPr>
          <w:spacing w:val="-4"/>
        </w:rPr>
        <w:t> </w:t>
      </w:r>
      <w:r>
        <w:rPr>
          <w:spacing w:val="-1"/>
        </w:rPr>
        <w:t>raison</w:t>
      </w:r>
      <w:r>
        <w:rPr>
          <w:spacing w:val="-4"/>
        </w:rPr>
        <w:t> </w:t>
      </w:r>
      <w:r>
        <w:rPr/>
        <w:t>de</w:t>
      </w:r>
      <w:r>
        <w:rPr>
          <w:spacing w:val="25"/>
        </w:rPr>
        <w:t> </w:t>
      </w:r>
      <w:r>
        <w:rPr/>
        <w:t>120’000 </w:t>
      </w:r>
      <w:r>
        <w:rPr>
          <w:spacing w:val="-2"/>
        </w:rPr>
        <w:t>kWh/a.</w:t>
      </w:r>
      <w:r>
        <w:rPr>
          <w:spacing w:val="37"/>
        </w:rPr>
        <w:t> </w:t>
      </w:r>
      <w:r>
        <w:rPr/>
        <w:t>Soleol </w:t>
      </w:r>
      <w:r>
        <w:rPr>
          <w:spacing w:val="-1"/>
        </w:rPr>
        <w:t>SA</w:t>
      </w:r>
      <w:r>
        <w:rPr/>
        <w:t> </w:t>
      </w:r>
      <w:r>
        <w:rPr>
          <w:spacing w:val="-1"/>
        </w:rPr>
        <w:t>consomme</w:t>
      </w:r>
      <w:r>
        <w:rPr>
          <w:spacing w:val="22"/>
        </w:rPr>
        <w:t> </w:t>
      </w:r>
      <w:r>
        <w:rPr/>
        <w:t>163’700</w:t>
      </w:r>
      <w:r>
        <w:rPr>
          <w:spacing w:val="8"/>
        </w:rPr>
        <w:t> </w:t>
      </w:r>
      <w:r>
        <w:rPr>
          <w:spacing w:val="-2"/>
        </w:rPr>
        <w:t>kWh/a</w:t>
      </w:r>
      <w:r>
        <w:rPr>
          <w:spacing w:val="8"/>
        </w:rPr>
        <w:t> </w:t>
      </w:r>
      <w:r>
        <w:rPr/>
        <w:t>et</w:t>
      </w:r>
      <w:r>
        <w:rPr>
          <w:spacing w:val="8"/>
        </w:rPr>
        <w:t> </w:t>
      </w:r>
      <w:r>
        <w:rPr>
          <w:spacing w:val="-1"/>
        </w:rPr>
        <w:t>assure</w:t>
      </w:r>
      <w:r>
        <w:rPr>
          <w:spacing w:val="8"/>
        </w:rPr>
        <w:t> </w:t>
      </w:r>
      <w:r>
        <w:rPr/>
        <w:t>une</w:t>
      </w:r>
      <w:r>
        <w:rPr>
          <w:spacing w:val="8"/>
        </w:rPr>
        <w:t> </w:t>
      </w:r>
      <w:r>
        <w:rPr>
          <w:spacing w:val="-1"/>
        </w:rPr>
        <w:t>autoproduc-</w:t>
      </w:r>
      <w:r>
        <w:rPr>
          <w:spacing w:val="26"/>
        </w:rPr>
        <w:t> </w:t>
      </w:r>
      <w:r>
        <w:rPr/>
        <w:t>tion de 143%.</w:t>
      </w:r>
    </w:p>
    <w:p>
      <w:pPr>
        <w:pStyle w:val="BodyText"/>
        <w:spacing w:line="232" w:lineRule="auto"/>
        <w:ind w:right="9"/>
        <w:jc w:val="both"/>
      </w:pPr>
      <w:r>
        <w:rPr/>
        <w:t>Ce</w:t>
      </w:r>
      <w:r>
        <w:rPr>
          <w:spacing w:val="-3"/>
        </w:rPr>
        <w:t> </w:t>
      </w:r>
      <w:r>
        <w:rPr>
          <w:spacing w:val="-1"/>
        </w:rPr>
        <w:t>BEP</w:t>
      </w:r>
      <w:r>
        <w:rPr>
          <w:spacing w:val="-3"/>
        </w:rPr>
        <w:t> </w:t>
      </w:r>
      <w:r>
        <w:rPr>
          <w:spacing w:val="-1"/>
        </w:rPr>
        <w:t>innovant</w:t>
      </w:r>
      <w:r>
        <w:rPr>
          <w:spacing w:val="-3"/>
        </w:rPr>
        <w:t> </w:t>
      </w:r>
      <w:r>
        <w:rPr>
          <w:spacing w:val="-1"/>
        </w:rPr>
        <w:t>reçoit</w:t>
      </w:r>
      <w:r>
        <w:rPr>
          <w:spacing w:val="-3"/>
        </w:rPr>
        <w:t> </w:t>
      </w:r>
      <w:r>
        <w:rPr/>
        <w:t>pour</w:t>
      </w:r>
      <w:r>
        <w:rPr>
          <w:spacing w:val="-3"/>
        </w:rPr>
        <w:t> </w:t>
      </w:r>
      <w:r>
        <w:rPr/>
        <w:t>cela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dip-</w:t>
      </w:r>
      <w:r>
        <w:rPr>
          <w:spacing w:val="29"/>
        </w:rPr>
        <w:t> </w:t>
      </w:r>
      <w:r>
        <w:rPr/>
        <w:t>lôme </w:t>
      </w:r>
      <w:r>
        <w:rPr>
          <w:spacing w:val="-1"/>
        </w:rPr>
        <w:t>BEP</w:t>
      </w:r>
      <w:r>
        <w:rPr/>
        <w:t> 2016.</w:t>
      </w:r>
    </w:p>
    <w:p>
      <w:pPr>
        <w:spacing w:before="67"/>
        <w:ind w:left="175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 w:hAnsi="Theinhardt Black"/>
          <w:b/>
          <w:spacing w:val="1"/>
          <w:sz w:val="14"/>
        </w:rPr>
        <w:t>Données</w:t>
      </w:r>
      <w:r>
        <w:rPr>
          <w:rFonts w:ascii="Theinhardt Black" w:hAnsi="Theinhardt Black"/>
          <w:b/>
          <w:sz w:val="14"/>
        </w:rPr>
        <w:t> techniques</w:t>
      </w:r>
      <w:r>
        <w:rPr>
          <w:rFonts w:ascii="Theinhardt Black" w:hAns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75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7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Isolation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thermique</w:t>
      </w:r>
      <w:r>
        <w:rPr>
          <w:rFonts w:ascii="Theinhardt Bold"/>
          <w:sz w:val="14"/>
        </w:rPr>
      </w:r>
    </w:p>
    <w:p>
      <w:pPr>
        <w:tabs>
          <w:tab w:pos="1144" w:val="left" w:leader="none"/>
          <w:tab w:pos="2543" w:val="left" w:leader="none"/>
        </w:tabs>
        <w:spacing w:line="160" w:lineRule="exact" w:before="0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Mur:</w:t>
        <w:tab/>
        <w:t>43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pacing w:val="-1"/>
          <w:sz w:val="14"/>
        </w:rPr>
        <w:t> </w:t>
      </w:r>
      <w:r>
        <w:rPr>
          <w:rFonts w:ascii="Theinhardt Regular"/>
          <w:sz w:val="14"/>
        </w:rPr>
        <w:t>Valeur-U:</w:t>
        <w:tab/>
        <w:t>0.20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146" w:val="left" w:leader="none"/>
          <w:tab w:pos="2543" w:val="left" w:leader="none"/>
        </w:tabs>
        <w:spacing w:line="160" w:lineRule="exact" w:before="0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1"/>
          <w:sz w:val="14"/>
        </w:rPr>
        <w:t>Toit:</w:t>
        <w:tab/>
      </w:r>
      <w:r>
        <w:rPr>
          <w:rFonts w:ascii="Theinhardt Regular"/>
          <w:sz w:val="14"/>
        </w:rPr>
        <w:t>36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pacing w:val="-1"/>
          <w:sz w:val="14"/>
        </w:rPr>
        <w:t> </w:t>
      </w:r>
      <w:r>
        <w:rPr>
          <w:rFonts w:ascii="Theinhardt Regular"/>
          <w:sz w:val="14"/>
        </w:rPr>
        <w:t>Valeur-U:</w:t>
        <w:tab/>
        <w:t>0.20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146" w:val="left" w:leader="none"/>
          <w:tab w:pos="1219" w:val="left" w:leader="none"/>
          <w:tab w:pos="2544" w:val="left" w:leader="none"/>
        </w:tabs>
        <w:spacing w:line="207" w:lineRule="auto" w:before="5"/>
        <w:ind w:left="175" w:right="34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Sol:</w:t>
        <w:tab/>
      </w:r>
      <w:r>
        <w:rPr>
          <w:rFonts w:ascii="Theinhardt Regular" w:hAnsi="Theinhardt Regular"/>
          <w:sz w:val="14"/>
        </w:rPr>
        <w:t>36 </w:t>
      </w:r>
      <w:r>
        <w:rPr>
          <w:rFonts w:ascii="Theinhardt Regular" w:hAnsi="Theinhardt Regular"/>
          <w:spacing w:val="1"/>
          <w:sz w:val="14"/>
        </w:rPr>
        <w:t>cm</w:t>
      </w:r>
      <w:r>
        <w:rPr>
          <w:rFonts w:ascii="Theinhardt Regular" w:hAnsi="Theinhardt Regular"/>
          <w:spacing w:val="-1"/>
          <w:sz w:val="14"/>
        </w:rPr>
        <w:t> </w:t>
      </w:r>
      <w:r>
        <w:rPr>
          <w:rFonts w:ascii="Theinhardt Regular" w:hAnsi="Theinhardt Regular"/>
          <w:sz w:val="14"/>
        </w:rPr>
        <w:t>Valeur-U:</w:t>
        <w:tab/>
        <w:t>0.25 </w:t>
      </w:r>
      <w:r>
        <w:rPr>
          <w:rFonts w:ascii="Theinhardt Regular" w:hAnsi="Theinhardt Regular"/>
          <w:spacing w:val="-2"/>
          <w:sz w:val="14"/>
        </w:rPr>
        <w:t>W/m</w:t>
      </w:r>
      <w:r>
        <w:rPr>
          <w:rFonts w:ascii="Theinhardt Regular" w:hAnsi="Theinhardt Regular"/>
          <w:spacing w:val="-2"/>
          <w:position w:val="5"/>
          <w:sz w:val="8"/>
        </w:rPr>
        <w:t>2</w:t>
      </w:r>
      <w:r>
        <w:rPr>
          <w:rFonts w:ascii="Theinhardt Regular" w:hAnsi="Theinhardt Regular"/>
          <w:spacing w:val="-2"/>
          <w:sz w:val="14"/>
        </w:rPr>
        <w:t>K</w:t>
      </w:r>
      <w:r>
        <w:rPr>
          <w:rFonts w:ascii="Theinhardt Regular" w:hAnsi="Theinhardt Regular"/>
          <w:spacing w:val="25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Fenêtre:</w:t>
        <w:tab/>
        <w:tab/>
        <w:t>triple</w:t>
      </w:r>
      <w:r>
        <w:rPr>
          <w:rFonts w:ascii="Theinhardt Regular" w:hAnsi="Theinhardt Regular"/>
          <w:spacing w:val="-1"/>
          <w:sz w:val="14"/>
        </w:rPr>
        <w:t> </w:t>
      </w:r>
      <w:r>
        <w:rPr>
          <w:rFonts w:ascii="Theinhardt Regular" w:hAnsi="Theinhardt Regular"/>
          <w:sz w:val="14"/>
        </w:rPr>
        <w:t>Valeur-U:</w:t>
        <w:tab/>
      </w:r>
      <w:r>
        <w:rPr>
          <w:rFonts w:ascii="Theinhardt Regular" w:hAnsi="Theinhardt Regular"/>
          <w:spacing w:val="-3"/>
          <w:sz w:val="14"/>
        </w:rPr>
        <w:t>0.70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W/m</w:t>
      </w:r>
      <w:r>
        <w:rPr>
          <w:rFonts w:ascii="Theinhardt Regular" w:hAnsi="Theinhardt Regular"/>
          <w:spacing w:val="-2"/>
          <w:position w:val="5"/>
          <w:sz w:val="8"/>
        </w:rPr>
        <w:t>2</w:t>
      </w:r>
      <w:r>
        <w:rPr>
          <w:rFonts w:ascii="Theinhardt Regular" w:hAnsi="Theinhardt Regular"/>
          <w:spacing w:val="-2"/>
          <w:sz w:val="14"/>
        </w:rPr>
        <w:t>K</w:t>
      </w:r>
    </w:p>
    <w:p>
      <w:pPr>
        <w:spacing w:line="172" w:lineRule="exact" w:before="38"/>
        <w:ind w:left="17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Besoins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énergie</w:t>
      </w:r>
      <w:r>
        <w:rPr>
          <w:rFonts w:ascii="Theinhardt Bold" w:hAnsi="Theinhardt Bold"/>
          <w:sz w:val="14"/>
        </w:rPr>
      </w:r>
    </w:p>
    <w:p>
      <w:pPr>
        <w:tabs>
          <w:tab w:pos="1588" w:val="left" w:leader="none"/>
          <w:tab w:pos="1871" w:val="left" w:leader="none"/>
          <w:tab w:pos="2430" w:val="left" w:leader="none"/>
          <w:tab w:pos="2892" w:val="left" w:leader="none"/>
        </w:tabs>
        <w:spacing w:line="207" w:lineRule="auto" w:before="6"/>
        <w:ind w:left="175" w:right="34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SRE: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1’917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Besoins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chaleur:</w:t>
        <w:tab/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62.6</w:t>
        <w:tab/>
        <w:t>73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120’000</w:t>
      </w:r>
    </w:p>
    <w:p>
      <w:pPr>
        <w:tabs>
          <w:tab w:pos="1871" w:val="left" w:leader="none"/>
          <w:tab w:pos="2430" w:val="left" w:leader="none"/>
        </w:tabs>
        <w:spacing w:line="154" w:lineRule="exact" w:before="0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Briquettes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charbon: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62.6</w:t>
        <w:tab/>
        <w:t>73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120’000</w:t>
      </w:r>
    </w:p>
    <w:p>
      <w:pPr>
        <w:tabs>
          <w:tab w:pos="1971" w:val="left" w:leader="none"/>
          <w:tab w:pos="2513" w:val="left" w:leader="none"/>
          <w:tab w:pos="2920" w:val="left" w:leader="none"/>
        </w:tabs>
        <w:spacing w:line="160" w:lineRule="exact" w:before="0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Electricité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ventil.:</w:t>
        <w:tab/>
      </w:r>
      <w:r>
        <w:rPr>
          <w:rFonts w:ascii="Theinhardt Regular" w:hAnsi="Theinhardt Regular" w:cs="Theinhardt Regular" w:eastAsia="Theinhardt Regular"/>
          <w:spacing w:val="-7"/>
          <w:w w:val="95"/>
          <w:sz w:val="14"/>
          <w:szCs w:val="14"/>
        </w:rPr>
        <w:t>1.1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1</w:t>
        <w:tab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2’200</w:t>
      </w:r>
    </w:p>
    <w:p>
      <w:pPr>
        <w:tabs>
          <w:tab w:pos="1889" w:val="left" w:leader="none"/>
          <w:tab w:pos="2430" w:val="left" w:leader="none"/>
          <w:tab w:pos="2860" w:val="left" w:leader="none"/>
        </w:tabs>
        <w:spacing w:line="160" w:lineRule="exact" w:before="0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Electricité: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21.7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26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41’542</w:t>
      </w:r>
    </w:p>
    <w:p>
      <w:pPr>
        <w:tabs>
          <w:tab w:pos="1859" w:val="left" w:leader="none"/>
        </w:tabs>
        <w:spacing w:line="172" w:lineRule="exact" w:before="0"/>
        <w:ind w:left="17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Total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besoins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énerg.:</w:t>
        <w:tab/>
        <w:t>85.4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163’742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7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Alimentation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énergetique</w:t>
      </w:r>
      <w:r>
        <w:rPr>
          <w:rFonts w:ascii="Theinhardt Bold" w:hAnsi="Theinhardt Bold"/>
          <w:sz w:val="14"/>
        </w:rPr>
      </w:r>
    </w:p>
    <w:p>
      <w:pPr>
        <w:tabs>
          <w:tab w:pos="1791" w:val="left" w:leader="none"/>
          <w:tab w:pos="2356" w:val="left" w:leader="none"/>
          <w:tab w:pos="2467" w:val="left" w:leader="none"/>
          <w:tab w:pos="2892" w:val="left" w:leader="none"/>
        </w:tabs>
        <w:spacing w:line="207" w:lineRule="auto" w:before="6"/>
        <w:ind w:left="175" w:right="34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Autoprod.: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    </w:t>
      </w:r>
      <w:r>
        <w:rPr>
          <w:rFonts w:ascii="Theinhardt Regular" w:hAnsi="Theinhardt Regular" w:cs="Theinhardt Regular" w:eastAsia="Theinhardt Regular"/>
          <w:spacing w:val="13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kWc  </w:t>
      </w:r>
      <w:r>
        <w:rPr>
          <w:rFonts w:ascii="Theinhardt Regular" w:hAnsi="Theinhardt Regular" w:cs="Theinhardt Regular" w:eastAsia="Theinhardt Regular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3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PV-Hall:</w:t>
      </w:r>
      <w:r>
        <w:rPr>
          <w:rFonts w:ascii="Theinhardt Regular" w:hAnsi="Theinhardt Regular" w:cs="Theinhardt Regular" w:eastAsia="Theinhardt Regular"/>
          <w:spacing w:val="2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6"/>
          <w:sz w:val="14"/>
          <w:szCs w:val="14"/>
        </w:rPr>
        <w:t>1’118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184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184.9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126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206’722</w:t>
      </w:r>
    </w:p>
    <w:p>
      <w:pPr>
        <w:tabs>
          <w:tab w:pos="1289" w:val="left" w:leader="none"/>
          <w:tab w:pos="1869" w:val="left" w:leader="none"/>
          <w:tab w:pos="2512" w:val="left" w:leader="none"/>
          <w:tab w:pos="2865" w:val="left" w:leader="none"/>
        </w:tabs>
        <w:spacing w:line="154" w:lineRule="exact" w:before="0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PV-Faça.:</w:t>
      </w:r>
      <w:r>
        <w:rPr>
          <w:rFonts w:ascii="Theinhardt Regular" w:hAnsi="Theinhardt Regular" w:cs="Theinhardt Regular" w:eastAsia="Theinhardt Regular"/>
          <w:spacing w:val="3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212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33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62.2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8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13’178</w:t>
      </w:r>
    </w:p>
    <w:p>
      <w:pPr>
        <w:tabs>
          <w:tab w:pos="907" w:val="left" w:leader="none"/>
          <w:tab w:pos="1878" w:val="left" w:leader="none"/>
          <w:tab w:pos="2512" w:val="left" w:leader="none"/>
          <w:tab w:pos="2927" w:val="left" w:leader="none"/>
        </w:tabs>
        <w:spacing w:line="160" w:lineRule="exact" w:before="0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PV-Toit:</w:t>
        <w:tab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45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3.9</w:t>
        <w:tab/>
      </w:r>
      <w:r>
        <w:rPr>
          <w:rFonts w:ascii="Theinhardt Regular" w:hAnsi="Theinhardt Regular" w:cs="Theinhardt Regular" w:eastAsia="Theinhardt Regular"/>
          <w:spacing w:val="-3"/>
          <w:w w:val="95"/>
          <w:sz w:val="14"/>
          <w:szCs w:val="14"/>
        </w:rPr>
        <w:t>62.7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2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2’825</w:t>
      </w:r>
    </w:p>
    <w:p>
      <w:pPr>
        <w:tabs>
          <w:tab w:pos="1866" w:val="left" w:leader="none"/>
          <w:tab w:pos="2513" w:val="left" w:leader="none"/>
          <w:tab w:pos="2924" w:val="left" w:leader="none"/>
        </w:tabs>
        <w:spacing w:line="160" w:lineRule="exact" w:before="0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PV-Park.: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91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10.2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98.5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5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8’959</w:t>
      </w:r>
    </w:p>
    <w:p>
      <w:pPr>
        <w:tabs>
          <w:tab w:pos="871" w:val="left" w:leader="none"/>
          <w:tab w:pos="1810" w:val="left" w:leader="none"/>
          <w:tab w:pos="2513" w:val="left" w:leader="none"/>
          <w:tab w:pos="2933" w:val="left" w:leader="none"/>
        </w:tabs>
        <w:spacing w:line="160" w:lineRule="exact" w:before="0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SK-Toit: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4.8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627.1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2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3’010</w:t>
      </w:r>
    </w:p>
    <w:p>
      <w:pPr>
        <w:tabs>
          <w:tab w:pos="2368" w:val="left" w:leader="none"/>
        </w:tabs>
        <w:spacing w:line="172" w:lineRule="exact" w:before="0"/>
        <w:ind w:left="17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Alimentation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énergetique: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143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</w:t>
      </w:r>
      <w:r>
        <w:rPr>
          <w:rFonts w:ascii="Theinhardt Bold" w:hAnsi="Theinhardt Bold" w:cs="Theinhardt Bold" w:eastAsia="Theinhardt Bold"/>
          <w:b/>
          <w:bCs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234’694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892" w:val="left" w:leader="none"/>
        </w:tabs>
        <w:spacing w:line="172" w:lineRule="exact" w:before="32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Bilan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énergétique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(énergie</w:t>
      </w:r>
      <w:r>
        <w:rPr>
          <w:rFonts w:ascii="Theinhardt Regular" w:hAnsi="Theinhardt Regular"/>
          <w:sz w:val="14"/>
        </w:rPr>
        <w:t> finale)   </w:t>
      </w:r>
      <w:r>
        <w:rPr>
          <w:rFonts w:ascii="Theinhardt Regular" w:hAnsi="Theinhardt Regular"/>
          <w:spacing w:val="25"/>
          <w:sz w:val="14"/>
        </w:rPr>
        <w:t> </w:t>
      </w:r>
      <w:r>
        <w:rPr>
          <w:rFonts w:ascii="Theinhardt Regular" w:hAnsi="Theinhardt Regular"/>
          <w:sz w:val="14"/>
        </w:rPr>
        <w:t>%</w:t>
        <w:tab/>
      </w:r>
      <w:r>
        <w:rPr>
          <w:rFonts w:ascii="Theinhardt Regular" w:hAnsi="Theinhardt Regular"/>
          <w:spacing w:val="-1"/>
          <w:sz w:val="14"/>
        </w:rPr>
        <w:t>kWh/a</w:t>
      </w:r>
      <w:r>
        <w:rPr>
          <w:rFonts w:ascii="Theinhardt Regular" w:hAnsi="Theinhardt Regular"/>
          <w:sz w:val="14"/>
        </w:rPr>
      </w:r>
    </w:p>
    <w:p>
      <w:pPr>
        <w:tabs>
          <w:tab w:pos="2348" w:val="left" w:leader="none"/>
        </w:tabs>
        <w:spacing w:line="160" w:lineRule="exact" w:before="0"/>
        <w:ind w:left="17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Alimentation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énergetique: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143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</w:t>
      </w:r>
      <w:r>
        <w:rPr>
          <w:rFonts w:ascii="Theinhardt Bold" w:hAnsi="Theinhardt Bold" w:cs="Theinhardt Bold" w:eastAsia="Theinhardt Bold"/>
          <w:b/>
          <w:bCs/>
          <w:spacing w:val="1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234’694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48" w:val="left" w:leader="none"/>
        </w:tabs>
        <w:spacing w:line="160" w:lineRule="exact" w:before="0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z w:val="14"/>
          <w:szCs w:val="14"/>
        </w:rPr>
        <w:t>Total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besoins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énergie: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163’742</w:t>
      </w:r>
    </w:p>
    <w:p>
      <w:pPr>
        <w:tabs>
          <w:tab w:pos="2426" w:val="left" w:leader="none"/>
          <w:tab w:pos="2831" w:val="left" w:leader="none"/>
        </w:tabs>
        <w:spacing w:line="172" w:lineRule="exact" w:before="0"/>
        <w:ind w:left="17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Surplus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d’electricité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solaire:</w:t>
        <w:tab/>
      </w:r>
      <w:r>
        <w:rPr>
          <w:rFonts w:ascii="Theinhardt Bold" w:hAnsi="Theinhardt Bold" w:cs="Theinhardt Bold" w:eastAsia="Theinhardt Bold"/>
          <w:b/>
          <w:bCs/>
          <w:spacing w:val="1"/>
          <w:w w:val="95"/>
          <w:sz w:val="14"/>
          <w:szCs w:val="14"/>
        </w:rPr>
        <w:t>43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70’952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75" w:right="79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Confirmé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par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groupe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z w:val="14"/>
        </w:rPr>
        <w:t>e </w:t>
      </w:r>
      <w:r>
        <w:rPr>
          <w:rFonts w:ascii="Theinhardt Regular" w:hAnsi="Theinhardt Regular"/>
          <w:spacing w:val="1"/>
          <w:sz w:val="14"/>
        </w:rPr>
        <w:t>le</w:t>
      </w:r>
      <w:r>
        <w:rPr>
          <w:rFonts w:ascii="Theinhardt Regular" w:hAnsi="Theinhardt Regular"/>
          <w:spacing w:val="-1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27.06.2016</w:t>
      </w:r>
      <w:r>
        <w:rPr>
          <w:rFonts w:ascii="Theinhardt Regular" w:hAnsi="Theinhardt Regular"/>
          <w:spacing w:val="22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Patric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Giot,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026 </w:t>
      </w:r>
      <w:r>
        <w:rPr>
          <w:rFonts w:ascii="Theinhardt Regular" w:hAnsi="Theinhardt Regular"/>
          <w:spacing w:val="-1"/>
          <w:sz w:val="14"/>
        </w:rPr>
        <w:t>352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50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83</w:t>
      </w:r>
    </w:p>
    <w:p>
      <w:pPr>
        <w:spacing w:line="160" w:lineRule="exact" w:before="56"/>
        <w:ind w:left="175" w:right="241" w:firstLine="0"/>
        <w:jc w:val="left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>
          <w:rFonts w:ascii="Theinhardt Light Italic" w:hAnsi="Theinhardt Light Italic" w:cs="Theinhardt Light Italic" w:eastAsia="Theinhardt Light Italic"/>
          <w:i/>
          <w:spacing w:val="-2"/>
          <w:sz w:val="14"/>
          <w:szCs w:val="14"/>
        </w:rPr>
        <w:t>*2016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est,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d’après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Meteotest,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une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«année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2"/>
          <w:sz w:val="14"/>
          <w:szCs w:val="14"/>
        </w:rPr>
        <w:t>pluvieuse»</w:t>
      </w:r>
      <w:r>
        <w:rPr>
          <w:rFonts w:ascii="Theinhardt Light Italic" w:hAnsi="Theinhardt Light Italic" w:cs="Theinhardt Light Italic" w:eastAsia="Theinhardt Light Italic"/>
          <w:i/>
          <w:spacing w:val="29"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(J.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Remund,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-5"/>
          <w:sz w:val="14"/>
          <w:szCs w:val="14"/>
        </w:rPr>
        <w:t>12.7.2016)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avec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un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ensoleillement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de</w:t>
      </w:r>
      <w:r>
        <w:rPr>
          <w:rFonts w:ascii="Theinhardt Light Italic" w:hAnsi="Theinhardt Light Italic" w:cs="Theinhardt Light Italic" w:eastAsia="Theinhardt Light Italic"/>
          <w:i/>
          <w:spacing w:val="52"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seulement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-1"/>
          <w:sz w:val="14"/>
          <w:szCs w:val="14"/>
        </w:rPr>
        <w:t>94%,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ce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qui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a été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ici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pris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en</w:t>
      </w:r>
      <w:r>
        <w:rPr>
          <w:rFonts w:ascii="Theinhardt Light Italic" w:hAnsi="Theinhardt Light Italic" w:cs="Theinhardt Light Italic" w:eastAsia="Theinhardt Light Italic"/>
          <w:i/>
          <w:sz w:val="14"/>
          <w:szCs w:val="14"/>
        </w:rPr>
        <w:t> </w:t>
      </w:r>
      <w:r>
        <w:rPr>
          <w:rFonts w:ascii="Theinhardt Light Italic" w:hAnsi="Theinhardt Light Italic" w:cs="Theinhardt Light Italic" w:eastAsia="Theinhardt Light Italic"/>
          <w:i/>
          <w:spacing w:val="1"/>
          <w:sz w:val="14"/>
          <w:szCs w:val="14"/>
        </w:rPr>
        <w:t>compte.</w:t>
      </w:r>
      <w:r>
        <w:rPr>
          <w:rFonts w:ascii="Theinhardt Light Italic" w:hAnsi="Theinhardt Light Italic" w:cs="Theinhardt Light Italic" w:eastAsia="Theinhardt Light Italic"/>
          <w:sz w:val="14"/>
          <w:szCs w:val="14"/>
        </w:rPr>
      </w:r>
    </w:p>
    <w:p>
      <w:pPr>
        <w:spacing w:before="109"/>
        <w:ind w:left="175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 w:hAnsi="Theinhardt Black"/>
          <w:b/>
          <w:spacing w:val="2"/>
          <w:sz w:val="14"/>
        </w:rPr>
        <w:t>Personnes</w:t>
      </w:r>
      <w:r>
        <w:rPr>
          <w:rFonts w:ascii="Theinhardt Black" w:hAnsi="Theinhardt Black"/>
          <w:b/>
          <w:sz w:val="14"/>
        </w:rPr>
        <w:t> </w:t>
      </w:r>
      <w:r>
        <w:rPr>
          <w:rFonts w:ascii="Theinhardt Black" w:hAnsi="Theinhardt Black"/>
          <w:b/>
          <w:spacing w:val="1"/>
          <w:sz w:val="14"/>
        </w:rPr>
        <w:t>impliquées</w:t>
      </w:r>
      <w:r>
        <w:rPr>
          <w:rFonts w:ascii="Theinhardt Black" w:hAns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75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28"/>
        <w:ind w:left="175" w:right="78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Adresse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du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bâtiment,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maître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d’ouvrage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et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autocon-</w:t>
      </w:r>
      <w:r>
        <w:rPr>
          <w:rFonts w:ascii="Theinhardt Bold" w:hAnsi="Theinhardt Bold" w:cs="Theinhardt Bold" w:eastAsia="Theinhardt Bold"/>
          <w:b/>
          <w:bCs/>
          <w:spacing w:val="3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struction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des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panneux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solaire: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0"/>
        <w:ind w:left="175" w:right="7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Soleol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SA,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Jean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Louis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Guillet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Olivier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Cherbuin,</w:t>
      </w:r>
      <w:r>
        <w:rPr>
          <w:rFonts w:ascii="Theinhardt Regular"/>
          <w:spacing w:val="34"/>
          <w:sz w:val="14"/>
        </w:rPr>
        <w:t> </w:t>
      </w:r>
      <w:r>
        <w:rPr>
          <w:rFonts w:ascii="Theinhardt Regular"/>
          <w:spacing w:val="1"/>
          <w:sz w:val="14"/>
        </w:rPr>
        <w:t>Chemin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des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Marais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1470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Estavayer-Le-Lac</w:t>
      </w:r>
    </w:p>
    <w:p>
      <w:pPr>
        <w:spacing w:line="177" w:lineRule="exact" w:before="0"/>
        <w:ind w:left="17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026 </w:t>
      </w:r>
      <w:r>
        <w:rPr>
          <w:rFonts w:ascii="Theinhardt Regular"/>
          <w:spacing w:val="1"/>
          <w:sz w:val="14"/>
        </w:rPr>
        <w:t>664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00</w:t>
      </w:r>
      <w:hyperlink r:id="rId6">
        <w:r>
          <w:rPr>
            <w:rFonts w:ascii="Theinhardt Regular"/>
            <w:spacing w:val="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info@soleol.ch</w:t>
        </w:r>
      </w:hyperlink>
    </w:p>
    <w:p>
      <w:pPr>
        <w:spacing w:line="172" w:lineRule="exact" w:before="32"/>
        <w:ind w:left="17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Ingénieur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Civil:</w:t>
      </w:r>
      <w:r>
        <w:rPr>
          <w:rFonts w:ascii="Theinhardt Bold" w:hAnsi="Theinhardt Bold"/>
          <w:sz w:val="14"/>
        </w:rPr>
      </w:r>
    </w:p>
    <w:p>
      <w:pPr>
        <w:spacing w:line="207" w:lineRule="auto" w:before="6"/>
        <w:ind w:left="175" w:right="49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Bosson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ingénieurs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conseils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SA,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1680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Romont</w:t>
      </w:r>
      <w:r>
        <w:rPr>
          <w:rFonts w:ascii="Theinhardt Regular" w:hAnsi="Theinhardt Regular"/>
          <w:spacing w:val="40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026 </w:t>
      </w:r>
      <w:r>
        <w:rPr>
          <w:rFonts w:ascii="Theinhardt Regular" w:hAnsi="Theinhardt Regular"/>
          <w:spacing w:val="-3"/>
          <w:sz w:val="14"/>
        </w:rPr>
        <w:t>651</w:t>
      </w:r>
      <w:r>
        <w:rPr>
          <w:rFonts w:ascii="Theinhardt Regular" w:hAnsi="Theinhardt Regular"/>
          <w:sz w:val="14"/>
        </w:rPr>
        <w:t> 99 </w:t>
      </w:r>
      <w:r>
        <w:rPr>
          <w:rFonts w:ascii="Theinhardt Regular" w:hAnsi="Theinhardt Regular"/>
          <w:spacing w:val="-1"/>
          <w:sz w:val="14"/>
        </w:rPr>
        <w:t>99</w:t>
      </w:r>
      <w:hyperlink r:id="rId7">
        <w:r>
          <w:rPr>
            <w:rFonts w:ascii="Theinhardt Regular" w:hAnsi="Theinhardt Regular"/>
            <w:spacing w:val="-1"/>
            <w:sz w:val="14"/>
          </w:rPr>
          <w:t>,</w:t>
        </w:r>
        <w:r>
          <w:rPr>
            <w:rFonts w:ascii="Theinhardt Regular" w:hAnsi="Theinhardt Regular"/>
            <w:sz w:val="14"/>
          </w:rPr>
          <w:t> </w:t>
        </w:r>
        <w:r>
          <w:rPr>
            <w:rFonts w:ascii="Theinhardt Regular" w:hAnsi="Theinhardt Regular"/>
            <w:spacing w:val="1"/>
            <w:sz w:val="14"/>
          </w:rPr>
          <w:t>info@bosson-ingenieurs.ch</w:t>
        </w:r>
      </w:hyperlink>
    </w:p>
    <w:p>
      <w:pPr>
        <w:spacing w:line="172" w:lineRule="exact" w:before="38"/>
        <w:ind w:left="17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A</w:t>
      </w:r>
      <w:r>
        <w:rPr>
          <w:rFonts w:ascii="Theinhardt Bold"/>
          <w:b/>
          <w:spacing w:val="2"/>
          <w:sz w:val="14"/>
        </w:rPr>
        <w:t>r</w:t>
      </w:r>
      <w:r>
        <w:rPr>
          <w:rFonts w:ascii="Theinhardt Bold"/>
          <w:b/>
          <w:spacing w:val="3"/>
          <w:sz w:val="14"/>
        </w:rPr>
        <w:t>c</w:t>
      </w:r>
      <w:r>
        <w:rPr>
          <w:rFonts w:ascii="Theinhardt Bold"/>
          <w:b/>
          <w:spacing w:val="1"/>
          <w:sz w:val="14"/>
        </w:rPr>
        <w:t>h</w:t>
      </w:r>
      <w:r>
        <w:rPr>
          <w:rFonts w:ascii="Theinhardt Bold"/>
          <w:b/>
          <w:spacing w:val="2"/>
          <w:sz w:val="14"/>
        </w:rPr>
        <w:t>i</w:t>
      </w:r>
      <w:r>
        <w:rPr>
          <w:rFonts w:ascii="Theinhardt Bold"/>
          <w:b/>
          <w:spacing w:val="1"/>
          <w:sz w:val="14"/>
        </w:rPr>
        <w:t>t</w:t>
      </w:r>
      <w:r>
        <w:rPr>
          <w:rFonts w:ascii="Theinhardt Bold"/>
          <w:b/>
          <w:spacing w:val="2"/>
          <w:sz w:val="14"/>
        </w:rPr>
        <w:t>e</w:t>
      </w:r>
      <w:r>
        <w:rPr>
          <w:rFonts w:ascii="Theinhardt Bold"/>
          <w:b/>
          <w:spacing w:val="6"/>
          <w:sz w:val="14"/>
        </w:rPr>
        <w:t>c</w:t>
      </w:r>
      <w:r>
        <w:rPr>
          <w:rFonts w:ascii="Theinhardt Bold"/>
          <w:b/>
          <w:spacing w:val="1"/>
          <w:sz w:val="14"/>
        </w:rPr>
        <w:t>te</w:t>
      </w:r>
      <w:r>
        <w:rPr>
          <w:rFonts w:ascii="Theinhardt Bold"/>
          <w:b/>
          <w:sz w:val="14"/>
        </w:rPr>
        <w:t>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75" w:right="79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Collbert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Engineering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SA,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Martin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Vonlanthen</w:t>
      </w:r>
      <w:r>
        <w:rPr>
          <w:rFonts w:ascii="Theinhardt Regular"/>
          <w:spacing w:val="32"/>
          <w:sz w:val="14"/>
        </w:rPr>
        <w:t> </w:t>
      </w:r>
      <w:r>
        <w:rPr>
          <w:rFonts w:ascii="Theinhardt Regular"/>
          <w:spacing w:val="-3"/>
          <w:sz w:val="14"/>
        </w:rPr>
        <w:t>1763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Granges-Paccot,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026 466 </w:t>
      </w:r>
      <w:r>
        <w:rPr>
          <w:rFonts w:ascii="Theinhardt Regular"/>
          <w:spacing w:val="-5"/>
          <w:sz w:val="14"/>
        </w:rPr>
        <w:t>51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31</w:t>
      </w:r>
    </w:p>
    <w:p>
      <w:pPr>
        <w:spacing w:after="0" w:line="207" w:lineRule="auto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620" w:right="440"/>
          <w:cols w:num="3" w:equalWidth="0">
            <w:col w:w="3576" w:space="40"/>
            <w:col w:w="3543" w:space="40"/>
            <w:col w:w="3651"/>
          </w:cols>
        </w:sectPr>
      </w:pPr>
    </w:p>
    <w:p>
      <w:pPr>
        <w:spacing w:line="240" w:lineRule="auto" w:before="2"/>
        <w:rPr>
          <w:rFonts w:ascii="Theinhardt Regular" w:hAnsi="Theinhardt Regular" w:cs="Theinhardt Regular" w:eastAsia="Theinhardt Regular"/>
          <w:sz w:val="3"/>
          <w:szCs w:val="3"/>
        </w:rPr>
      </w:pPr>
    </w:p>
    <w:p>
      <w:pPr>
        <w:spacing w:line="20" w:lineRule="atLeast"/>
        <w:ind w:left="737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8"/>
          <w:szCs w:val="8"/>
        </w:rPr>
      </w:pPr>
    </w:p>
    <w:p>
      <w:pPr>
        <w:spacing w:line="200" w:lineRule="atLeast"/>
        <w:ind w:left="737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5537" cy="1158240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537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373" w:val="left" w:leader="none"/>
        </w:tabs>
        <w:spacing w:before="15"/>
        <w:ind w:left="23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2.52pt;margin-top:-226.717499pt;width:345.827pt;height:226.644pt;mso-position-horizontal-relative:page;mso-position-vertical-relative:paragraph;z-index:1216" type="#_x0000_t75" stroked="false">
            <v:imagedata r:id="rId9" o:title=""/>
          </v:shape>
        </w:pict>
      </w:r>
      <w:r>
        <w:rPr>
          <w:rFonts w:ascii="Theinhardt Bold"/>
          <w:b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2"/>
          <w:szCs w:val="12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2"/>
          <w:szCs w:val="12"/>
        </w:rPr>
        <w:sectPr>
          <w:type w:val="continuous"/>
          <w:pgSz w:w="11910" w:h="16840"/>
          <w:pgMar w:top="860" w:bottom="280" w:left="620" w:right="440"/>
        </w:sectPr>
      </w:pPr>
    </w:p>
    <w:p>
      <w:pPr>
        <w:numPr>
          <w:ilvl w:val="0"/>
          <w:numId w:val="1"/>
        </w:numPr>
        <w:tabs>
          <w:tab w:pos="458" w:val="left" w:leader="none"/>
        </w:tabs>
        <w:spacing w:line="160" w:lineRule="exact" w:before="76"/>
        <w:ind w:left="45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Vue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générale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la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nouvelle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centrale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à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énergies</w:t>
      </w:r>
      <w:r>
        <w:rPr>
          <w:rFonts w:ascii="Theinhardt Bold" w:hAnsi="Theinhardt Bold" w:cs="Theinhardt Bold" w:eastAsia="Theinhardt Bold"/>
          <w:b/>
          <w:bCs/>
          <w:spacing w:val="6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renouvelables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Soleol SA avec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le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parking</w:t>
      </w:r>
      <w:r>
        <w:rPr>
          <w:rFonts w:ascii="Theinhardt Bold" w:hAnsi="Theinhardt Bold" w:cs="Theinhardt Bold" w:eastAsia="Theinhardt Bold"/>
          <w:b/>
          <w:bCs/>
          <w:spacing w:val="3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couvert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panneaux 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PV.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Le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BEP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produit un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total</w:t>
      </w:r>
      <w:r>
        <w:rPr>
          <w:rFonts w:ascii="Theinhardt Bold" w:hAnsi="Theinhardt Bold" w:cs="Theinhardt Bold" w:eastAsia="Theinhardt Bold"/>
          <w:b/>
          <w:bCs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234’700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courant solaire.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452" w:val="left" w:leader="none"/>
        </w:tabs>
        <w:spacing w:line="160" w:lineRule="exact" w:before="76"/>
        <w:ind w:left="451" w:right="3732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br w:type="column"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Aperçu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la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partie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bureaux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avec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le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parking</w:t>
      </w:r>
      <w:r>
        <w:rPr>
          <w:rFonts w:ascii="Theinhardt Bold" w:hAnsi="Theinhardt Bold" w:cs="Theinhardt Bold" w:eastAsia="Theinhardt Bold"/>
          <w:b/>
          <w:bCs/>
          <w:spacing w:val="3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couvert.</w:t>
      </w:r>
      <w:r>
        <w:rPr>
          <w:rFonts w:ascii="Theinhardt Bold" w:hAnsi="Theinhardt Bold" w:cs="Theinhardt Bold" w:eastAsia="Theinhardt Bold"/>
          <w:b/>
          <w:bCs/>
          <w:spacing w:val="-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4"/>
          <w:sz w:val="14"/>
          <w:szCs w:val="14"/>
        </w:rPr>
        <w:t>L’excédent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71’000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kWh/a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permettrait</w:t>
      </w:r>
      <w:r>
        <w:rPr>
          <w:rFonts w:ascii="Theinhardt Bold" w:hAnsi="Theinhardt Bold" w:cs="Theinhardt Bold" w:eastAsia="Theinhardt Bold"/>
          <w:b/>
          <w:bCs/>
          <w:spacing w:val="4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faire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circuler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50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véhicules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électriques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zéro</w:t>
      </w:r>
      <w:r>
        <w:rPr>
          <w:rFonts w:ascii="Theinhardt Bold" w:hAnsi="Theinhardt Bold" w:cs="Theinhardt Bold" w:eastAsia="Theinhardt Bold"/>
          <w:b/>
          <w:bCs/>
          <w:spacing w:val="3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émission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(12‘000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km)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chaque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année.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620" w:right="440"/>
          <w:cols w:num="2" w:equalWidth="0">
            <w:col w:w="3538" w:space="40"/>
            <w:col w:w="7272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78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63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62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Light Italic">
    <w:altName w:val="Theinhardt Light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45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765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73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81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89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97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305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613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921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86" w:firstLine="226"/>
    </w:pPr>
    <w:rPr>
      <w:rFonts w:ascii="Theinhardt Regular" w:hAnsi="Theinhardt Regular" w:eastAsia="Theinhardt Regular"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32"/>
      <w:ind w:left="98"/>
      <w:outlineLvl w:val="1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@soleol.ch" TargetMode="External"/><Relationship Id="rId7" Type="http://schemas.openxmlformats.org/officeDocument/2006/relationships/hyperlink" Target="mailto:info@bosson-ingenieurs.ch" TargetMode="External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2016-09-21T16:07:40Z</dcterms:created>
  <dcterms:modified xsi:type="dcterms:W3CDTF">2016-09-21T16:07:40Z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