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62" w:val="left" w:leader="none"/>
        </w:tabs>
        <w:spacing w:line="230" w:lineRule="exact" w:before="38"/>
        <w:ind w:left="123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3.373901pt;margin-top:14.147207pt;width:.1pt;height:.1pt;mso-position-horizontal-relative:page;mso-position-vertical-relative:paragraph;z-index:-7144" coordorigin="867,283" coordsize="2,2">
            <v:shape style="position:absolute;left:867;top:283;width:2;height:2" coordorigin="867,283" coordsize="0,0" path="m867,283l867,28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5.546906pt;margin-top:14.147207pt;width:.1pt;height:.1pt;mso-position-horizontal-relative:page;mso-position-vertical-relative:paragraph;z-index:1120" coordorigin="3311,283" coordsize="2,2">
            <v:shape style="position:absolute;left:3311;top:283;width:2;height:2" coordorigin="3311,283" coordsize="0,0" path="m3311,283l3311,28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3.373901pt;margin-top:25.647207pt;width:.1pt;height:.1pt;mso-position-horizontal-relative:page;mso-position-vertical-relative:paragraph;z-index:-7096" coordorigin="867,513" coordsize="2,2">
            <v:shape style="position:absolute;left:867;top:513;width:2;height:2" coordorigin="867,513" coordsize="0,0" path="m867,513l867,51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5.546906pt;margin-top:25.647207pt;width:.1pt;height:.1pt;mso-position-horizontal-relative:page;mso-position-vertical-relative:paragraph;z-index:1168" coordorigin="3311,513" coordsize="2,2">
            <v:shape style="position:absolute;left:3311;top:513;width:2;height:2" coordorigin="3311,513" coordsize="0,0" path="m3311,513l3311,51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42.520302pt;margin-top:52.369209pt;width:82.2043pt;height:60.2048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8"/>
        <w:ind w:left="110" w:right="10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Thommen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Heiligenschwendi/BE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1’000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ü.M.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1981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erbaut</w:t>
      </w:r>
      <w:r>
        <w:rPr>
          <w:rFonts w:ascii="Theinhardt Bold" w:hAnsi="Theinhardt Bold" w:cs="Theinhardt Bold" w:eastAsia="Theinhardt Bold"/>
          <w:b/>
          <w:bCs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2015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umfassend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saniert.</w:t>
      </w:r>
      <w:r>
        <w:rPr>
          <w:rFonts w:ascii="Theinhardt Bold" w:hAnsi="Theinhardt Bold" w:cs="Theinhardt Bold" w:eastAsia="Theinhardt Bold"/>
          <w:b/>
          <w:bCs/>
          <w:spacing w:val="-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konsumierte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Gebäude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70’900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7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Wärmedämmung,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LED-Beleuchtung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energieeffizienten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Haushaltgeräten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reduzierte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Energiebedarf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85%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10’900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südorientierten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befinden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ganzflä-</w:t>
      </w:r>
      <w:r>
        <w:rPr>
          <w:rFonts w:ascii="Theinhardt Bold" w:hAnsi="Theinhardt Bold" w:cs="Theinhardt Bold" w:eastAsia="Theinhardt Bold"/>
          <w:b/>
          <w:bCs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chig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integrierte,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monokristalline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Solarschindeln,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welche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18’400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kWh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Strom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produ-</w:t>
      </w:r>
      <w:r>
        <w:rPr>
          <w:rFonts w:ascii="Theinhardt Bold" w:hAnsi="Theinhardt Bold" w:cs="Theinhardt Bold" w:eastAsia="Theinhardt Bold"/>
          <w:b/>
          <w:bCs/>
          <w:spacing w:val="7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zieren.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Sie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verhelfen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EFH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zum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PlusEnergieBau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(PEB).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PEB-EFH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Thommen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erreicht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9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169%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Beispiel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optisch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ansprechende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Altbausa-</w:t>
      </w:r>
      <w:r>
        <w:rPr>
          <w:rFonts w:ascii="Theinhardt Bold" w:hAnsi="Theinhardt Bold" w:cs="Theinhardt Bold" w:eastAsia="Theinhardt Bold"/>
          <w:b/>
          <w:bCs/>
          <w:spacing w:val="8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nierung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mit einer wesentlichen Komfortverbesserung.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40" w:bottom="280" w:left="740" w:right="460"/>
          <w:cols w:num="2" w:equalWidth="0">
            <w:col w:w="2563" w:space="116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6"/>
          <w:szCs w:val="26"/>
        </w:rPr>
      </w:pPr>
    </w:p>
    <w:p>
      <w:pPr>
        <w:spacing w:before="5"/>
        <w:ind w:left="11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1"/>
          <w:sz w:val="40"/>
        </w:rPr>
        <w:t>169%-PEB-EFH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1"/>
          <w:sz w:val="40"/>
        </w:rPr>
        <w:t>Thommen,</w:t>
      </w:r>
      <w:r>
        <w:rPr>
          <w:rFonts w:ascii="Theinhardt Black"/>
          <w:b/>
          <w:color w:val="0067B1"/>
          <w:sz w:val="40"/>
        </w:rPr>
        <w:t> 3625 </w:t>
      </w:r>
      <w:r>
        <w:rPr>
          <w:rFonts w:ascii="Theinhardt Black"/>
          <w:b/>
          <w:color w:val="0067B1"/>
          <w:spacing w:val="3"/>
          <w:sz w:val="40"/>
        </w:rPr>
        <w:t>Heiligenschwendi/BE</w:t>
      </w:r>
      <w:r>
        <w:rPr>
          <w:rFonts w:ascii="Theinhardt Black"/>
          <w:sz w:val="40"/>
        </w:rPr>
      </w:r>
    </w:p>
    <w:p>
      <w:pPr>
        <w:spacing w:line="240" w:lineRule="auto" w:before="4"/>
        <w:rPr>
          <w:rFonts w:ascii="Theinhardt Black" w:hAnsi="Theinhardt Black" w:cs="Theinhardt Black" w:eastAsia="Theinhardt Black"/>
          <w:b/>
          <w:bCs/>
          <w:sz w:val="18"/>
          <w:szCs w:val="18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18"/>
          <w:szCs w:val="18"/>
        </w:rPr>
        <w:sectPr>
          <w:type w:val="continuous"/>
          <w:pgSz w:w="11910" w:h="16840"/>
          <w:pgMar w:top="840" w:bottom="280" w:left="740" w:right="460"/>
        </w:sectPr>
      </w:pPr>
    </w:p>
    <w:p>
      <w:pPr>
        <w:spacing w:line="240" w:lineRule="auto" w:before="5"/>
        <w:rPr>
          <w:rFonts w:ascii="Theinhardt Black" w:hAnsi="Theinhardt Black" w:cs="Theinhardt Black" w:eastAsia="Theinhardt Black"/>
          <w:b/>
          <w:bCs/>
          <w:sz w:val="12"/>
          <w:szCs w:val="12"/>
        </w:rPr>
      </w:pPr>
    </w:p>
    <w:p>
      <w:pPr>
        <w:pStyle w:val="BodyText"/>
        <w:spacing w:line="242" w:lineRule="auto"/>
        <w:ind w:right="0" w:firstLine="0"/>
        <w:jc w:val="both"/>
      </w:pPr>
      <w:r>
        <w:rPr>
          <w:spacing w:val="1"/>
        </w:rPr>
        <w:t>Das</w:t>
      </w:r>
      <w:r>
        <w:rPr>
          <w:spacing w:val="38"/>
        </w:rPr>
        <w:t> </w:t>
      </w:r>
      <w:r>
        <w:rPr>
          <w:spacing w:val="-2"/>
        </w:rPr>
        <w:t>PEB-EFH</w:t>
      </w:r>
      <w:r>
        <w:rPr>
          <w:spacing w:val="39"/>
        </w:rPr>
        <w:t> </w:t>
      </w:r>
      <w:r>
        <w:rPr/>
        <w:t>der</w:t>
      </w:r>
      <w:r>
        <w:rPr>
          <w:spacing w:val="38"/>
        </w:rPr>
        <w:t> </w:t>
      </w:r>
      <w:r>
        <w:rPr>
          <w:spacing w:val="-1"/>
        </w:rPr>
        <w:t>Familie</w:t>
      </w:r>
      <w:r>
        <w:rPr>
          <w:spacing w:val="25"/>
        </w:rPr>
        <w:t> </w:t>
      </w:r>
      <w:r>
        <w:rPr>
          <w:spacing w:val="-1"/>
        </w:rPr>
        <w:t>Thommen</w:t>
      </w:r>
      <w:r>
        <w:rPr>
          <w:spacing w:val="39"/>
        </w:rPr>
        <w:t> </w:t>
      </w:r>
      <w:r>
        <w:rPr/>
        <w:t>liegt</w:t>
      </w:r>
      <w:r>
        <w:rPr>
          <w:spacing w:val="25"/>
        </w:rPr>
        <w:t> </w:t>
      </w:r>
      <w:r>
        <w:rPr/>
        <w:t>auf</w:t>
      </w:r>
      <w:r>
        <w:rPr>
          <w:spacing w:val="32"/>
        </w:rPr>
        <w:t> </w:t>
      </w:r>
      <w:r>
        <w:rPr/>
        <w:t>1’000</w:t>
      </w:r>
      <w:r>
        <w:rPr>
          <w:spacing w:val="33"/>
        </w:rPr>
        <w:t> </w:t>
      </w:r>
      <w:r>
        <w:rPr/>
        <w:t>m</w:t>
      </w:r>
      <w:r>
        <w:rPr>
          <w:spacing w:val="32"/>
        </w:rPr>
        <w:t> </w:t>
      </w:r>
      <w:r>
        <w:rPr/>
        <w:t>ü.</w:t>
      </w:r>
      <w:r>
        <w:rPr>
          <w:spacing w:val="21"/>
        </w:rPr>
        <w:t> </w:t>
      </w:r>
      <w:r>
        <w:rPr/>
        <w:t>M.</w:t>
      </w:r>
      <w:r>
        <w:rPr>
          <w:spacing w:val="21"/>
        </w:rPr>
        <w:t> </w:t>
      </w:r>
      <w:r>
        <w:rPr/>
        <w:t>und</w:t>
      </w:r>
      <w:r>
        <w:rPr>
          <w:spacing w:val="33"/>
        </w:rPr>
        <w:t> </w:t>
      </w:r>
      <w:r>
        <w:rPr/>
        <w:t>bietet</w:t>
      </w:r>
      <w:r>
        <w:rPr>
          <w:spacing w:val="33"/>
        </w:rPr>
        <w:t> </w:t>
      </w:r>
      <w:r>
        <w:rPr/>
        <w:t>eine</w:t>
      </w:r>
      <w:r>
        <w:rPr>
          <w:spacing w:val="31"/>
        </w:rPr>
        <w:t> </w:t>
      </w:r>
      <w:r>
        <w:rPr/>
        <w:t>ideale</w:t>
      </w:r>
      <w:r>
        <w:rPr>
          <w:spacing w:val="21"/>
        </w:rPr>
        <w:t> </w:t>
      </w:r>
      <w:r>
        <w:rPr/>
        <w:t>Seesicht. </w:t>
      </w:r>
      <w:r>
        <w:rPr>
          <w:spacing w:val="-1"/>
        </w:rPr>
        <w:t>Die</w:t>
      </w:r>
      <w:r>
        <w:rPr>
          <w:spacing w:val="11"/>
        </w:rPr>
        <w:t> </w:t>
      </w:r>
      <w:r>
        <w:rPr>
          <w:spacing w:val="-1"/>
        </w:rPr>
        <w:t>Familie</w:t>
      </w:r>
      <w:r>
        <w:rPr>
          <w:spacing w:val="11"/>
        </w:rPr>
        <w:t> </w:t>
      </w:r>
      <w:r>
        <w:rPr/>
        <w:t>verwandelte</w:t>
      </w:r>
      <w:r>
        <w:rPr>
          <w:spacing w:val="11"/>
        </w:rPr>
        <w:t> </w:t>
      </w:r>
      <w:r>
        <w:rPr/>
        <w:t>das</w:t>
      </w:r>
      <w:r>
        <w:rPr>
          <w:spacing w:val="11"/>
        </w:rPr>
        <w:t> </w:t>
      </w:r>
      <w:r>
        <w:rPr>
          <w:spacing w:val="-2"/>
        </w:rPr>
        <w:t>EFH</w:t>
      </w:r>
      <w:r>
        <w:rPr>
          <w:spacing w:val="28"/>
        </w:rPr>
        <w:t> </w:t>
      </w:r>
      <w:r>
        <w:rPr/>
        <w:t>in</w:t>
      </w:r>
      <w:r>
        <w:rPr>
          <w:spacing w:val="33"/>
        </w:rPr>
        <w:t> </w:t>
      </w:r>
      <w:r>
        <w:rPr>
          <w:spacing w:val="-1"/>
        </w:rPr>
        <w:t>Heiligenschwendi</w:t>
      </w:r>
      <w:r>
        <w:rPr>
          <w:spacing w:val="34"/>
        </w:rPr>
        <w:t> </w:t>
      </w:r>
      <w:r>
        <w:rPr/>
        <w:t>von</w:t>
      </w:r>
      <w:r>
        <w:rPr>
          <w:spacing w:val="33"/>
        </w:rPr>
        <w:t> </w:t>
      </w:r>
      <w:r>
        <w:rPr/>
        <w:t>einer</w:t>
      </w:r>
      <w:r>
        <w:rPr>
          <w:spacing w:val="34"/>
        </w:rPr>
        <w:t> </w:t>
      </w:r>
      <w:r>
        <w:rPr>
          <w:spacing w:val="-1"/>
        </w:rPr>
        <w:t>Energie-</w:t>
      </w:r>
      <w:r>
        <w:rPr>
          <w:spacing w:val="30"/>
        </w:rPr>
        <w:t> </w:t>
      </w:r>
      <w:r>
        <w:rPr>
          <w:spacing w:val="-1"/>
        </w:rPr>
        <w:t>schleuder</w:t>
      </w:r>
      <w:r>
        <w:rPr>
          <w:spacing w:val="-7"/>
        </w:rPr>
        <w:t> </w:t>
      </w:r>
      <w:r>
        <w:rPr/>
        <w:t>mit</w:t>
      </w:r>
      <w:r>
        <w:rPr>
          <w:spacing w:val="-7"/>
        </w:rPr>
        <w:t> </w:t>
      </w:r>
      <w:r>
        <w:rPr>
          <w:spacing w:val="-1"/>
        </w:rPr>
        <w:t>Ölheizung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einen</w:t>
      </w:r>
      <w:r>
        <w:rPr>
          <w:spacing w:val="-7"/>
        </w:rPr>
        <w:t> </w:t>
      </w:r>
      <w:r>
        <w:rPr/>
        <w:t>attraktiven</w:t>
      </w:r>
      <w:r>
        <w:rPr>
          <w:spacing w:val="41"/>
        </w:rPr>
        <w:t> </w:t>
      </w:r>
      <w:r>
        <w:rPr>
          <w:spacing w:val="-1"/>
        </w:rPr>
        <w:t>PlusEnergieBau.</w:t>
      </w:r>
      <w:r>
        <w:rPr>
          <w:spacing w:val="8"/>
        </w:rPr>
        <w:t> </w:t>
      </w:r>
      <w:r>
        <w:rPr>
          <w:spacing w:val="-4"/>
        </w:rPr>
        <w:t>Vor</w:t>
      </w:r>
      <w:r>
        <w:rPr>
          <w:spacing w:val="29"/>
        </w:rPr>
        <w:t> </w:t>
      </w:r>
      <w:r>
        <w:rPr/>
        <w:t>der</w:t>
      </w:r>
      <w:r>
        <w:rPr>
          <w:spacing w:val="30"/>
        </w:rPr>
        <w:t> </w:t>
      </w:r>
      <w:r>
        <w:rPr/>
        <w:t>Sanierung</w:t>
      </w:r>
      <w:r>
        <w:rPr>
          <w:spacing w:val="29"/>
        </w:rPr>
        <w:t> </w:t>
      </w:r>
      <w:r>
        <w:rPr/>
        <w:t>ver-</w:t>
      </w:r>
      <w:r>
        <w:rPr>
          <w:spacing w:val="30"/>
        </w:rPr>
        <w:t> </w:t>
      </w:r>
      <w:r>
        <w:rPr>
          <w:spacing w:val="-1"/>
        </w:rPr>
        <w:t>brauchte</w:t>
      </w:r>
      <w:r>
        <w:rPr>
          <w:spacing w:val="2"/>
        </w:rPr>
        <w:t> </w:t>
      </w:r>
      <w:r>
        <w:rPr/>
        <w:t>das</w:t>
      </w:r>
      <w:r>
        <w:rPr>
          <w:spacing w:val="2"/>
        </w:rPr>
        <w:t> </w:t>
      </w:r>
      <w:r>
        <w:rPr>
          <w:spacing w:val="-2"/>
        </w:rPr>
        <w:t>EFH</w:t>
      </w:r>
      <w:r>
        <w:rPr>
          <w:spacing w:val="2"/>
        </w:rPr>
        <w:t> </w:t>
      </w:r>
      <w:r>
        <w:rPr/>
        <w:t>70’900</w:t>
      </w:r>
      <w:r>
        <w:rPr>
          <w:spacing w:val="2"/>
        </w:rPr>
        <w:t> </w:t>
      </w:r>
      <w:r>
        <w:rPr>
          <w:spacing w:val="-2"/>
        </w:rPr>
        <w:t>kWh/a.</w:t>
      </w:r>
      <w:r>
        <w:rPr>
          <w:spacing w:val="-9"/>
        </w:rPr>
        <w:t> </w:t>
      </w:r>
      <w:r>
        <w:rPr>
          <w:spacing w:val="-1"/>
        </w:rPr>
        <w:t>Die</w:t>
      </w:r>
      <w:r>
        <w:rPr>
          <w:spacing w:val="2"/>
        </w:rPr>
        <w:t> </w:t>
      </w:r>
      <w:r>
        <w:rPr/>
        <w:t>neue</w:t>
      </w:r>
      <w:r>
        <w:rPr>
          <w:spacing w:val="27"/>
        </w:rPr>
        <w:t> </w:t>
      </w:r>
      <w:r>
        <w:rPr>
          <w:spacing w:val="-1"/>
        </w:rPr>
        <w:t>Wärmedämmung,</w:t>
      </w:r>
      <w:r>
        <w:rPr>
          <w:spacing w:val="-21"/>
        </w:rPr>
        <w:t> </w:t>
      </w:r>
      <w:r>
        <w:rPr/>
        <w:t>der</w:t>
      </w:r>
      <w:r>
        <w:rPr>
          <w:spacing w:val="-11"/>
        </w:rPr>
        <w:t> </w:t>
      </w:r>
      <w:r>
        <w:rPr/>
        <w:t>hohe</w:t>
      </w:r>
      <w:r>
        <w:rPr>
          <w:spacing w:val="-11"/>
        </w:rPr>
        <w:t> </w:t>
      </w:r>
      <w:r>
        <w:rPr/>
        <w:t>Anteil</w:t>
      </w:r>
      <w:r>
        <w:rPr>
          <w:spacing w:val="-11"/>
        </w:rPr>
        <w:t> </w:t>
      </w:r>
      <w:r>
        <w:rPr/>
        <w:t>effizienter</w:t>
      </w:r>
      <w:r>
        <w:rPr>
          <w:spacing w:val="27"/>
        </w:rPr>
        <w:t> </w:t>
      </w:r>
      <w:r>
        <w:rPr>
          <w:spacing w:val="-1"/>
        </w:rPr>
        <w:t>LED-Beleuchtung</w:t>
      </w:r>
      <w:r>
        <w:rPr>
          <w:spacing w:val="6"/>
        </w:rPr>
        <w:t> </w:t>
      </w:r>
      <w:r>
        <w:rPr/>
        <w:t>und</w:t>
      </w:r>
      <w:r>
        <w:rPr>
          <w:spacing w:val="6"/>
        </w:rPr>
        <w:t> </w:t>
      </w:r>
      <w:r>
        <w:rPr/>
        <w:t>eine</w:t>
      </w:r>
      <w:r>
        <w:rPr>
          <w:spacing w:val="6"/>
        </w:rPr>
        <w:t> </w:t>
      </w:r>
      <w:r>
        <w:rPr>
          <w:spacing w:val="-1"/>
        </w:rPr>
        <w:t>solarbetriebene</w:t>
      </w:r>
      <w:r>
        <w:rPr>
          <w:spacing w:val="45"/>
        </w:rPr>
        <w:t> </w:t>
      </w:r>
      <w:r>
        <w:rPr>
          <w:spacing w:val="-1"/>
        </w:rPr>
        <w:t>Wärmepumpe</w:t>
      </w:r>
      <w:r>
        <w:rPr>
          <w:spacing w:val="37"/>
        </w:rPr>
        <w:t> </w:t>
      </w:r>
      <w:r>
        <w:rPr>
          <w:spacing w:val="-1"/>
        </w:rPr>
        <w:t>reduzierten</w:t>
      </w:r>
      <w:r>
        <w:rPr>
          <w:spacing w:val="38"/>
        </w:rPr>
        <w:t> </w:t>
      </w:r>
      <w:r>
        <w:rPr/>
        <w:t>den</w:t>
      </w:r>
      <w:r>
        <w:rPr>
          <w:spacing w:val="37"/>
        </w:rPr>
        <w:t> </w:t>
      </w:r>
      <w:r>
        <w:rPr>
          <w:spacing w:val="-1"/>
        </w:rPr>
        <w:t>Energiebe-</w:t>
      </w:r>
      <w:r>
        <w:rPr>
          <w:spacing w:val="33"/>
        </w:rPr>
        <w:t> </w:t>
      </w:r>
      <w:r>
        <w:rPr>
          <w:spacing w:val="1"/>
        </w:rPr>
        <w:t>darf</w:t>
      </w:r>
      <w:r>
        <w:rPr/>
        <w:t> um 85% auf 10’900 </w:t>
      </w:r>
      <w:r>
        <w:rPr>
          <w:spacing w:val="-2"/>
        </w:rPr>
        <w:t>kWh/a.</w:t>
      </w:r>
    </w:p>
    <w:p>
      <w:pPr>
        <w:pStyle w:val="BodyText"/>
        <w:spacing w:line="242" w:lineRule="auto"/>
        <w:ind w:right="0"/>
        <w:jc w:val="both"/>
      </w:pPr>
      <w:r>
        <w:rPr/>
        <w:t>Mit</w:t>
      </w:r>
      <w:r>
        <w:rPr>
          <w:spacing w:val="-8"/>
        </w:rPr>
        <w:t> </w:t>
      </w:r>
      <w:r>
        <w:rPr/>
        <w:t>der</w:t>
      </w:r>
      <w:r>
        <w:rPr>
          <w:spacing w:val="-8"/>
        </w:rPr>
        <w:t> </w:t>
      </w:r>
      <w:r>
        <w:rPr/>
        <w:t>Installation</w:t>
      </w:r>
      <w:r>
        <w:rPr>
          <w:spacing w:val="-7"/>
        </w:rPr>
        <w:t> </w:t>
      </w:r>
      <w:r>
        <w:rPr/>
        <w:t>der</w:t>
      </w:r>
      <w:r>
        <w:rPr>
          <w:spacing w:val="-8"/>
        </w:rPr>
        <w:t> </w:t>
      </w:r>
      <w:r>
        <w:rPr/>
        <w:t>120</w:t>
      </w:r>
      <w:r>
        <w:rPr>
          <w:spacing w:val="-8"/>
        </w:rPr>
        <w:t> </w:t>
      </w:r>
      <w:r>
        <w:rPr/>
        <w:t>m</w:t>
      </w:r>
      <w:r>
        <w:rPr>
          <w:position w:val="6"/>
          <w:sz w:val="10"/>
          <w:szCs w:val="10"/>
        </w:rPr>
        <w:t>2</w:t>
      </w:r>
      <w:r>
        <w:rPr>
          <w:spacing w:val="-3"/>
          <w:position w:val="6"/>
          <w:sz w:val="10"/>
          <w:szCs w:val="10"/>
        </w:rPr>
        <w:t> </w:t>
      </w:r>
      <w:r>
        <w:rPr>
          <w:spacing w:val="-1"/>
        </w:rPr>
        <w:t>ästhetisch</w:t>
      </w:r>
      <w:r>
        <w:rPr>
          <w:spacing w:val="24"/>
        </w:rPr>
        <w:t> </w:t>
      </w:r>
      <w:r>
        <w:rPr>
          <w:spacing w:val="-1"/>
        </w:rPr>
        <w:t>ansprechenden</w:t>
      </w:r>
      <w:r>
        <w:rPr>
          <w:spacing w:val="19"/>
        </w:rPr>
        <w:t> </w:t>
      </w:r>
      <w:r>
        <w:rPr>
          <w:spacing w:val="-1"/>
        </w:rPr>
        <w:t>Solarschindeln</w:t>
      </w:r>
      <w:r>
        <w:rPr>
          <w:spacing w:val="19"/>
        </w:rPr>
        <w:t> </w:t>
      </w:r>
      <w:r>
        <w:rPr/>
        <w:t>optimierte</w:t>
      </w:r>
      <w:r>
        <w:rPr>
          <w:spacing w:val="41"/>
        </w:rPr>
        <w:t> </w:t>
      </w:r>
      <w:r>
        <w:rPr/>
        <w:t>die</w:t>
      </w:r>
      <w:r>
        <w:rPr>
          <w:spacing w:val="20"/>
        </w:rPr>
        <w:t> </w:t>
      </w:r>
      <w:r>
        <w:rPr>
          <w:spacing w:val="-1"/>
        </w:rPr>
        <w:t>Familie</w:t>
      </w:r>
      <w:r>
        <w:rPr>
          <w:spacing w:val="6"/>
        </w:rPr>
        <w:t> </w:t>
      </w:r>
      <w:r>
        <w:rPr>
          <w:spacing w:val="-1"/>
        </w:rPr>
        <w:t>Thommen</w:t>
      </w:r>
      <w:r>
        <w:rPr>
          <w:spacing w:val="20"/>
        </w:rPr>
        <w:t> </w:t>
      </w:r>
      <w:r>
        <w:rPr/>
        <w:t>ihr</w:t>
      </w:r>
      <w:r>
        <w:rPr>
          <w:spacing w:val="20"/>
        </w:rPr>
        <w:t> </w:t>
      </w:r>
      <w:r>
        <w:rPr>
          <w:spacing w:val="-2"/>
        </w:rPr>
        <w:t>EFH</w:t>
      </w:r>
      <w:r>
        <w:rPr>
          <w:spacing w:val="20"/>
        </w:rPr>
        <w:t> </w:t>
      </w:r>
      <w:r>
        <w:rPr>
          <w:spacing w:val="-1"/>
        </w:rPr>
        <w:t>optisch</w:t>
      </w:r>
      <w:r>
        <w:rPr>
          <w:spacing w:val="20"/>
        </w:rPr>
        <w:t> </w:t>
      </w:r>
      <w:r>
        <w:rPr/>
        <w:t>und</w:t>
      </w:r>
      <w:r>
        <w:rPr>
          <w:spacing w:val="29"/>
        </w:rPr>
        <w:t> </w:t>
      </w:r>
      <w:r>
        <w:rPr>
          <w:spacing w:val="-1"/>
        </w:rPr>
        <w:t>energetisch.</w:t>
      </w:r>
      <w:r>
        <w:rPr>
          <w:spacing w:val="8"/>
        </w:rPr>
        <w:t> </w:t>
      </w:r>
      <w:r>
        <w:rPr>
          <w:spacing w:val="-1"/>
        </w:rPr>
        <w:t>Die</w:t>
      </w:r>
      <w:r>
        <w:rPr>
          <w:spacing w:val="19"/>
        </w:rPr>
        <w:t> </w:t>
      </w:r>
      <w:r>
        <w:rPr/>
        <w:t>vollflächige,</w:t>
      </w:r>
      <w:r>
        <w:rPr>
          <w:spacing w:val="8"/>
        </w:rPr>
        <w:t> </w:t>
      </w:r>
      <w:r>
        <w:rPr/>
        <w:t>monokristalli-</w:t>
      </w:r>
      <w:r>
        <w:rPr>
          <w:spacing w:val="24"/>
        </w:rPr>
        <w:t> </w:t>
      </w:r>
      <w:r>
        <w:rPr/>
        <w:t>ne</w:t>
      </w:r>
      <w:r>
        <w:rPr>
          <w:spacing w:val="1"/>
        </w:rPr>
        <w:t> </w:t>
      </w:r>
      <w:r>
        <w:rPr>
          <w:spacing w:val="-1"/>
        </w:rPr>
        <w:t>Anlage</w:t>
      </w:r>
      <w:r>
        <w:rPr>
          <w:spacing w:val="1"/>
        </w:rPr>
        <w:t> </w:t>
      </w:r>
      <w:r>
        <w:rPr/>
        <w:t>mit</w:t>
      </w:r>
      <w:r>
        <w:rPr>
          <w:spacing w:val="1"/>
        </w:rPr>
        <w:t> </w:t>
      </w:r>
      <w:r>
        <w:rPr>
          <w:spacing w:val="-1"/>
        </w:rPr>
        <w:t>Südausrichtung</w:t>
      </w:r>
      <w:r>
        <w:rPr>
          <w:spacing w:val="1"/>
        </w:rPr>
        <w:t> </w:t>
      </w:r>
      <w:r>
        <w:rPr/>
        <w:t>erzeugt</w:t>
      </w:r>
      <w:r>
        <w:rPr>
          <w:spacing w:val="1"/>
        </w:rPr>
        <w:t> </w:t>
      </w:r>
      <w:r>
        <w:rPr>
          <w:spacing w:val="-1"/>
        </w:rPr>
        <w:t>jähr-</w:t>
      </w:r>
      <w:r>
        <w:rPr>
          <w:spacing w:val="43"/>
        </w:rPr>
        <w:t> </w:t>
      </w:r>
      <w:r>
        <w:rPr/>
        <w:t>lich</w:t>
      </w:r>
      <w:r>
        <w:rPr>
          <w:spacing w:val="30"/>
        </w:rPr>
        <w:t> </w:t>
      </w:r>
      <w:r>
        <w:rPr/>
        <w:t>18’400</w:t>
      </w:r>
      <w:r>
        <w:rPr>
          <w:spacing w:val="31"/>
        </w:rPr>
        <w:t> </w:t>
      </w:r>
      <w:r>
        <w:rPr/>
        <w:t>kWh.</w:t>
      </w:r>
      <w:r>
        <w:rPr>
          <w:spacing w:val="20"/>
        </w:rPr>
        <w:t> </w:t>
      </w:r>
      <w:r>
        <w:rPr/>
        <w:t>Damit</w:t>
      </w:r>
      <w:r>
        <w:rPr>
          <w:spacing w:val="30"/>
        </w:rPr>
        <w:t> </w:t>
      </w:r>
      <w:r>
        <w:rPr>
          <w:spacing w:val="-1"/>
        </w:rPr>
        <w:t>erreicht</w:t>
      </w:r>
      <w:r>
        <w:rPr>
          <w:spacing w:val="31"/>
        </w:rPr>
        <w:t> </w:t>
      </w:r>
      <w:r>
        <w:rPr/>
        <w:t>das</w:t>
      </w:r>
      <w:r>
        <w:rPr>
          <w:spacing w:val="31"/>
        </w:rPr>
        <w:t> </w:t>
      </w:r>
      <w:r>
        <w:rPr>
          <w:spacing w:val="-2"/>
        </w:rPr>
        <w:t>EFH</w:t>
      </w:r>
      <w:r>
        <w:rPr>
          <w:spacing w:val="28"/>
        </w:rPr>
        <w:t> </w:t>
      </w:r>
      <w:r>
        <w:rPr>
          <w:spacing w:val="-2"/>
        </w:rPr>
        <w:t>Thommen</w:t>
      </w:r>
      <w:r>
        <w:rPr>
          <w:spacing w:val="-7"/>
        </w:rPr>
        <w:t> </w:t>
      </w:r>
      <w:r>
        <w:rPr>
          <w:spacing w:val="-1"/>
        </w:rPr>
        <w:t>eine</w:t>
      </w:r>
      <w:r>
        <w:rPr>
          <w:spacing w:val="-7"/>
        </w:rPr>
        <w:t> </w:t>
      </w:r>
      <w:r>
        <w:rPr>
          <w:spacing w:val="-2"/>
        </w:rPr>
        <w:t>Eigenenergieversorgung</w:t>
      </w:r>
      <w:r>
        <w:rPr>
          <w:spacing w:val="-7"/>
        </w:rPr>
        <w:t> </w:t>
      </w:r>
      <w:r>
        <w:rPr/>
        <w:t>von</w:t>
      </w:r>
      <w:r>
        <w:rPr>
          <w:spacing w:val="21"/>
        </w:rPr>
        <w:t> </w:t>
      </w:r>
      <w:r>
        <w:rPr/>
        <w:t>169%</w:t>
      </w:r>
      <w:r>
        <w:rPr>
          <w:spacing w:val="42"/>
        </w:rPr>
        <w:t> </w:t>
      </w:r>
      <w:r>
        <w:rPr/>
        <w:t>und</w:t>
      </w:r>
      <w:r>
        <w:rPr>
          <w:spacing w:val="42"/>
        </w:rPr>
        <w:t> </w:t>
      </w:r>
      <w:r>
        <w:rPr>
          <w:spacing w:val="-1"/>
        </w:rPr>
        <w:t>reduziert</w:t>
      </w:r>
      <w:r>
        <w:rPr>
          <w:spacing w:val="42"/>
        </w:rPr>
        <w:t> </w:t>
      </w:r>
      <w:r>
        <w:rPr/>
        <w:t>jährlich</w:t>
      </w:r>
      <w:r>
        <w:rPr>
          <w:spacing w:val="41"/>
        </w:rPr>
        <w:t> </w:t>
      </w:r>
      <w:r>
        <w:rPr/>
        <w:t>25.4</w:t>
      </w:r>
      <w:r>
        <w:rPr>
          <w:spacing w:val="42"/>
        </w:rPr>
        <w:t> </w:t>
      </w:r>
      <w:r>
        <w:rPr/>
        <w:t>t</w:t>
      </w:r>
      <w:r>
        <w:rPr>
          <w:spacing w:val="42"/>
        </w:rPr>
        <w:t> </w:t>
      </w:r>
      <w:r>
        <w:rPr/>
        <w:t>CO</w:t>
      </w:r>
      <w:r>
        <w:rPr>
          <w:position w:val="-5"/>
          <w:sz w:val="10"/>
          <w:szCs w:val="10"/>
        </w:rPr>
        <w:t>2</w:t>
      </w:r>
      <w:r>
        <w:rPr/>
        <w:t>-</w:t>
      </w:r>
    </w:p>
    <w:p>
      <w:pPr>
        <w:spacing w:line="240" w:lineRule="auto" w:before="5"/>
        <w:rPr>
          <w:rFonts w:ascii="Theinhardt Regular" w:hAnsi="Theinhardt Regular" w:cs="Theinhardt Regular" w:eastAsia="Theinhardt Regular"/>
          <w:sz w:val="12"/>
          <w:szCs w:val="12"/>
        </w:rPr>
      </w:pPr>
      <w:r>
        <w:rPr/>
        <w:br w:type="column"/>
      </w:r>
      <w:r>
        <w:rPr>
          <w:rFonts w:ascii="Theinhardt Regular"/>
          <w:sz w:val="12"/>
        </w:rPr>
      </w:r>
    </w:p>
    <w:p>
      <w:pPr>
        <w:pStyle w:val="BodyText"/>
        <w:spacing w:line="240" w:lineRule="auto"/>
        <w:ind w:right="0" w:firstLine="0"/>
        <w:jc w:val="left"/>
      </w:pPr>
      <w:r>
        <w:rPr/>
        <w:t>Emissionen.</w:t>
      </w:r>
    </w:p>
    <w:p>
      <w:pPr>
        <w:pStyle w:val="BodyText"/>
        <w:spacing w:line="242" w:lineRule="auto" w:before="2"/>
        <w:ind w:right="0"/>
        <w:jc w:val="both"/>
      </w:pPr>
      <w:r>
        <w:rPr>
          <w:spacing w:val="-1"/>
        </w:rPr>
        <w:t>Diese</w:t>
      </w:r>
      <w:r>
        <w:rPr>
          <w:spacing w:val="39"/>
        </w:rPr>
        <w:t> </w:t>
      </w:r>
      <w:r>
        <w:rPr>
          <w:spacing w:val="-1"/>
        </w:rPr>
        <w:t>ästhetisch</w:t>
      </w:r>
      <w:r>
        <w:rPr>
          <w:spacing w:val="40"/>
        </w:rPr>
        <w:t> </w:t>
      </w:r>
      <w:r>
        <w:rPr/>
        <w:t>gelungene</w:t>
      </w:r>
      <w:r>
        <w:rPr>
          <w:spacing w:val="39"/>
        </w:rPr>
        <w:t> </w:t>
      </w:r>
      <w:r>
        <w:rPr>
          <w:spacing w:val="-1"/>
        </w:rPr>
        <w:t>Energiesa-</w:t>
      </w:r>
      <w:r>
        <w:rPr>
          <w:spacing w:val="27"/>
        </w:rPr>
        <w:t> </w:t>
      </w:r>
      <w:r>
        <w:rPr/>
        <w:t>nierung</w:t>
      </w:r>
      <w:r>
        <w:rPr>
          <w:spacing w:val="24"/>
        </w:rPr>
        <w:t> </w:t>
      </w:r>
      <w:r>
        <w:rPr/>
        <w:t>mit</w:t>
      </w:r>
      <w:r>
        <w:rPr>
          <w:spacing w:val="25"/>
        </w:rPr>
        <w:t> </w:t>
      </w:r>
      <w:r>
        <w:rPr>
          <w:spacing w:val="-2"/>
        </w:rPr>
        <w:t>Solaire-Suisse-PV-Schindeln</w:t>
      </w:r>
      <w:r>
        <w:rPr>
          <w:spacing w:val="55"/>
        </w:rPr>
        <w:t> </w:t>
      </w:r>
      <w:r>
        <w:rPr/>
        <w:t>zeigt,</w:t>
      </w:r>
      <w:r>
        <w:rPr>
          <w:spacing w:val="-10"/>
        </w:rPr>
        <w:t> </w:t>
      </w:r>
      <w:r>
        <w:rPr/>
        <w:t>wie bestehende </w:t>
      </w:r>
      <w:r>
        <w:rPr>
          <w:spacing w:val="-1"/>
        </w:rPr>
        <w:t>Wohnbauten</w:t>
      </w:r>
      <w:r>
        <w:rPr/>
        <w:t> </w:t>
      </w:r>
      <w:r>
        <w:rPr>
          <w:spacing w:val="-1"/>
        </w:rPr>
        <w:t>energe-</w:t>
      </w:r>
      <w:r>
        <w:rPr>
          <w:spacing w:val="24"/>
        </w:rPr>
        <w:t> </w:t>
      </w:r>
      <w:r>
        <w:rPr>
          <w:spacing w:val="-1"/>
        </w:rPr>
        <w:t>tisch</w:t>
      </w:r>
      <w:r>
        <w:rPr>
          <w:spacing w:val="-13"/>
        </w:rPr>
        <w:t> </w:t>
      </w:r>
      <w:r>
        <w:rPr/>
        <w:t>saniert</w:t>
      </w:r>
      <w:r>
        <w:rPr>
          <w:spacing w:val="-13"/>
        </w:rPr>
        <w:t> </w:t>
      </w:r>
      <w:r>
        <w:rPr/>
        <w:t>und</w:t>
      </w:r>
      <w:r>
        <w:rPr>
          <w:spacing w:val="-13"/>
        </w:rPr>
        <w:t> </w:t>
      </w:r>
      <w:r>
        <w:rPr/>
        <w:t>das</w:t>
      </w:r>
      <w:r>
        <w:rPr>
          <w:spacing w:val="-13"/>
        </w:rPr>
        <w:t> </w:t>
      </w:r>
      <w:r>
        <w:rPr>
          <w:spacing w:val="1"/>
        </w:rPr>
        <w:t>Ortsbild</w:t>
      </w:r>
      <w:r>
        <w:rPr>
          <w:spacing w:val="-13"/>
        </w:rPr>
        <w:t> </w:t>
      </w:r>
      <w:r>
        <w:rPr>
          <w:spacing w:val="-1"/>
        </w:rPr>
        <w:t>optisch</w:t>
      </w:r>
      <w:r>
        <w:rPr>
          <w:spacing w:val="-13"/>
        </w:rPr>
        <w:t> </w:t>
      </w:r>
      <w:r>
        <w:rPr>
          <w:spacing w:val="-1"/>
        </w:rPr>
        <w:t>aufge-</w:t>
      </w:r>
      <w:r>
        <w:rPr>
          <w:spacing w:val="31"/>
        </w:rPr>
        <w:t> </w:t>
      </w:r>
      <w:r>
        <w:rPr/>
        <w:t>wertet </w:t>
      </w:r>
      <w:r>
        <w:rPr>
          <w:spacing w:val="-1"/>
        </w:rPr>
        <w:t>werden</w:t>
      </w:r>
      <w:r>
        <w:rPr/>
        <w:t> </w:t>
      </w:r>
      <w:r>
        <w:rPr>
          <w:spacing w:val="-1"/>
        </w:rPr>
        <w:t>kann.</w:t>
      </w:r>
    </w:p>
    <w:p>
      <w:pPr>
        <w:pStyle w:val="BodyText"/>
        <w:spacing w:line="242" w:lineRule="auto"/>
        <w:ind w:right="0"/>
        <w:jc w:val="both"/>
      </w:pPr>
      <w:r>
        <w:rPr>
          <w:spacing w:val="-1"/>
        </w:rPr>
        <w:t>Die</w:t>
      </w:r>
      <w:r>
        <w:rPr>
          <w:spacing w:val="37"/>
        </w:rPr>
        <w:t> </w:t>
      </w:r>
      <w:r>
        <w:rPr/>
        <w:t>dezente</w:t>
      </w:r>
      <w:r>
        <w:rPr>
          <w:spacing w:val="38"/>
        </w:rPr>
        <w:t> </w:t>
      </w:r>
      <w:r>
        <w:rPr/>
        <w:t>Sanierung</w:t>
      </w:r>
      <w:r>
        <w:rPr>
          <w:spacing w:val="37"/>
        </w:rPr>
        <w:t> </w:t>
      </w:r>
      <w:r>
        <w:rPr>
          <w:spacing w:val="-1"/>
        </w:rPr>
        <w:t>beeinträchtigt</w:t>
      </w:r>
      <w:r>
        <w:rPr>
          <w:spacing w:val="29"/>
        </w:rPr>
        <w:t> </w:t>
      </w:r>
      <w:r>
        <w:rPr/>
        <w:t>das</w:t>
      </w:r>
      <w:r>
        <w:rPr>
          <w:spacing w:val="16"/>
        </w:rPr>
        <w:t> </w:t>
      </w:r>
      <w:r>
        <w:rPr/>
        <w:t>von</w:t>
      </w:r>
      <w:r>
        <w:rPr>
          <w:spacing w:val="16"/>
        </w:rPr>
        <w:t> </w:t>
      </w:r>
      <w:r>
        <w:rPr>
          <w:spacing w:val="-2"/>
        </w:rPr>
        <w:t>EFH</w:t>
      </w:r>
      <w:r>
        <w:rPr>
          <w:spacing w:val="16"/>
        </w:rPr>
        <w:t> </w:t>
      </w:r>
      <w:r>
        <w:rPr>
          <w:spacing w:val="-1"/>
        </w:rPr>
        <w:t>geprägte</w:t>
      </w:r>
      <w:r>
        <w:rPr>
          <w:spacing w:val="16"/>
        </w:rPr>
        <w:t> </w:t>
      </w:r>
      <w:r>
        <w:rPr/>
        <w:t>Quartier</w:t>
      </w:r>
      <w:r>
        <w:rPr>
          <w:spacing w:val="16"/>
        </w:rPr>
        <w:t> </w:t>
      </w:r>
      <w:r>
        <w:rPr/>
        <w:t>nicht,</w:t>
      </w:r>
      <w:r>
        <w:rPr>
          <w:spacing w:val="6"/>
        </w:rPr>
        <w:t> </w:t>
      </w:r>
      <w:r>
        <w:rPr>
          <w:spacing w:val="-1"/>
        </w:rPr>
        <w:t>son-</w:t>
      </w:r>
      <w:r>
        <w:rPr>
          <w:spacing w:val="37"/>
        </w:rPr>
        <w:t> </w:t>
      </w:r>
      <w:r>
        <w:rPr/>
        <w:t>dern</w:t>
      </w:r>
      <w:r>
        <w:rPr>
          <w:spacing w:val="11"/>
        </w:rPr>
        <w:t> </w:t>
      </w:r>
      <w:r>
        <w:rPr/>
        <w:t>fügt</w:t>
      </w:r>
      <w:r>
        <w:rPr>
          <w:spacing w:val="11"/>
        </w:rPr>
        <w:t> </w:t>
      </w:r>
      <w:r>
        <w:rPr/>
        <w:t>sich</w:t>
      </w:r>
      <w:r>
        <w:rPr>
          <w:spacing w:val="11"/>
        </w:rPr>
        <w:t> </w:t>
      </w:r>
      <w:r>
        <w:rPr/>
        <w:t>perfekt</w:t>
      </w:r>
      <w:r>
        <w:rPr>
          <w:spacing w:val="11"/>
        </w:rPr>
        <w:t> </w:t>
      </w:r>
      <w:r>
        <w:rPr/>
        <w:t>ein.</w:t>
      </w:r>
      <w:r>
        <w:rPr>
          <w:spacing w:val="1"/>
        </w:rPr>
        <w:t> </w:t>
      </w:r>
      <w:r>
        <w:rPr/>
        <w:t>Dafür</w:t>
      </w:r>
      <w:r>
        <w:rPr>
          <w:spacing w:val="11"/>
        </w:rPr>
        <w:t> </w:t>
      </w:r>
      <w:r>
        <w:rPr/>
        <w:t>erhält</w:t>
      </w:r>
      <w:r>
        <w:rPr>
          <w:spacing w:val="11"/>
        </w:rPr>
        <w:t> </w:t>
      </w:r>
      <w:r>
        <w:rPr/>
        <w:t>das</w:t>
      </w:r>
      <w:r>
        <w:rPr>
          <w:spacing w:val="27"/>
        </w:rPr>
        <w:t> </w:t>
      </w:r>
      <w:r>
        <w:rPr>
          <w:spacing w:val="-2"/>
        </w:rPr>
        <w:t>EFH</w:t>
      </w:r>
      <w:r>
        <w:rPr>
          <w:spacing w:val="-12"/>
        </w:rPr>
        <w:t> </w:t>
      </w:r>
      <w:r>
        <w:rPr>
          <w:spacing w:val="-1"/>
        </w:rPr>
        <w:t>Thommen</w:t>
      </w:r>
      <w:r>
        <w:rPr>
          <w:spacing w:val="2"/>
        </w:rPr>
        <w:t> </w:t>
      </w:r>
      <w:r>
        <w:rPr/>
        <w:t>das</w:t>
      </w:r>
      <w:r>
        <w:rPr>
          <w:spacing w:val="2"/>
        </w:rPr>
        <w:t> </w:t>
      </w:r>
      <w:r>
        <w:rPr>
          <w:spacing w:val="-1"/>
        </w:rPr>
        <w:t>PlusEnergieBau-Diplom</w:t>
      </w:r>
      <w:r>
        <w:rPr>
          <w:spacing w:val="47"/>
        </w:rPr>
        <w:t> </w:t>
      </w:r>
      <w:r>
        <w:rPr/>
        <w:t>2016.</w:t>
      </w:r>
    </w:p>
    <w:p>
      <w:pPr>
        <w:spacing w:before="67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240" w:lineRule="auto" w:before="2"/>
        <w:rPr>
          <w:rFonts w:ascii="Theinhardt Black" w:hAnsi="Theinhardt Black" w:cs="Theinhardt Black" w:eastAsia="Theinhardt Black"/>
          <w:b/>
          <w:bCs/>
          <w:sz w:val="8"/>
          <w:szCs w:val="8"/>
        </w:rPr>
      </w:pPr>
    </w:p>
    <w:tbl>
      <w:tblPr>
        <w:tblW w:w="0" w:type="auto"/>
        <w:jc w:val="left"/>
        <w:tblInd w:w="5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13"/>
        <w:gridCol w:w="775"/>
        <w:gridCol w:w="941"/>
      </w:tblGrid>
      <w:tr>
        <w:trPr>
          <w:trHeight w:val="251" w:hRule="exact"/>
        </w:trPr>
        <w:tc>
          <w:tcPr>
            <w:tcW w:w="15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/>
                <w:b/>
                <w:spacing w:val="1"/>
                <w:sz w:val="14"/>
              </w:rPr>
              <w:t>Wärmedämmung</w:t>
            </w:r>
            <w:r>
              <w:rPr>
                <w:rFonts w:ascii="Theinhardt Bold" w:hAnsi="Theinhardt Bold"/>
                <w:sz w:val="14"/>
              </w:rPr>
            </w:r>
          </w:p>
          <w:p>
            <w:pPr>
              <w:pStyle w:val="TableParagraph"/>
              <w:tabs>
                <w:tab w:pos="974" w:val="left" w:leader="none"/>
              </w:tabs>
              <w:spacing w:line="166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Wand:</w:t>
              <w:tab/>
            </w:r>
            <w:r>
              <w:rPr>
                <w:rFonts w:ascii="Theinhardt Regular"/>
                <w:spacing w:val="-4"/>
                <w:sz w:val="14"/>
              </w:rPr>
              <w:t>16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cm</w:t>
            </w:r>
          </w:p>
        </w:tc>
        <w:tc>
          <w:tcPr>
            <w:tcW w:w="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 w:before="72"/>
              <w:ind w:left="14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U-Wert:</w:t>
            </w:r>
          </w:p>
        </w:tc>
        <w:tc>
          <w:tcPr>
            <w:tcW w:w="9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9" w:lineRule="exact" w:before="72"/>
              <w:ind w:left="15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5"/>
                <w:sz w:val="14"/>
              </w:rPr>
              <w:t>0.19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  <w:tr>
        <w:trPr>
          <w:trHeight w:val="129" w:hRule="exact"/>
        </w:trPr>
        <w:tc>
          <w:tcPr>
            <w:tcW w:w="15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Dach/Estrich:</w:t>
            </w:r>
            <w:r>
              <w:rPr>
                <w:rFonts w:ascii="Theinhardt Regular"/>
                <w:spacing w:val="26"/>
                <w:sz w:val="14"/>
              </w:rPr>
              <w:t> </w:t>
            </w:r>
            <w:r>
              <w:rPr>
                <w:rFonts w:ascii="Theinhardt Regular"/>
                <w:sz w:val="14"/>
              </w:rPr>
              <w:t>20 </w:t>
            </w:r>
            <w:r>
              <w:rPr>
                <w:rFonts w:ascii="Theinhardt Regular"/>
                <w:spacing w:val="1"/>
                <w:sz w:val="14"/>
              </w:rPr>
              <w:t>cm</w:t>
            </w:r>
          </w:p>
        </w:tc>
        <w:tc>
          <w:tcPr>
            <w:tcW w:w="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9" w:lineRule="exact"/>
              <w:ind w:left="14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U-Wert:</w:t>
            </w:r>
          </w:p>
        </w:tc>
        <w:tc>
          <w:tcPr>
            <w:tcW w:w="9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9" w:lineRule="exact"/>
              <w:ind w:left="15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5"/>
                <w:sz w:val="14"/>
              </w:rPr>
              <w:t>0.19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</w:tbl>
    <w:p>
      <w:pPr>
        <w:tabs>
          <w:tab w:pos="1030" w:val="left" w:leader="none"/>
          <w:tab w:pos="1717" w:val="left" w:leader="none"/>
          <w:tab w:pos="2479" w:val="left" w:leader="none"/>
        </w:tabs>
        <w:spacing w:line="160" w:lineRule="exact" w:before="20"/>
        <w:ind w:left="110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Kellerdecke: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"/>
          <w:sz w:val="14"/>
        </w:rPr>
        <w:t> </w:t>
      </w:r>
      <w:r>
        <w:rPr>
          <w:rFonts w:ascii="Theinhardt Regular"/>
          <w:spacing w:val="-4"/>
          <w:sz w:val="14"/>
        </w:rPr>
        <w:t>16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z w:val="14"/>
        </w:rPr>
        <w:t>0.25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pacing w:val="-3"/>
          <w:sz w:val="14"/>
        </w:rPr>
        <w:t>0.7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before="49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vor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[100%]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5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2"/>
        <w:gridCol w:w="929"/>
        <w:gridCol w:w="460"/>
        <w:gridCol w:w="639"/>
      </w:tblGrid>
      <w:tr>
        <w:trPr>
          <w:trHeight w:val="128" w:hRule="exact"/>
        </w:trPr>
        <w:tc>
          <w:tcPr>
            <w:tcW w:w="1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spacing w:val="1"/>
                <w:sz w:val="14"/>
              </w:rPr>
              <w:t>EBF:</w:t>
            </w:r>
            <w:r>
              <w:rPr>
                <w:rFonts w:ascii="Theinhardt Regular"/>
                <w:sz w:val="14"/>
              </w:rPr>
              <w:t> 285 </w:t>
            </w:r>
            <w:r>
              <w:rPr>
                <w:rFonts w:ascii="Theinhardt Regular"/>
                <w:spacing w:val="-1"/>
                <w:sz w:val="14"/>
              </w:rPr>
              <w:t>m</w:t>
            </w:r>
            <w:r>
              <w:rPr>
                <w:rFonts w:ascii="Theinhardt Regular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</w:tc>
        <w:tc>
          <w:tcPr>
            <w:tcW w:w="9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26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</w:tc>
        <w:tc>
          <w:tcPr>
            <w:tcW w:w="4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21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3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18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60" w:hRule="exact"/>
        </w:trPr>
        <w:tc>
          <w:tcPr>
            <w:tcW w:w="1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Wärmebedarf:</w:t>
            </w:r>
          </w:p>
        </w:tc>
        <w:tc>
          <w:tcPr>
            <w:tcW w:w="9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46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223.0</w:t>
            </w:r>
          </w:p>
        </w:tc>
        <w:tc>
          <w:tcPr>
            <w:tcW w:w="4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90</w:t>
            </w:r>
          </w:p>
        </w:tc>
        <w:tc>
          <w:tcPr>
            <w:tcW w:w="63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2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63’554</w:t>
            </w:r>
          </w:p>
        </w:tc>
      </w:tr>
      <w:tr>
        <w:trPr>
          <w:trHeight w:val="160" w:hRule="exact"/>
        </w:trPr>
        <w:tc>
          <w:tcPr>
            <w:tcW w:w="1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Elektrizität:</w:t>
            </w:r>
          </w:p>
        </w:tc>
        <w:tc>
          <w:tcPr>
            <w:tcW w:w="9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4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25.9</w:t>
            </w:r>
          </w:p>
        </w:tc>
        <w:tc>
          <w:tcPr>
            <w:tcW w:w="4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3"/>
                <w:sz w:val="14"/>
              </w:rPr>
              <w:t>10</w:t>
            </w:r>
          </w:p>
        </w:tc>
        <w:tc>
          <w:tcPr>
            <w:tcW w:w="63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1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7’395</w:t>
            </w:r>
          </w:p>
        </w:tc>
      </w:tr>
      <w:tr>
        <w:trPr>
          <w:trHeight w:val="189" w:hRule="exact"/>
        </w:trPr>
        <w:tc>
          <w:tcPr>
            <w:tcW w:w="1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GesamtEB: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9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450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248.9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3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70’949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7"/>
          <w:szCs w:val="7"/>
        </w:rPr>
      </w:pPr>
    </w:p>
    <w:tbl>
      <w:tblPr>
        <w:tblW w:w="0" w:type="auto"/>
        <w:jc w:val="left"/>
        <w:tblInd w:w="5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1"/>
        <w:gridCol w:w="730"/>
        <w:gridCol w:w="467"/>
        <w:gridCol w:w="632"/>
      </w:tblGrid>
      <w:tr>
        <w:trPr>
          <w:trHeight w:val="413" w:hRule="exact"/>
        </w:trPr>
        <w:tc>
          <w:tcPr>
            <w:tcW w:w="14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Energiebedarf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1"/>
                <w:sz w:val="14"/>
              </w:rPr>
              <w:t>nach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spacing w:val="1"/>
                <w:sz w:val="14"/>
              </w:rPr>
              <w:t>EBF:</w:t>
            </w:r>
            <w:r>
              <w:rPr>
                <w:rFonts w:ascii="Theinhardt Regular"/>
                <w:sz w:val="14"/>
              </w:rPr>
              <w:t> 285 </w:t>
            </w:r>
            <w:r>
              <w:rPr>
                <w:rFonts w:ascii="Theinhardt Regular"/>
                <w:spacing w:val="-1"/>
                <w:sz w:val="14"/>
              </w:rPr>
              <w:t>m</w:t>
            </w:r>
            <w:r>
              <w:rPr>
                <w:rFonts w:ascii="Theinhardt Regular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Wärmebedarf:</w:t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66" w:right="-11" w:hanging="83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der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1"/>
                <w:sz w:val="14"/>
              </w:rPr>
              <w:t>Sanieru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0" w:lineRule="exact"/>
              <w:ind w:left="6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  <w:p>
            <w:pPr>
              <w:pStyle w:val="TableParagraph"/>
              <w:spacing w:line="168" w:lineRule="exact"/>
              <w:ind w:left="34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22.8</w:t>
            </w:r>
          </w:p>
        </w:tc>
        <w:tc>
          <w:tcPr>
            <w:tcW w:w="109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1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ng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-2"/>
                <w:sz w:val="14"/>
              </w:rPr>
              <w:t>[15%]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tabs>
                <w:tab w:pos="641" w:val="left" w:leader="none"/>
              </w:tabs>
              <w:spacing w:line="160" w:lineRule="exact"/>
              <w:ind w:left="21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  <w:tab/>
              <w:t>kWh/a</w:t>
            </w:r>
          </w:p>
          <w:p>
            <w:pPr>
              <w:pStyle w:val="TableParagraph"/>
              <w:tabs>
                <w:tab w:pos="669" w:val="left" w:leader="none"/>
              </w:tabs>
              <w:spacing w:line="168" w:lineRule="exact"/>
              <w:ind w:left="17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2"/>
                <w:sz w:val="14"/>
                <w:szCs w:val="14"/>
              </w:rPr>
              <w:t>6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0</w:t>
              <w:tab/>
            </w:r>
            <w:r>
              <w:rPr>
                <w:rFonts w:ascii="Theinhardt Regular" w:hAnsi="Theinhardt Regular" w:cs="Theinhardt Regular" w:eastAsia="Theinhardt Regular"/>
                <w:spacing w:val="-1"/>
                <w:sz w:val="14"/>
                <w:szCs w:val="14"/>
              </w:rPr>
              <w:t>6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’</w:t>
            </w:r>
            <w:r>
              <w:rPr>
                <w:rFonts w:ascii="Theinhardt Regular" w:hAnsi="Theinhardt Regular" w:cs="Theinhardt Regular" w:eastAsia="Theinhardt Regular"/>
                <w:spacing w:val="2"/>
                <w:sz w:val="14"/>
                <w:szCs w:val="14"/>
              </w:rPr>
              <w:t>5</w:t>
            </w:r>
            <w:r>
              <w:rPr>
                <w:rFonts w:ascii="Theinhardt Regular" w:hAnsi="Theinhardt Regular" w:cs="Theinhardt Regular" w:eastAsia="Theinhardt Regular"/>
                <w:spacing w:val="4"/>
                <w:sz w:val="14"/>
                <w:szCs w:val="14"/>
              </w:rPr>
              <w:t>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0</w:t>
            </w:r>
          </w:p>
        </w:tc>
      </w:tr>
      <w:tr>
        <w:trPr>
          <w:trHeight w:val="160" w:hRule="exact"/>
        </w:trPr>
        <w:tc>
          <w:tcPr>
            <w:tcW w:w="14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Elektrizität:</w:t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5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15.5</w:t>
            </w:r>
          </w:p>
        </w:tc>
        <w:tc>
          <w:tcPr>
            <w:tcW w:w="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40</w:t>
            </w:r>
          </w:p>
        </w:tc>
        <w:tc>
          <w:tcPr>
            <w:tcW w:w="6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3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7"/>
                <w:sz w:val="14"/>
                <w:szCs w:val="14"/>
              </w:rPr>
              <w:t>4’412</w:t>
            </w:r>
          </w:p>
        </w:tc>
      </w:tr>
      <w:tr>
        <w:trPr>
          <w:trHeight w:val="190" w:hRule="exact"/>
        </w:trPr>
        <w:tc>
          <w:tcPr>
            <w:tcW w:w="14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GesamtEB: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34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3</w:t>
            </w:r>
            <w:r>
              <w:rPr>
                <w:rFonts w:ascii="Theinhardt Bold"/>
                <w:b/>
                <w:spacing w:val="3"/>
                <w:sz w:val="14"/>
              </w:rPr>
              <w:t>8.</w:t>
            </w:r>
            <w:r>
              <w:rPr>
                <w:rFonts w:ascii="Theinhardt Bold"/>
                <w:b/>
                <w:sz w:val="14"/>
              </w:rPr>
              <w:t>3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23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2"/>
                <w:sz w:val="14"/>
                <w:szCs w:val="14"/>
              </w:rPr>
              <w:t>10’912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47" w:hRule="exact"/>
        </w:trPr>
        <w:tc>
          <w:tcPr>
            <w:tcW w:w="14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6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Energieversorgung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Eigen-EV:</w:t>
            </w:r>
            <w:r>
              <w:rPr>
                <w:rFonts w:ascii="Theinhardt Regular"/>
                <w:sz w:val="14"/>
              </w:rPr>
              <w:t>  </w:t>
            </w:r>
            <w:r>
              <w:rPr>
                <w:rFonts w:ascii="Theinhardt Regular"/>
                <w:spacing w:val="15"/>
                <w:sz w:val="14"/>
              </w:rPr>
              <w:t> </w:t>
            </w:r>
            <w:r>
              <w:rPr>
                <w:rFonts w:ascii="Theinhardt Regular"/>
                <w:spacing w:val="-1"/>
                <w:sz w:val="14"/>
              </w:rPr>
              <w:t>m</w:t>
            </w:r>
            <w:r>
              <w:rPr>
                <w:rFonts w:ascii="Theinhardt Regular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position w:val="5"/>
                <w:sz w:val="8"/>
              </w:rPr>
              <w:t>    </w:t>
            </w:r>
            <w:r>
              <w:rPr>
                <w:rFonts w:ascii="Theinhardt Regular"/>
                <w:spacing w:val="2"/>
                <w:position w:val="5"/>
                <w:sz w:val="8"/>
              </w:rPr>
              <w:t> </w:t>
            </w:r>
            <w:r>
              <w:rPr>
                <w:rFonts w:ascii="Theinhardt Regular"/>
                <w:sz w:val="14"/>
              </w:rPr>
              <w:t>kWp</w:t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6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</w:tc>
        <w:tc>
          <w:tcPr>
            <w:tcW w:w="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21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17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32" w:hRule="exact"/>
        </w:trPr>
        <w:tc>
          <w:tcPr>
            <w:tcW w:w="14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PV-Dach: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1"/>
                <w:sz w:val="14"/>
              </w:rPr>
              <w:t> </w:t>
            </w:r>
            <w:r>
              <w:rPr>
                <w:rFonts w:ascii="Theinhardt Regular"/>
                <w:spacing w:val="-3"/>
                <w:sz w:val="14"/>
              </w:rPr>
              <w:t>120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36"/>
                <w:sz w:val="14"/>
              </w:rPr>
              <w:t> </w:t>
            </w:r>
            <w:r>
              <w:rPr>
                <w:rFonts w:ascii="Theinhardt Regular"/>
                <w:spacing w:val="-5"/>
                <w:sz w:val="14"/>
              </w:rPr>
              <w:t>17.5</w:t>
            </w:r>
          </w:p>
        </w:tc>
        <w:tc>
          <w:tcPr>
            <w:tcW w:w="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2" w:lineRule="exact"/>
              <w:ind w:left="27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153.4</w:t>
            </w:r>
          </w:p>
        </w:tc>
        <w:tc>
          <w:tcPr>
            <w:tcW w:w="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2" w:lineRule="exact"/>
              <w:ind w:left="10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169</w:t>
            </w:r>
          </w:p>
        </w:tc>
        <w:tc>
          <w:tcPr>
            <w:tcW w:w="6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2" w:lineRule="exact"/>
              <w:ind w:left="13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3"/>
                <w:sz w:val="14"/>
                <w:szCs w:val="14"/>
              </w:rPr>
              <w:t>18’407</w:t>
            </w:r>
          </w:p>
        </w:tc>
      </w:tr>
    </w:tbl>
    <w:p>
      <w:pPr>
        <w:tabs>
          <w:tab w:pos="2402" w:val="left" w:leader="none"/>
          <w:tab w:pos="2778" w:val="left" w:leader="none"/>
          <w:tab w:pos="2827" w:val="left" w:leader="none"/>
        </w:tabs>
        <w:spacing w:line="281" w:lineRule="auto" w:before="8"/>
        <w:ind w:left="110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18’407</w:t>
      </w:r>
      <w:r>
        <w:rPr>
          <w:rFonts w:ascii="Theinhardt Bold" w:hAnsi="Theinhardt Bold" w:cs="Theinhardt Bold" w:eastAsia="Theinhardt Bold"/>
          <w:b/>
          <w:bCs/>
          <w:spacing w:val="3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Energiebilanz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(Endenergie)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%</w:t>
        <w:tab/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kWh/a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282" w:val="left" w:leader="none"/>
          <w:tab w:pos="2778" w:val="left" w:leader="none"/>
        </w:tabs>
        <w:spacing w:line="116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1"/>
          <w:w w:val="95"/>
          <w:sz w:val="14"/>
          <w:szCs w:val="14"/>
        </w:rPr>
        <w:t>169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18’407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282" w:val="left" w:leader="none"/>
          <w:tab w:pos="2793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10’912</w:t>
      </w:r>
    </w:p>
    <w:p>
      <w:pPr>
        <w:tabs>
          <w:tab w:pos="2361" w:val="left" w:leader="none"/>
          <w:tab w:pos="2855" w:val="left" w:leader="none"/>
        </w:tabs>
        <w:spacing w:line="172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69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7’495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10" w:right="112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3"/>
          <w:sz w:val="14"/>
        </w:rPr>
        <w:t>BKW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1"/>
          <w:sz w:val="14"/>
        </w:rPr>
        <w:t>08.06.2016</w:t>
      </w:r>
      <w:r>
        <w:rPr>
          <w:rFonts w:ascii="Theinhardt Regular" w:hAnsi="Theinhardt Regular"/>
          <w:spacing w:val="32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Eveline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Schnidrig,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031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321</w:t>
      </w:r>
      <w:r>
        <w:rPr>
          <w:rFonts w:ascii="Theinhardt Regular" w:hAnsi="Theinhardt Regular"/>
          <w:sz w:val="14"/>
        </w:rPr>
        <w:t> 33 </w:t>
      </w:r>
      <w:r>
        <w:rPr>
          <w:rFonts w:ascii="Theinhardt Regular" w:hAnsi="Theinhardt Regular"/>
          <w:spacing w:val="-1"/>
          <w:sz w:val="14"/>
        </w:rPr>
        <w:t>28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1"/>
          <w:sz w:val="14"/>
        </w:rPr>
        <w:t>Beteiligte</w:t>
      </w:r>
      <w:r>
        <w:rPr>
          <w:rFonts w:ascii="Theinhardt Black"/>
          <w:b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Bauherrschaft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und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Standort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Gebäudes: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Felix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und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Carina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Thommen</w:t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Mittlere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Haltenstrasse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13,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3625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Heiligenschwendi</w:t>
      </w:r>
    </w:p>
    <w:p>
      <w:pPr>
        <w:spacing w:line="172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6">
        <w:r>
          <w:rPr>
            <w:rFonts w:ascii="Theinhardt Regular"/>
            <w:spacing w:val="1"/>
            <w:sz w:val="14"/>
          </w:rPr>
          <w:t>felix@thommen.net,</w:t>
        </w:r>
      </w:hyperlink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033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243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27</w:t>
      </w:r>
    </w:p>
    <w:p>
      <w:pPr>
        <w:spacing w:line="172" w:lineRule="exact" w:before="3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0" w:right="4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Suisse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SA,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Bernstr.</w:t>
      </w:r>
      <w:r>
        <w:rPr>
          <w:rFonts w:ascii="Theinhardt Regular"/>
          <w:sz w:val="14"/>
        </w:rPr>
        <w:t> 54, 3072 </w:t>
      </w:r>
      <w:r>
        <w:rPr>
          <w:rFonts w:ascii="Theinhardt Regular"/>
          <w:spacing w:val="2"/>
          <w:sz w:val="14"/>
        </w:rPr>
        <w:t>Ostermundigen</w:t>
      </w:r>
      <w:r>
        <w:rPr>
          <w:rFonts w:ascii="Theinhardt Regular"/>
          <w:spacing w:val="34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031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300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55</w:t>
      </w:r>
      <w:hyperlink r:id="rId7">
        <w:r>
          <w:rPr>
            <w:rFonts w:ascii="Theinhardt Regular"/>
            <w:spacing w:val="-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2"/>
            <w:sz w:val="14"/>
          </w:rPr>
          <w:t>contact@solairesuisse.ch</w:t>
        </w:r>
      </w:hyperlink>
    </w:p>
    <w:p>
      <w:pPr>
        <w:spacing w:line="172" w:lineRule="exact" w:before="38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Energieberatung: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0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energiePur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GmbH,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GEAK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"/>
          <w:sz w:val="14"/>
        </w:rPr>
        <w:t>Experte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Martin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Schaller</w:t>
      </w:r>
      <w:r>
        <w:rPr>
          <w:rFonts w:ascii="Theinhardt Regular"/>
          <w:spacing w:val="44"/>
          <w:sz w:val="14"/>
        </w:rPr>
        <w:t> </w:t>
      </w:r>
      <w:r>
        <w:rPr>
          <w:rFonts w:ascii="Theinhardt Regular"/>
          <w:spacing w:val="1"/>
          <w:sz w:val="14"/>
        </w:rPr>
        <w:t>Lauenenweg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22,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3600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Thun</w:t>
      </w:r>
    </w:p>
    <w:p>
      <w:pPr>
        <w:spacing w:line="167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033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222</w:t>
      </w:r>
      <w:r>
        <w:rPr>
          <w:rFonts w:ascii="Theinhardt Regular"/>
          <w:sz w:val="14"/>
        </w:rPr>
        <w:t> 33 3</w:t>
      </w:r>
      <w:hyperlink r:id="rId8">
        <w:r>
          <w:rPr>
            <w:rFonts w:ascii="Theinhardt Regular"/>
            <w:sz w:val="14"/>
          </w:rPr>
          <w:t>4, </w:t>
        </w:r>
        <w:r>
          <w:rPr>
            <w:rFonts w:ascii="Theinhardt Regular"/>
            <w:spacing w:val="1"/>
            <w:sz w:val="14"/>
          </w:rPr>
          <w:t>schaller@energiepur.ch</w:t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3" w:equalWidth="0">
            <w:col w:w="3456" w:space="115"/>
            <w:col w:w="3456" w:space="115"/>
            <w:col w:w="3568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13"/>
        <w:rPr>
          <w:rFonts w:ascii="Theinhardt Regular" w:hAnsi="Theinhardt Regular" w:cs="Theinhardt Regular" w:eastAsia="Theinhardt Regular"/>
          <w:sz w:val="19"/>
          <w:szCs w:val="19"/>
        </w:rPr>
      </w:pPr>
    </w:p>
    <w:p>
      <w:pPr>
        <w:spacing w:line="200" w:lineRule="atLeast"/>
        <w:ind w:left="725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09632" cy="1438751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632" cy="143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3" w:val="left" w:leader="none"/>
        </w:tabs>
        <w:spacing w:before="21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3.160999pt;margin-top:-226.546005pt;width:345.185pt;height:226.772pt;mso-position-horizontal-relative:page;mso-position-vertical-relative:paragraph;z-index:1192" type="#_x0000_t75" stroked="false">
            <v:imagedata r:id="rId10" o:title=""/>
          </v:shape>
        </w:pict>
      </w:r>
      <w:r>
        <w:rPr>
          <w:rFonts w:ascii="Theinhardt Bold"/>
          <w:b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12"/>
          <w:szCs w:val="12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2"/>
          <w:szCs w:val="12"/>
        </w:rPr>
        <w:sectPr>
          <w:type w:val="continuous"/>
          <w:pgSz w:w="11910" w:h="16840"/>
          <w:pgMar w:top="840" w:bottom="280" w:left="740" w:right="460"/>
        </w:sectPr>
      </w:pP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Südansicht des </w:t>
      </w:r>
      <w:r>
        <w:rPr>
          <w:rFonts w:ascii="Theinhardt Bold" w:hAnsi="Theinhardt Bold"/>
          <w:b/>
          <w:spacing w:val="-1"/>
          <w:sz w:val="14"/>
        </w:rPr>
        <w:t>EFH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Thommen,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welches eine</w:t>
      </w:r>
      <w:r>
        <w:rPr>
          <w:rFonts w:ascii="Theinhardt Bold" w:hAnsi="Theinhardt Bold"/>
          <w:b/>
          <w:spacing w:val="23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Eigenenergieversorgung</w:t>
      </w:r>
      <w:r>
        <w:rPr>
          <w:rFonts w:ascii="Theinhardt Bold" w:hAnsi="Theinhardt Bold"/>
          <w:b/>
          <w:sz w:val="14"/>
        </w:rPr>
        <w:t> von 169% erreicht.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396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  <w:t>Das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Solarschindeldach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des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PEB-EFH.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spacing w:val="5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vollflächige,</w:t>
      </w:r>
      <w:r>
        <w:rPr>
          <w:rFonts w:ascii="Theinhardt Bold" w:hAnsi="Theinhardt Bold" w:cs="Theinhardt Bold" w:eastAsia="Theinhardt Bold"/>
          <w:b/>
          <w:bCs/>
          <w:spacing w:val="-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südseitig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integrierte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17.5-kWp-</w:t>
      </w:r>
      <w:r>
        <w:rPr>
          <w:rFonts w:ascii="Theinhardt Bold" w:hAnsi="Theinhardt Bold" w:cs="Theinhardt Bold" w:eastAsia="Theinhardt Bold"/>
          <w:b/>
          <w:bCs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Dachanlage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liefert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18’400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2" w:equalWidth="0">
            <w:col w:w="3179" w:space="389"/>
            <w:col w:w="7142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before="70"/>
        <w:ind w:left="6748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1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4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21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05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89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5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042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2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1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0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felix@thommen.net" TargetMode="External"/><Relationship Id="rId7" Type="http://schemas.openxmlformats.org/officeDocument/2006/relationships/hyperlink" Target="mailto:contact@solairesuisse.ch" TargetMode="External"/><Relationship Id="rId8" Type="http://schemas.openxmlformats.org/officeDocument/2006/relationships/hyperlink" Target="mailto:schaller@energiepur.ch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2016-09-21T15:03:19Z</dcterms:created>
  <dcterms:modified xsi:type="dcterms:W3CDTF">2016-09-21T15:03:19Z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