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2546" w:val="left" w:leader="none"/>
        </w:tabs>
        <w:spacing w:line="230" w:lineRule="exact" w:before="32"/>
        <w:ind w:left="119" w:right="0" w:firstLine="0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/>
        <w:pict>
          <v:group style="position:absolute;margin-left:29.2006pt;margin-top:13.847289pt;width:.1pt;height:.1pt;mso-position-horizontal-relative:page;mso-position-vertical-relative:paragraph;z-index:-5200" coordorigin="584,277" coordsize="2,2">
            <v:shape style="position:absolute;left:584;top:277;width:2;height:2" coordorigin="584,277" coordsize="0,0" path="m584,277l584,277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150.732605pt;margin-top:13.847289pt;width:.1pt;height:.1pt;mso-position-horizontal-relative:page;mso-position-vertical-relative:paragraph;z-index:1144" coordorigin="3015,277" coordsize="2,2">
            <v:shape style="position:absolute;left:3015;top:277;width:2;height:2" coordorigin="3015,277" coordsize="0,0" path="m3015,277l3015,277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29.2006pt;margin-top:25.34729pt;width:.1pt;height:.1pt;mso-position-horizontal-relative:page;mso-position-vertical-relative:paragraph;z-index:-5152" coordorigin="584,507" coordsize="2,2">
            <v:shape style="position:absolute;left:584;top:507;width:2;height:2" coordorigin="584,507" coordsize="0,0" path="m584,507l584,507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150.732605pt;margin-top:25.34729pt;width:.1pt;height:.1pt;mso-position-horizontal-relative:page;mso-position-vertical-relative:paragraph;z-index:1192" coordorigin="3015,507" coordsize="2,2">
            <v:shape style="position:absolute;left:3015;top:507;width:2;height:2" coordorigin="3015,507" coordsize="0,0" path="m3015,507l3015,507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shape style="position:absolute;margin-left:28.2799pt;margin-top:50.904591pt;width:82.204400pt;height:60.2041pt;mso-position-horizontal-relative:page;mso-position-vertical-relative:paragraph;z-index:1216" type="#_x0000_t75" stroked="false">
            <v:imagedata r:id="rId5" o:title=""/>
          </v:shape>
        </w:pict>
      </w:r>
      <w:r>
        <w:rPr>
          <w:rFonts w:ascii="Theinhardt Black" w:hAnsi="Theinhardt Black"/>
          <w:b/>
          <w:sz w:val="18"/>
        </w:rPr>
      </w:r>
      <w:r>
        <w:rPr>
          <w:rFonts w:ascii="Theinhardt Black" w:hAnsi="Theinhardt Black"/>
          <w:b/>
          <w:spacing w:val="1"/>
          <w:sz w:val="18"/>
          <w:u w:val="dotted" w:color="000000"/>
        </w:rPr>
        <w:t>Kategorie</w:t>
      </w:r>
      <w:r>
        <w:rPr>
          <w:rFonts w:ascii="Theinhardt Black" w:hAnsi="Theinhardt Black"/>
          <w:b/>
          <w:spacing w:val="-1"/>
          <w:sz w:val="18"/>
          <w:u w:val="dotted" w:color="000000"/>
        </w:rPr>
        <w:t> </w:t>
      </w:r>
      <w:r>
        <w:rPr>
          <w:rFonts w:ascii="Theinhardt Black" w:hAnsi="Theinhardt Black"/>
          <w:b/>
          <w:sz w:val="18"/>
          <w:u w:val="dotted" w:color="000000"/>
        </w:rPr>
        <w:t>B</w:t>
      </w:r>
      <w:r>
        <w:rPr>
          <w:rFonts w:ascii="Theinhardt Black" w:hAnsi="Theinhardt Black"/>
          <w:b/>
          <w:sz w:val="18"/>
          <w:u w:val="dotted" w:color="000000"/>
        </w:rPr>
        <w:t> </w:t>
        <w:tab/>
      </w:r>
      <w:r>
        <w:rPr>
          <w:rFonts w:ascii="Theinhardt Black" w:hAnsi="Theinhardt Black"/>
          <w:b/>
          <w:sz w:val="18"/>
        </w:rPr>
      </w:r>
      <w:r>
        <w:rPr>
          <w:rFonts w:ascii="Theinhardt Black" w:hAnsi="Theinhardt Black"/>
          <w:b/>
          <w:spacing w:val="25"/>
          <w:sz w:val="18"/>
        </w:rPr>
        <w:t> </w:t>
      </w:r>
      <w:r>
        <w:rPr>
          <w:rFonts w:ascii="Theinhardt Black" w:hAnsi="Theinhardt Black"/>
          <w:b/>
          <w:spacing w:val="1"/>
          <w:sz w:val="18"/>
          <w:u w:val="dotted" w:color="000000"/>
        </w:rPr>
        <w:t>PlusEnergieBauten</w:t>
      </w:r>
      <w:r>
        <w:rPr>
          <w:rFonts w:ascii="Theinhardt Black" w:hAnsi="Theinhardt Black"/>
          <w:b/>
          <w:sz w:val="18"/>
          <w:u w:val="dotted" w:color="000000"/>
        </w:rPr>
        <w:t> </w:t>
        <w:tab/>
      </w:r>
      <w:r>
        <w:rPr>
          <w:rFonts w:ascii="Theinhardt Black" w:hAnsi="Theinhardt Black"/>
          <w:b/>
          <w:sz w:val="18"/>
        </w:rPr>
      </w:r>
      <w:r>
        <w:rPr>
          <w:rFonts w:ascii="Theinhardt Black" w:hAnsi="Theinhardt Black"/>
          <w:b/>
          <w:spacing w:val="22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PlusEnergieBau</w:t>
      </w:r>
      <w:r>
        <w:rPr>
          <w:rFonts w:ascii="Theinhardt Regular" w:hAnsi="Theinhardt Regular"/>
          <w:spacing w:val="-1"/>
          <w:position w:val="6"/>
          <w:sz w:val="10"/>
        </w:rPr>
        <w:t>®</w:t>
      </w:r>
      <w:r>
        <w:rPr>
          <w:rFonts w:ascii="Theinhardt Regular" w:hAnsi="Theinhardt Regular"/>
          <w:spacing w:val="-1"/>
          <w:sz w:val="18"/>
        </w:rPr>
        <w:t>-Diplom</w:t>
      </w:r>
      <w:r>
        <w:rPr>
          <w:rFonts w:ascii="Theinhardt Regular" w:hAnsi="Theinhardt Regular"/>
          <w:spacing w:val="3"/>
          <w:sz w:val="18"/>
        </w:rPr>
        <w:t> </w:t>
      </w:r>
      <w:r>
        <w:rPr>
          <w:rFonts w:ascii="Theinhardt Regular" w:hAnsi="Theinhardt Regular"/>
          <w:sz w:val="18"/>
        </w:rPr>
        <w:t>2016</w:t>
      </w:r>
    </w:p>
    <w:p>
      <w:pPr>
        <w:spacing w:line="230" w:lineRule="exact" w:before="32"/>
        <w:ind w:left="105" w:right="127" w:firstLine="0"/>
        <w:jc w:val="both"/>
        <w:rPr>
          <w:rFonts w:ascii="Theinhardt Bold" w:hAnsi="Theinhardt Bold" w:cs="Theinhardt Bold" w:eastAsia="Theinhardt Bold"/>
          <w:sz w:val="18"/>
          <w:szCs w:val="18"/>
        </w:rPr>
      </w:pPr>
      <w:r>
        <w:rPr/>
        <w:br w:type="column"/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spacing w:val="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100-jährige</w:t>
      </w:r>
      <w:r>
        <w:rPr>
          <w:rFonts w:ascii="Theinhardt Bold" w:hAnsi="Theinhardt Bold" w:cs="Theinhardt Bold" w:eastAsia="Theinhardt Bold"/>
          <w:b/>
          <w:bCs/>
          <w:spacing w:val="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Einfamilienhaus</w:t>
      </w:r>
      <w:r>
        <w:rPr>
          <w:rFonts w:ascii="Theinhardt Bold" w:hAnsi="Theinhardt Bold" w:cs="Theinhardt Bold" w:eastAsia="Theinhardt Bold"/>
          <w:b/>
          <w:bCs/>
          <w:spacing w:val="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(EFH)</w:t>
      </w:r>
      <w:r>
        <w:rPr>
          <w:rFonts w:ascii="Theinhardt Bold" w:hAnsi="Theinhardt Bold" w:cs="Theinhardt Bold" w:eastAsia="Theinhardt Bold"/>
          <w:b/>
          <w:bCs/>
          <w:spacing w:val="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von</w:t>
      </w:r>
      <w:r>
        <w:rPr>
          <w:rFonts w:ascii="Theinhardt Bold" w:hAnsi="Theinhardt Bold" w:cs="Theinhardt Bold" w:eastAsia="Theinhardt Bold"/>
          <w:b/>
          <w:bCs/>
          <w:spacing w:val="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Walter</w:t>
      </w:r>
      <w:r>
        <w:rPr>
          <w:rFonts w:ascii="Theinhardt Bold" w:hAnsi="Theinhardt Bold" w:cs="Theinhardt Bold" w:eastAsia="Theinhardt Bold"/>
          <w:b/>
          <w:bCs/>
          <w:spacing w:val="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Züst</w:t>
      </w:r>
      <w:r>
        <w:rPr>
          <w:rFonts w:ascii="Theinhardt Bold" w:hAnsi="Theinhardt Bold" w:cs="Theinhardt Bold" w:eastAsia="Theinhardt Bold"/>
          <w:b/>
          <w:bCs/>
          <w:spacing w:val="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in</w:t>
      </w:r>
      <w:r>
        <w:rPr>
          <w:rFonts w:ascii="Theinhardt Bold" w:hAnsi="Theinhardt Bold" w:cs="Theinhardt Bold" w:eastAsia="Theinhardt Bold"/>
          <w:b/>
          <w:bCs/>
          <w:spacing w:val="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Rehetobel/AR</w:t>
      </w:r>
      <w:r>
        <w:rPr>
          <w:rFonts w:ascii="Theinhardt Bold" w:hAnsi="Theinhardt Bold" w:cs="Theinhardt Bold" w:eastAsia="Theinhardt Bold"/>
          <w:b/>
          <w:bCs/>
          <w:spacing w:val="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wurde</w:t>
      </w:r>
      <w:r>
        <w:rPr>
          <w:rFonts w:ascii="Theinhardt Bold" w:hAnsi="Theinhardt Bold" w:cs="Theinhardt Bold" w:eastAsia="Theinhardt Bold"/>
          <w:b/>
          <w:bCs/>
          <w:spacing w:val="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im</w:t>
      </w:r>
      <w:r>
        <w:rPr>
          <w:rFonts w:ascii="Theinhardt Bold" w:hAnsi="Theinhardt Bold" w:cs="Theinhardt Bold" w:eastAsia="Theinhardt Bold"/>
          <w:b/>
          <w:bCs/>
          <w:spacing w:val="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Jahre</w:t>
      </w:r>
      <w:r>
        <w:rPr>
          <w:rFonts w:ascii="Theinhardt Bold" w:hAnsi="Theinhardt Bold" w:cs="Theinhardt Bold" w:eastAsia="Theinhardt Bold"/>
          <w:b/>
          <w:bCs/>
          <w:spacing w:val="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2015</w:t>
      </w:r>
      <w:r>
        <w:rPr>
          <w:rFonts w:ascii="Theinhardt Bold" w:hAnsi="Theinhardt Bold" w:cs="Theinhardt Bold" w:eastAsia="Theinhardt Bold"/>
          <w:b/>
          <w:bCs/>
          <w:spacing w:val="9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umfassend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erneuert.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Dank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Wärmedämmung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energieeffizienten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Haushaltgeräten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redu-</w:t>
      </w:r>
      <w:r>
        <w:rPr>
          <w:rFonts w:ascii="Theinhardt Bold" w:hAnsi="Theinhardt Bold" w:cs="Theinhardt Bold" w:eastAsia="Theinhardt Bold"/>
          <w:b/>
          <w:bCs/>
          <w:spacing w:val="4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zierte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sich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Gesamtenergiebedarf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auf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4’600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kWh/a.</w:t>
      </w:r>
      <w:r>
        <w:rPr>
          <w:rFonts w:ascii="Theinhardt Bold" w:hAnsi="Theinhardt Bold" w:cs="Theinhardt Bold" w:eastAsia="Theinhardt Bold"/>
          <w:b/>
          <w:bCs/>
          <w:spacing w:val="-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Aufgrund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des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Kreuzgiebels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befindet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sich</w:t>
      </w:r>
      <w:r>
        <w:rPr>
          <w:rFonts w:ascii="Theinhardt Bold" w:hAnsi="Theinhardt Bold" w:cs="Theinhardt Bold" w:eastAsia="Theinhardt Bold"/>
          <w:b/>
          <w:bCs/>
          <w:spacing w:val="6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PV-Anlage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nicht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auf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dem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Dach,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sondern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an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bestehenden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Stützmauer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auf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dem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Wie-</w:t>
      </w:r>
      <w:r>
        <w:rPr>
          <w:rFonts w:ascii="Theinhardt Bold" w:hAnsi="Theinhardt Bold" w:cs="Theinhardt Bold" w:eastAsia="Theinhardt Bold"/>
          <w:b/>
          <w:bCs/>
          <w:spacing w:val="5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senbord.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5-kW-PV-Anlage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erzeugt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5’100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kWh/a.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dachintegrierten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thermischen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Sonnen-</w:t>
      </w:r>
      <w:r>
        <w:rPr>
          <w:rFonts w:ascii="Theinhardt Bold" w:hAnsi="Theinhardt Bold" w:cs="Theinhardt Bold" w:eastAsia="Theinhardt Bold"/>
          <w:b/>
          <w:bCs/>
          <w:spacing w:val="6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kollektoren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steuern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900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kWh/a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bei.</w:t>
      </w:r>
      <w:r>
        <w:rPr>
          <w:rFonts w:ascii="Theinhardt Bold" w:hAnsi="Theinhardt Bold" w:cs="Theinhardt Bold" w:eastAsia="Theinhardt Bold"/>
          <w:b/>
          <w:bCs/>
          <w:spacing w:val="-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Insgesamt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weist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PlusEnergie-EFH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damit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eine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Eigenener-</w:t>
      </w:r>
      <w:r>
        <w:rPr>
          <w:rFonts w:ascii="Theinhardt Bold" w:hAnsi="Theinhardt Bold" w:cs="Theinhardt Bold" w:eastAsia="Theinhardt Bold"/>
          <w:b/>
          <w:bCs/>
          <w:spacing w:val="7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gieversorgung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 von 6’000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kWh/a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 oder 131% 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auf.</w:t>
      </w:r>
      <w:r>
        <w:rPr>
          <w:rFonts w:ascii="Theinhardt Bold" w:hAnsi="Theinhardt Bold" w:cs="Theinhardt Bold" w:eastAsia="Theinhardt Bold"/>
          <w:sz w:val="18"/>
          <w:szCs w:val="18"/>
        </w:rPr>
      </w:r>
    </w:p>
    <w:p>
      <w:pPr>
        <w:spacing w:after="0" w:line="230" w:lineRule="exact"/>
        <w:jc w:val="both"/>
        <w:rPr>
          <w:rFonts w:ascii="Theinhardt Bold" w:hAnsi="Theinhardt Bold" w:cs="Theinhardt Bold" w:eastAsia="Theinhardt Bold"/>
          <w:sz w:val="18"/>
          <w:szCs w:val="18"/>
        </w:rPr>
        <w:sectPr>
          <w:type w:val="continuous"/>
          <w:pgSz w:w="11910" w:h="16840"/>
          <w:pgMar w:top="860" w:bottom="280" w:left="460" w:right="720"/>
          <w:cols w:num="2" w:equalWidth="0">
            <w:col w:w="2547" w:space="133"/>
            <w:col w:w="8050"/>
          </w:cols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1"/>
        <w:rPr>
          <w:rFonts w:ascii="Theinhardt Bold" w:hAnsi="Theinhardt Bold" w:cs="Theinhardt Bold" w:eastAsia="Theinhardt Bold"/>
          <w:b/>
          <w:bCs/>
          <w:sz w:val="19"/>
          <w:szCs w:val="19"/>
        </w:rPr>
      </w:pPr>
    </w:p>
    <w:p>
      <w:pPr>
        <w:spacing w:before="5"/>
        <w:ind w:left="106" w:right="0" w:firstLine="0"/>
        <w:jc w:val="left"/>
        <w:rPr>
          <w:rFonts w:ascii="Theinhardt Black" w:hAnsi="Theinhardt Black" w:cs="Theinhardt Black" w:eastAsia="Theinhardt Black"/>
          <w:sz w:val="40"/>
          <w:szCs w:val="40"/>
        </w:rPr>
      </w:pPr>
      <w:r>
        <w:rPr>
          <w:rFonts w:ascii="Theinhardt Black" w:hAnsi="Theinhardt Black"/>
          <w:b/>
          <w:color w:val="0067B1"/>
          <w:sz w:val="40"/>
        </w:rPr>
        <w:t>131%-PEB-EFH-Sanierung </w:t>
      </w:r>
      <w:r>
        <w:rPr>
          <w:rFonts w:ascii="Theinhardt Black" w:hAnsi="Theinhardt Black"/>
          <w:b/>
          <w:color w:val="0067B1"/>
          <w:spacing w:val="7"/>
          <w:sz w:val="40"/>
        </w:rPr>
        <w:t>Züst,</w:t>
      </w:r>
      <w:r>
        <w:rPr>
          <w:rFonts w:ascii="Theinhardt Black" w:hAnsi="Theinhardt Black"/>
          <w:b/>
          <w:color w:val="0067B1"/>
          <w:sz w:val="40"/>
        </w:rPr>
        <w:t> 9038 </w:t>
      </w:r>
      <w:r>
        <w:rPr>
          <w:rFonts w:ascii="Theinhardt Black" w:hAnsi="Theinhardt Black"/>
          <w:b/>
          <w:color w:val="0067B1"/>
          <w:spacing w:val="2"/>
          <w:sz w:val="40"/>
        </w:rPr>
        <w:t>Re</w:t>
      </w:r>
      <w:r>
        <w:rPr>
          <w:rFonts w:ascii="Theinhardt Black" w:hAnsi="Theinhardt Black"/>
          <w:b/>
          <w:color w:val="0067B1"/>
          <w:spacing w:val="1"/>
          <w:sz w:val="40"/>
        </w:rPr>
        <w:t>h</w:t>
      </w:r>
      <w:r>
        <w:rPr>
          <w:rFonts w:ascii="Theinhardt Black" w:hAnsi="Theinhardt Black"/>
          <w:b/>
          <w:color w:val="0067B1"/>
          <w:spacing w:val="12"/>
          <w:sz w:val="40"/>
        </w:rPr>
        <w:t>e</w:t>
      </w:r>
      <w:r>
        <w:rPr>
          <w:rFonts w:ascii="Theinhardt Black" w:hAnsi="Theinhardt Black"/>
          <w:b/>
          <w:color w:val="0067B1"/>
          <w:spacing w:val="3"/>
          <w:sz w:val="40"/>
        </w:rPr>
        <w:t>t</w:t>
      </w:r>
      <w:r>
        <w:rPr>
          <w:rFonts w:ascii="Theinhardt Black" w:hAnsi="Theinhardt Black"/>
          <w:b/>
          <w:color w:val="0067B1"/>
          <w:spacing w:val="2"/>
          <w:sz w:val="40"/>
        </w:rPr>
        <w:t>o</w:t>
      </w:r>
      <w:r>
        <w:rPr>
          <w:rFonts w:ascii="Theinhardt Black" w:hAnsi="Theinhardt Black"/>
          <w:b/>
          <w:color w:val="0067B1"/>
          <w:spacing w:val="6"/>
          <w:sz w:val="40"/>
        </w:rPr>
        <w:t>b</w:t>
      </w:r>
      <w:r>
        <w:rPr>
          <w:rFonts w:ascii="Theinhardt Black" w:hAnsi="Theinhardt Black"/>
          <w:b/>
          <w:color w:val="0067B1"/>
          <w:spacing w:val="2"/>
          <w:sz w:val="40"/>
        </w:rPr>
        <w:t>e</w:t>
      </w:r>
      <w:r>
        <w:rPr>
          <w:rFonts w:ascii="Theinhardt Black" w:hAnsi="Theinhardt Black"/>
          <w:b/>
          <w:color w:val="0067B1"/>
          <w:spacing w:val="12"/>
          <w:sz w:val="40"/>
        </w:rPr>
        <w:t>l</w:t>
      </w:r>
      <w:r>
        <w:rPr>
          <w:rFonts w:ascii="Theinhardt Black" w:hAnsi="Theinhardt Black"/>
          <w:b/>
          <w:color w:val="0067B1"/>
          <w:spacing w:val="-26"/>
          <w:sz w:val="40"/>
        </w:rPr>
        <w:t>/</w:t>
      </w:r>
      <w:r>
        <w:rPr>
          <w:rFonts w:ascii="Theinhardt Black" w:hAnsi="Theinhardt Black"/>
          <w:b/>
          <w:color w:val="0067B1"/>
          <w:spacing w:val="2"/>
          <w:sz w:val="40"/>
        </w:rPr>
        <w:t>A</w:t>
      </w:r>
      <w:r>
        <w:rPr>
          <w:rFonts w:ascii="Theinhardt Black" w:hAnsi="Theinhardt Black"/>
          <w:b/>
          <w:color w:val="0067B1"/>
          <w:sz w:val="40"/>
        </w:rPr>
        <w:t>R</w:t>
      </w:r>
      <w:r>
        <w:rPr>
          <w:rFonts w:ascii="Theinhardt Black" w:hAnsi="Theinhardt Black"/>
          <w:sz w:val="40"/>
        </w:rPr>
      </w:r>
    </w:p>
    <w:p>
      <w:pPr>
        <w:spacing w:line="240" w:lineRule="auto" w:before="1"/>
        <w:rPr>
          <w:rFonts w:ascii="Theinhardt Black" w:hAnsi="Theinhardt Black" w:cs="Theinhardt Black" w:eastAsia="Theinhardt Black"/>
          <w:b/>
          <w:bCs/>
          <w:sz w:val="22"/>
          <w:szCs w:val="22"/>
        </w:rPr>
      </w:pPr>
    </w:p>
    <w:p>
      <w:pPr>
        <w:spacing w:after="0" w:line="240" w:lineRule="auto"/>
        <w:rPr>
          <w:rFonts w:ascii="Theinhardt Black" w:hAnsi="Theinhardt Black" w:cs="Theinhardt Black" w:eastAsia="Theinhardt Black"/>
          <w:sz w:val="22"/>
          <w:szCs w:val="22"/>
        </w:rPr>
        <w:sectPr>
          <w:type w:val="continuous"/>
          <w:pgSz w:w="11910" w:h="16840"/>
          <w:pgMar w:top="860" w:bottom="280" w:left="460" w:right="720"/>
        </w:sectPr>
      </w:pPr>
    </w:p>
    <w:p>
      <w:pPr>
        <w:pStyle w:val="BodyText"/>
        <w:spacing w:line="230" w:lineRule="exact" w:before="74"/>
        <w:ind w:right="0" w:firstLine="0"/>
        <w:jc w:val="both"/>
      </w:pPr>
      <w:r>
        <w:rPr/>
        <w:t>In Rehetobel steht </w:t>
      </w:r>
      <w:r>
        <w:rPr>
          <w:spacing w:val="-1"/>
        </w:rPr>
        <w:t>an</w:t>
      </w:r>
      <w:r>
        <w:rPr/>
        <w:t> der </w:t>
      </w:r>
      <w:r>
        <w:rPr>
          <w:spacing w:val="-1"/>
        </w:rPr>
        <w:t>Schulstrasse</w:t>
      </w:r>
      <w:r>
        <w:rPr/>
        <w:t> das</w:t>
      </w:r>
      <w:r>
        <w:rPr>
          <w:spacing w:val="21"/>
        </w:rPr>
        <w:t> </w:t>
      </w:r>
      <w:r>
        <w:rPr/>
        <w:t>Einfamilienhaus</w:t>
      </w:r>
      <w:r>
        <w:rPr>
          <w:spacing w:val="47"/>
        </w:rPr>
        <w:t> </w:t>
      </w:r>
      <w:r>
        <w:rPr/>
        <w:t>von</w:t>
      </w:r>
      <w:r>
        <w:rPr>
          <w:spacing w:val="48"/>
        </w:rPr>
        <w:t> </w:t>
      </w:r>
      <w:r>
        <w:rPr>
          <w:spacing w:val="-1"/>
        </w:rPr>
        <w:t>Walter</w:t>
      </w:r>
      <w:r>
        <w:rPr>
          <w:spacing w:val="47"/>
        </w:rPr>
        <w:t> </w:t>
      </w:r>
      <w:r>
        <w:rPr/>
        <w:t>Züst.</w:t>
      </w:r>
      <w:r>
        <w:rPr>
          <w:spacing w:val="37"/>
        </w:rPr>
        <w:t> </w:t>
      </w:r>
      <w:r>
        <w:rPr/>
        <w:t>Im</w:t>
      </w:r>
      <w:r>
        <w:rPr>
          <w:spacing w:val="48"/>
        </w:rPr>
        <w:t> </w:t>
      </w:r>
      <w:r>
        <w:rPr/>
        <w:t>Jahr</w:t>
      </w:r>
      <w:r>
        <w:rPr>
          <w:spacing w:val="26"/>
        </w:rPr>
        <w:t> </w:t>
      </w:r>
      <w:r>
        <w:rPr/>
        <w:t>2015</w:t>
      </w:r>
      <w:r>
        <w:rPr>
          <w:spacing w:val="26"/>
        </w:rPr>
        <w:t> </w:t>
      </w:r>
      <w:r>
        <w:rPr>
          <w:spacing w:val="1"/>
        </w:rPr>
        <w:t>kaufte</w:t>
      </w:r>
      <w:r>
        <w:rPr>
          <w:spacing w:val="27"/>
        </w:rPr>
        <w:t> </w:t>
      </w:r>
      <w:r>
        <w:rPr/>
        <w:t>er</w:t>
      </w:r>
      <w:r>
        <w:rPr>
          <w:spacing w:val="26"/>
        </w:rPr>
        <w:t> </w:t>
      </w:r>
      <w:r>
        <w:rPr/>
        <w:t>das</w:t>
      </w:r>
      <w:r>
        <w:rPr>
          <w:spacing w:val="27"/>
        </w:rPr>
        <w:t> </w:t>
      </w:r>
      <w:r>
        <w:rPr/>
        <w:t>alte</w:t>
      </w:r>
      <w:r>
        <w:rPr>
          <w:spacing w:val="27"/>
        </w:rPr>
        <w:t> </w:t>
      </w:r>
      <w:r>
        <w:rPr>
          <w:spacing w:val="-1"/>
        </w:rPr>
        <w:t>Stickerhöckli</w:t>
      </w:r>
      <w:r>
        <w:rPr>
          <w:spacing w:val="26"/>
        </w:rPr>
        <w:t> </w:t>
      </w:r>
      <w:r>
        <w:rPr/>
        <w:t>und</w:t>
      </w:r>
      <w:r>
        <w:rPr>
          <w:spacing w:val="30"/>
        </w:rPr>
        <w:t> </w:t>
      </w:r>
      <w:r>
        <w:rPr/>
        <w:t>hat</w:t>
      </w:r>
      <w:r>
        <w:rPr>
          <w:spacing w:val="2"/>
        </w:rPr>
        <w:t> </w:t>
      </w:r>
      <w:r>
        <w:rPr/>
        <w:t>es</w:t>
      </w:r>
      <w:r>
        <w:rPr>
          <w:spacing w:val="2"/>
        </w:rPr>
        <w:t> </w:t>
      </w:r>
      <w:r>
        <w:rPr/>
        <w:t>in</w:t>
      </w:r>
      <w:r>
        <w:rPr>
          <w:spacing w:val="2"/>
        </w:rPr>
        <w:t> </w:t>
      </w:r>
      <w:r>
        <w:rPr>
          <w:spacing w:val="-1"/>
        </w:rPr>
        <w:t>Eigenregie</w:t>
      </w:r>
      <w:r>
        <w:rPr>
          <w:spacing w:val="2"/>
        </w:rPr>
        <w:t> </w:t>
      </w:r>
      <w:r>
        <w:rPr>
          <w:spacing w:val="-1"/>
        </w:rPr>
        <w:t>energetisch</w:t>
      </w:r>
      <w:r>
        <w:rPr>
          <w:spacing w:val="2"/>
        </w:rPr>
        <w:t> </w:t>
      </w:r>
      <w:r>
        <w:rPr/>
        <w:t>saniert.</w:t>
      </w:r>
      <w:r>
        <w:rPr>
          <w:spacing w:val="27"/>
        </w:rPr>
        <w:t> </w:t>
      </w:r>
      <w:r>
        <w:rPr>
          <w:spacing w:val="-1"/>
        </w:rPr>
        <w:t>Diese</w:t>
      </w:r>
      <w:r>
        <w:rPr>
          <w:spacing w:val="37"/>
        </w:rPr>
        <w:t> </w:t>
      </w:r>
      <w:r>
        <w:rPr>
          <w:spacing w:val="-1"/>
        </w:rPr>
        <w:t>Aufgabe</w:t>
      </w:r>
      <w:r>
        <w:rPr>
          <w:spacing w:val="38"/>
        </w:rPr>
        <w:t> </w:t>
      </w:r>
      <w:r>
        <w:rPr/>
        <w:t>erwies</w:t>
      </w:r>
      <w:r>
        <w:rPr>
          <w:spacing w:val="37"/>
        </w:rPr>
        <w:t> </w:t>
      </w:r>
      <w:r>
        <w:rPr/>
        <w:t>sich</w:t>
      </w:r>
      <w:r>
        <w:rPr>
          <w:spacing w:val="38"/>
        </w:rPr>
        <w:t> </w:t>
      </w:r>
      <w:r>
        <w:rPr/>
        <w:t>als</w:t>
      </w:r>
      <w:r>
        <w:rPr>
          <w:spacing w:val="38"/>
        </w:rPr>
        <w:t> </w:t>
      </w:r>
      <w:r>
        <w:rPr>
          <w:spacing w:val="-1"/>
        </w:rPr>
        <w:t>besonders</w:t>
      </w:r>
      <w:r>
        <w:rPr>
          <w:spacing w:val="37"/>
        </w:rPr>
        <w:t> </w:t>
      </w:r>
      <w:r>
        <w:rPr>
          <w:spacing w:val="-1"/>
        </w:rPr>
        <w:t>anspruchsvoll,</w:t>
      </w:r>
      <w:r>
        <w:rPr>
          <w:spacing w:val="8"/>
        </w:rPr>
        <w:t> </w:t>
      </w:r>
      <w:r>
        <w:rPr/>
        <w:t>weil</w:t>
      </w:r>
      <w:r>
        <w:rPr>
          <w:spacing w:val="19"/>
        </w:rPr>
        <w:t> </w:t>
      </w:r>
      <w:r>
        <w:rPr/>
        <w:t>das</w:t>
      </w:r>
      <w:r>
        <w:rPr>
          <w:spacing w:val="19"/>
        </w:rPr>
        <w:t> </w:t>
      </w:r>
      <w:r>
        <w:rPr/>
        <w:t>Haus</w:t>
      </w:r>
      <w:r>
        <w:rPr>
          <w:spacing w:val="19"/>
        </w:rPr>
        <w:t> </w:t>
      </w:r>
      <w:r>
        <w:rPr>
          <w:spacing w:val="-1"/>
        </w:rPr>
        <w:t>sehr</w:t>
      </w:r>
      <w:r>
        <w:rPr>
          <w:spacing w:val="19"/>
        </w:rPr>
        <w:t> </w:t>
      </w:r>
      <w:r>
        <w:rPr/>
        <w:t>klein</w:t>
      </w:r>
      <w:r>
        <w:rPr>
          <w:spacing w:val="19"/>
        </w:rPr>
        <w:t> </w:t>
      </w:r>
      <w:r>
        <w:rPr/>
        <w:t>ist</w:t>
      </w:r>
      <w:r>
        <w:rPr>
          <w:spacing w:val="29"/>
        </w:rPr>
        <w:t> </w:t>
      </w:r>
      <w:r>
        <w:rPr/>
        <w:t>und einen </w:t>
      </w:r>
      <w:r>
        <w:rPr>
          <w:spacing w:val="-1"/>
        </w:rPr>
        <w:t>Kreuzgiebel</w:t>
      </w:r>
      <w:r>
        <w:rPr/>
        <w:t> hat.</w:t>
      </w:r>
    </w:p>
    <w:p>
      <w:pPr>
        <w:pStyle w:val="BodyText"/>
        <w:spacing w:line="232" w:lineRule="auto" w:before="15"/>
        <w:ind w:right="0"/>
        <w:jc w:val="both"/>
      </w:pPr>
      <w:r>
        <w:rPr>
          <w:spacing w:val="1"/>
        </w:rPr>
        <w:t>Das</w:t>
      </w:r>
      <w:r>
        <w:rPr>
          <w:spacing w:val="29"/>
        </w:rPr>
        <w:t> </w:t>
      </w:r>
      <w:r>
        <w:rPr/>
        <w:t>Resultat</w:t>
      </w:r>
      <w:r>
        <w:rPr>
          <w:spacing w:val="30"/>
        </w:rPr>
        <w:t> </w:t>
      </w:r>
      <w:r>
        <w:rPr/>
        <w:t>ist</w:t>
      </w:r>
      <w:r>
        <w:rPr>
          <w:spacing w:val="29"/>
        </w:rPr>
        <w:t> </w:t>
      </w:r>
      <w:r>
        <w:rPr/>
        <w:t>ein</w:t>
      </w:r>
      <w:r>
        <w:rPr>
          <w:spacing w:val="30"/>
        </w:rPr>
        <w:t> </w:t>
      </w:r>
      <w:r>
        <w:rPr>
          <w:spacing w:val="-1"/>
        </w:rPr>
        <w:t>tiefer</w:t>
      </w:r>
      <w:r>
        <w:rPr>
          <w:spacing w:val="30"/>
        </w:rPr>
        <w:t> </w:t>
      </w:r>
      <w:r>
        <w:rPr/>
        <w:t>Gesamtener-</w:t>
      </w:r>
      <w:r>
        <w:rPr>
          <w:spacing w:val="25"/>
        </w:rPr>
        <w:t> </w:t>
      </w:r>
      <w:r>
        <w:rPr/>
        <w:t>giebedarf</w:t>
      </w:r>
      <w:r>
        <w:rPr>
          <w:spacing w:val="-2"/>
        </w:rPr>
        <w:t> </w:t>
      </w:r>
      <w:r>
        <w:rPr/>
        <w:t>von</w:t>
      </w:r>
      <w:r>
        <w:rPr>
          <w:spacing w:val="-2"/>
        </w:rPr>
        <w:t> </w:t>
      </w:r>
      <w:r>
        <w:rPr/>
        <w:t>4’600</w:t>
      </w:r>
      <w:r>
        <w:rPr>
          <w:spacing w:val="-2"/>
        </w:rPr>
        <w:t> kWh/a,</w:t>
      </w:r>
      <w:r>
        <w:rPr>
          <w:spacing w:val="-13"/>
        </w:rPr>
        <w:t> </w:t>
      </w:r>
      <w:r>
        <w:rPr/>
        <w:t>der</w:t>
      </w:r>
      <w:r>
        <w:rPr>
          <w:spacing w:val="-2"/>
        </w:rPr>
        <w:t> </w:t>
      </w:r>
      <w:r>
        <w:rPr>
          <w:spacing w:val="-1"/>
        </w:rPr>
        <w:t>dank</w:t>
      </w:r>
      <w:r>
        <w:rPr>
          <w:spacing w:val="-2"/>
        </w:rPr>
        <w:t> </w:t>
      </w:r>
      <w:r>
        <w:rPr/>
        <w:t>guter</w:t>
      </w:r>
      <w:r>
        <w:rPr>
          <w:spacing w:val="22"/>
        </w:rPr>
        <w:t> </w:t>
      </w:r>
      <w:r>
        <w:rPr/>
        <w:t>Dämmung</w:t>
      </w:r>
      <w:r>
        <w:rPr>
          <w:spacing w:val="47"/>
        </w:rPr>
        <w:t> </w:t>
      </w:r>
      <w:r>
        <w:rPr/>
        <w:t>der</w:t>
      </w:r>
      <w:r>
        <w:rPr>
          <w:spacing w:val="48"/>
        </w:rPr>
        <w:t> </w:t>
      </w:r>
      <w:r>
        <w:rPr/>
        <w:t>Gebäudehülle</w:t>
      </w:r>
      <w:r>
        <w:rPr>
          <w:spacing w:val="47"/>
        </w:rPr>
        <w:t> </w:t>
      </w:r>
      <w:r>
        <w:rPr/>
        <w:t>erzielt</w:t>
      </w:r>
      <w:r>
        <w:rPr>
          <w:spacing w:val="48"/>
        </w:rPr>
        <w:t> </w:t>
      </w:r>
      <w:r>
        <w:rPr>
          <w:spacing w:val="-2"/>
        </w:rPr>
        <w:t>wird.</w:t>
      </w:r>
      <w:r>
        <w:rPr>
          <w:spacing w:val="26"/>
        </w:rPr>
        <w:t> </w:t>
      </w:r>
      <w:r>
        <w:rPr>
          <w:spacing w:val="-2"/>
        </w:rPr>
        <w:t>Wegen</w:t>
      </w:r>
      <w:r>
        <w:rPr>
          <w:spacing w:val="27"/>
        </w:rPr>
        <w:t> </w:t>
      </w:r>
      <w:r>
        <w:rPr/>
        <w:t>eines</w:t>
      </w:r>
      <w:r>
        <w:rPr>
          <w:spacing w:val="28"/>
        </w:rPr>
        <w:t> </w:t>
      </w:r>
      <w:r>
        <w:rPr/>
        <w:t>Besitzerwechsels</w:t>
      </w:r>
      <w:r>
        <w:rPr>
          <w:spacing w:val="27"/>
        </w:rPr>
        <w:t> </w:t>
      </w:r>
      <w:r>
        <w:rPr/>
        <w:t>sind</w:t>
      </w:r>
      <w:r>
        <w:rPr>
          <w:spacing w:val="28"/>
        </w:rPr>
        <w:t> </w:t>
      </w:r>
      <w:r>
        <w:rPr/>
        <w:t>die</w:t>
      </w:r>
      <w:r>
        <w:rPr>
          <w:spacing w:val="26"/>
        </w:rPr>
        <w:t> </w:t>
      </w:r>
      <w:r>
        <w:rPr>
          <w:spacing w:val="-1"/>
        </w:rPr>
        <w:t>Energieverbrauchszahlen</w:t>
      </w:r>
      <w:r>
        <w:rPr>
          <w:spacing w:val="-2"/>
        </w:rPr>
        <w:t> </w:t>
      </w:r>
      <w:r>
        <w:rPr/>
        <w:t>vor</w:t>
      </w:r>
      <w:r>
        <w:rPr>
          <w:spacing w:val="-2"/>
        </w:rPr>
        <w:t> </w:t>
      </w:r>
      <w:r>
        <w:rPr/>
        <w:t>der</w:t>
      </w:r>
      <w:r>
        <w:rPr>
          <w:spacing w:val="-2"/>
        </w:rPr>
        <w:t> </w:t>
      </w:r>
      <w:r>
        <w:rPr/>
        <w:t>Sanierung</w:t>
      </w:r>
      <w:r>
        <w:rPr>
          <w:spacing w:val="29"/>
        </w:rPr>
        <w:t> </w:t>
      </w:r>
      <w:r>
        <w:rPr>
          <w:spacing w:val="-1"/>
        </w:rPr>
        <w:t>anhand</w:t>
      </w:r>
      <w:r>
        <w:rPr>
          <w:spacing w:val="22"/>
        </w:rPr>
        <w:t> </w:t>
      </w:r>
      <w:r>
        <w:rPr/>
        <w:t>des</w:t>
      </w:r>
      <w:r>
        <w:rPr>
          <w:spacing w:val="22"/>
        </w:rPr>
        <w:t> </w:t>
      </w:r>
      <w:r>
        <w:rPr>
          <w:spacing w:val="-1"/>
        </w:rPr>
        <w:t>Schweizer</w:t>
      </w:r>
      <w:r>
        <w:rPr>
          <w:spacing w:val="22"/>
        </w:rPr>
        <w:t> </w:t>
      </w:r>
      <w:r>
        <w:rPr>
          <w:spacing w:val="-1"/>
        </w:rPr>
        <w:t>Durchschnittsver-</w:t>
      </w:r>
      <w:r>
        <w:rPr>
          <w:spacing w:val="42"/>
        </w:rPr>
        <w:t> </w:t>
      </w:r>
      <w:r>
        <w:rPr>
          <w:spacing w:val="-1"/>
        </w:rPr>
        <w:t>brauchs</w:t>
      </w:r>
      <w:r>
        <w:rPr>
          <w:spacing w:val="16"/>
        </w:rPr>
        <w:t> </w:t>
      </w:r>
      <w:r>
        <w:rPr/>
        <w:t>von</w:t>
      </w:r>
      <w:r>
        <w:rPr>
          <w:spacing w:val="16"/>
        </w:rPr>
        <w:t> </w:t>
      </w:r>
      <w:r>
        <w:rPr/>
        <w:t>220</w:t>
      </w:r>
      <w:r>
        <w:rPr>
          <w:spacing w:val="17"/>
        </w:rPr>
        <w:t> </w:t>
      </w:r>
      <w:r>
        <w:rPr/>
        <w:t>kWh/m</w:t>
      </w:r>
      <w:r>
        <w:rPr>
          <w:position w:val="6"/>
          <w:sz w:val="10"/>
          <w:szCs w:val="10"/>
        </w:rPr>
        <w:t>2</w:t>
      </w:r>
      <w:r>
        <w:rPr/>
        <w:t>a</w:t>
      </w:r>
      <w:r>
        <w:rPr>
          <w:spacing w:val="16"/>
        </w:rPr>
        <w:t> </w:t>
      </w:r>
      <w:r>
        <w:rPr/>
        <w:t>geschätzt</w:t>
      </w:r>
      <w:r>
        <w:rPr>
          <w:spacing w:val="17"/>
        </w:rPr>
        <w:t> </w:t>
      </w:r>
      <w:r>
        <w:rPr/>
        <w:t>wor-</w:t>
      </w:r>
      <w:r>
        <w:rPr>
          <w:spacing w:val="30"/>
        </w:rPr>
        <w:t> </w:t>
      </w:r>
      <w:r>
        <w:rPr/>
        <w:t>den.</w:t>
      </w:r>
    </w:p>
    <w:p>
      <w:pPr>
        <w:pStyle w:val="BodyText"/>
        <w:spacing w:line="232" w:lineRule="auto"/>
        <w:ind w:right="0" w:firstLine="340"/>
        <w:jc w:val="both"/>
      </w:pPr>
      <w:r>
        <w:rPr/>
        <w:t>Solarthermische</w:t>
      </w:r>
      <w:r>
        <w:rPr>
          <w:spacing w:val="1"/>
        </w:rPr>
        <w:t> </w:t>
      </w:r>
      <w:r>
        <w:rPr>
          <w:spacing w:val="-1"/>
        </w:rPr>
        <w:t>Kollektoren</w:t>
      </w:r>
      <w:r>
        <w:rPr>
          <w:spacing w:val="1"/>
        </w:rPr>
        <w:t> </w:t>
      </w:r>
      <w:r>
        <w:rPr/>
        <w:t>auf</w:t>
      </w:r>
      <w:r>
        <w:rPr>
          <w:spacing w:val="1"/>
        </w:rPr>
        <w:t> </w:t>
      </w:r>
      <w:r>
        <w:rPr/>
        <w:t>dem</w:t>
      </w:r>
      <w:r>
        <w:rPr>
          <w:spacing w:val="26"/>
        </w:rPr>
        <w:t> </w:t>
      </w:r>
      <w:r>
        <w:rPr>
          <w:spacing w:val="-1"/>
        </w:rPr>
        <w:t>Hausdach</w:t>
      </w:r>
      <w:r>
        <w:rPr>
          <w:spacing w:val="20"/>
        </w:rPr>
        <w:t> </w:t>
      </w:r>
      <w:r>
        <w:rPr>
          <w:spacing w:val="-1"/>
        </w:rPr>
        <w:t>decken</w:t>
      </w:r>
      <w:r>
        <w:rPr>
          <w:spacing w:val="20"/>
        </w:rPr>
        <w:t> </w:t>
      </w:r>
      <w:r>
        <w:rPr/>
        <w:t>den</w:t>
      </w:r>
      <w:r>
        <w:rPr>
          <w:spacing w:val="20"/>
        </w:rPr>
        <w:t> </w:t>
      </w:r>
      <w:r>
        <w:rPr>
          <w:spacing w:val="-1"/>
        </w:rPr>
        <w:t>Warmwasserbedarf.</w:t>
      </w:r>
      <w:r>
        <w:rPr>
          <w:spacing w:val="28"/>
        </w:rPr>
        <w:t> </w:t>
      </w:r>
      <w:r>
        <w:rPr/>
        <w:t>Eine</w:t>
      </w:r>
      <w:r>
        <w:rPr>
          <w:spacing w:val="-6"/>
        </w:rPr>
        <w:t> </w:t>
      </w:r>
      <w:r>
        <w:rPr/>
        <w:t>30.2</w:t>
      </w:r>
      <w:r>
        <w:rPr>
          <w:spacing w:val="-6"/>
        </w:rPr>
        <w:t> </w:t>
      </w:r>
      <w:r>
        <w:rPr/>
        <w:t>m</w:t>
      </w:r>
      <w:r>
        <w:rPr>
          <w:position w:val="6"/>
          <w:sz w:val="10"/>
        </w:rPr>
        <w:t>2</w:t>
      </w:r>
      <w:r>
        <w:rPr>
          <w:spacing w:val="16"/>
          <w:position w:val="6"/>
          <w:sz w:val="10"/>
        </w:rPr>
        <w:t> </w:t>
      </w:r>
      <w:r>
        <w:rPr>
          <w:spacing w:val="-2"/>
        </w:rPr>
        <w:t>grosse</w:t>
      </w:r>
      <w:r>
        <w:rPr>
          <w:spacing w:val="-6"/>
        </w:rPr>
        <w:t> </w:t>
      </w:r>
      <w:r>
        <w:rPr>
          <w:spacing w:val="-2"/>
        </w:rPr>
        <w:t>5-kW-PV-Anlage</w:t>
      </w:r>
      <w:r>
        <w:rPr>
          <w:spacing w:val="-5"/>
        </w:rPr>
        <w:t> </w:t>
      </w:r>
      <w:r>
        <w:rPr/>
        <w:t>befin-</w:t>
      </w:r>
      <w:r>
        <w:rPr>
          <w:spacing w:val="31"/>
        </w:rPr>
        <w:t> </w:t>
      </w:r>
      <w:r>
        <w:rPr/>
        <w:t>det</w:t>
      </w:r>
      <w:r>
        <w:rPr>
          <w:spacing w:val="16"/>
        </w:rPr>
        <w:t> </w:t>
      </w:r>
      <w:r>
        <w:rPr/>
        <w:t>sich</w:t>
      </w:r>
      <w:r>
        <w:rPr>
          <w:spacing w:val="16"/>
        </w:rPr>
        <w:t> </w:t>
      </w:r>
      <w:r>
        <w:rPr>
          <w:spacing w:val="-1"/>
        </w:rPr>
        <w:t>an</w:t>
      </w:r>
      <w:r>
        <w:rPr>
          <w:spacing w:val="16"/>
        </w:rPr>
        <w:t> </w:t>
      </w:r>
      <w:r>
        <w:rPr/>
        <w:t>einer</w:t>
      </w:r>
      <w:r>
        <w:rPr>
          <w:spacing w:val="16"/>
        </w:rPr>
        <w:t> </w:t>
      </w:r>
      <w:r>
        <w:rPr/>
        <w:t>bestehenden</w:t>
      </w:r>
      <w:r>
        <w:rPr>
          <w:spacing w:val="16"/>
        </w:rPr>
        <w:t> </w:t>
      </w:r>
      <w:r>
        <w:rPr/>
        <w:t>Stützmauer</w:t>
      </w:r>
      <w:r>
        <w:rPr>
          <w:spacing w:val="27"/>
        </w:rPr>
        <w:t> </w:t>
      </w:r>
      <w:r>
        <w:rPr/>
        <w:t>und</w:t>
      </w:r>
      <w:r>
        <w:rPr>
          <w:spacing w:val="41"/>
        </w:rPr>
        <w:t> </w:t>
      </w:r>
      <w:r>
        <w:rPr/>
        <w:t>auf</w:t>
      </w:r>
      <w:r>
        <w:rPr>
          <w:spacing w:val="42"/>
        </w:rPr>
        <w:t> </w:t>
      </w:r>
      <w:r>
        <w:rPr/>
        <w:t>dem</w:t>
      </w:r>
      <w:r>
        <w:rPr>
          <w:spacing w:val="41"/>
        </w:rPr>
        <w:t> </w:t>
      </w:r>
      <w:r>
        <w:rPr>
          <w:spacing w:val="-1"/>
        </w:rPr>
        <w:t>Wiesenbord</w:t>
      </w:r>
      <w:r>
        <w:rPr>
          <w:spacing w:val="42"/>
        </w:rPr>
        <w:t> </w:t>
      </w:r>
      <w:r>
        <w:rPr/>
        <w:t>vor</w:t>
      </w:r>
      <w:r>
        <w:rPr>
          <w:spacing w:val="42"/>
        </w:rPr>
        <w:t> </w:t>
      </w:r>
      <w:r>
        <w:rPr/>
        <w:t>dem</w:t>
      </w:r>
      <w:r>
        <w:rPr>
          <w:spacing w:val="41"/>
        </w:rPr>
        <w:t> </w:t>
      </w:r>
      <w:r>
        <w:rPr/>
        <w:t>Haus,</w:t>
      </w:r>
    </w:p>
    <w:p>
      <w:pPr>
        <w:pStyle w:val="BodyText"/>
        <w:spacing w:line="230" w:lineRule="exact" w:before="74"/>
        <w:ind w:right="0" w:firstLine="0"/>
        <w:jc w:val="both"/>
      </w:pPr>
      <w:r>
        <w:rPr/>
        <w:br w:type="column"/>
      </w:r>
      <w:r>
        <w:rPr/>
        <w:t>weil</w:t>
      </w:r>
      <w:r>
        <w:rPr>
          <w:spacing w:val="11"/>
        </w:rPr>
        <w:t> </w:t>
      </w:r>
      <w:r>
        <w:rPr/>
        <w:t>der</w:t>
      </w:r>
      <w:r>
        <w:rPr>
          <w:spacing w:val="11"/>
        </w:rPr>
        <w:t> </w:t>
      </w:r>
      <w:r>
        <w:rPr/>
        <w:t>notwendige</w:t>
      </w:r>
      <w:r>
        <w:rPr>
          <w:spacing w:val="11"/>
        </w:rPr>
        <w:t> </w:t>
      </w:r>
      <w:r>
        <w:rPr>
          <w:spacing w:val="1"/>
        </w:rPr>
        <w:t>Platz</w:t>
      </w:r>
      <w:r>
        <w:rPr>
          <w:spacing w:val="11"/>
        </w:rPr>
        <w:t> </w:t>
      </w:r>
      <w:r>
        <w:rPr/>
        <w:t>auf</w:t>
      </w:r>
      <w:r>
        <w:rPr>
          <w:spacing w:val="11"/>
        </w:rPr>
        <w:t> </w:t>
      </w:r>
      <w:r>
        <w:rPr/>
        <w:t>dem</w:t>
      </w:r>
      <w:r>
        <w:rPr>
          <w:spacing w:val="11"/>
        </w:rPr>
        <w:t> </w:t>
      </w:r>
      <w:r>
        <w:rPr/>
        <w:t>kleinen</w:t>
      </w:r>
      <w:r>
        <w:rPr>
          <w:spacing w:val="23"/>
        </w:rPr>
        <w:t> </w:t>
      </w:r>
      <w:r>
        <w:rPr>
          <w:spacing w:val="-1"/>
        </w:rPr>
        <w:t>Kreuzgiebeldach</w:t>
      </w:r>
      <w:r>
        <w:rPr>
          <w:spacing w:val="1"/>
        </w:rPr>
        <w:t> </w:t>
      </w:r>
      <w:r>
        <w:rPr>
          <w:spacing w:val="-1"/>
        </w:rPr>
        <w:t>fehlte.</w:t>
      </w:r>
      <w:r>
        <w:rPr>
          <w:spacing w:val="-10"/>
        </w:rPr>
        <w:t> </w:t>
      </w:r>
      <w:r>
        <w:rPr/>
        <w:t>Beide</w:t>
      </w:r>
      <w:r>
        <w:rPr>
          <w:spacing w:val="1"/>
        </w:rPr>
        <w:t> </w:t>
      </w:r>
      <w:r>
        <w:rPr>
          <w:spacing w:val="-1"/>
        </w:rPr>
        <w:t>Anlagen</w:t>
      </w:r>
      <w:r>
        <w:rPr>
          <w:spacing w:val="1"/>
        </w:rPr>
        <w:t> </w:t>
      </w:r>
      <w:r>
        <w:rPr>
          <w:spacing w:val="-2"/>
        </w:rPr>
        <w:t>pro-</w:t>
      </w:r>
      <w:r>
        <w:rPr>
          <w:spacing w:val="47"/>
        </w:rPr>
        <w:t> </w:t>
      </w:r>
      <w:r>
        <w:rPr>
          <w:spacing w:val="-1"/>
        </w:rPr>
        <w:t>duzieren</w:t>
      </w:r>
      <w:r>
        <w:rPr>
          <w:spacing w:val="1"/>
        </w:rPr>
        <w:t> </w:t>
      </w:r>
      <w:r>
        <w:rPr>
          <w:spacing w:val="-1"/>
        </w:rPr>
        <w:t>insgesamt</w:t>
      </w:r>
      <w:r>
        <w:rPr>
          <w:spacing w:val="1"/>
        </w:rPr>
        <w:t> </w:t>
      </w:r>
      <w:r>
        <w:rPr/>
        <w:t>6’000</w:t>
      </w:r>
      <w:r>
        <w:rPr>
          <w:spacing w:val="1"/>
        </w:rPr>
        <w:t> </w:t>
      </w:r>
      <w:r>
        <w:rPr>
          <w:spacing w:val="-2"/>
        </w:rPr>
        <w:t>kWh/a.</w:t>
      </w:r>
      <w:r>
        <w:rPr>
          <w:spacing w:val="-10"/>
        </w:rPr>
        <w:t> </w:t>
      </w:r>
      <w:r>
        <w:rPr>
          <w:spacing w:val="-1"/>
        </w:rPr>
        <w:t>Dies</w:t>
      </w:r>
      <w:r>
        <w:rPr>
          <w:spacing w:val="1"/>
        </w:rPr>
        <w:t> </w:t>
      </w:r>
      <w:r>
        <w:rPr/>
        <w:t>ent-</w:t>
      </w:r>
      <w:r>
        <w:rPr>
          <w:spacing w:val="29"/>
        </w:rPr>
        <w:t> </w:t>
      </w:r>
      <w:r>
        <w:rPr>
          <w:spacing w:val="-1"/>
        </w:rPr>
        <w:t>spricht</w:t>
      </w:r>
      <w:r>
        <w:rPr>
          <w:spacing w:val="46"/>
        </w:rPr>
        <w:t> </w:t>
      </w:r>
      <w:r>
        <w:rPr/>
        <w:t>einer</w:t>
      </w:r>
      <w:r>
        <w:rPr>
          <w:spacing w:val="47"/>
        </w:rPr>
        <w:t> </w:t>
      </w:r>
      <w:r>
        <w:rPr>
          <w:spacing w:val="-1"/>
        </w:rPr>
        <w:t>Eigenenergieversorgung</w:t>
      </w:r>
      <w:r>
        <w:rPr>
          <w:spacing w:val="46"/>
        </w:rPr>
        <w:t> </w:t>
      </w:r>
      <w:r>
        <w:rPr/>
        <w:t>von</w:t>
      </w:r>
      <w:r>
        <w:rPr>
          <w:spacing w:val="28"/>
        </w:rPr>
        <w:t> </w:t>
      </w:r>
      <w:r>
        <w:rPr/>
        <w:t>131%.</w:t>
      </w:r>
    </w:p>
    <w:p>
      <w:pPr>
        <w:pStyle w:val="BodyText"/>
        <w:spacing w:line="230" w:lineRule="exact"/>
        <w:ind w:right="0"/>
        <w:jc w:val="both"/>
      </w:pPr>
      <w:r>
        <w:rPr/>
        <w:t>Der</w:t>
      </w:r>
      <w:r>
        <w:rPr>
          <w:spacing w:val="31"/>
        </w:rPr>
        <w:t> </w:t>
      </w:r>
      <w:r>
        <w:rPr>
          <w:spacing w:val="-1"/>
        </w:rPr>
        <w:t>Solarstromüberschuss</w:t>
      </w:r>
      <w:r>
        <w:rPr>
          <w:spacing w:val="32"/>
        </w:rPr>
        <w:t> </w:t>
      </w:r>
      <w:r>
        <w:rPr/>
        <w:t>von</w:t>
      </w:r>
      <w:r>
        <w:rPr>
          <w:spacing w:val="31"/>
        </w:rPr>
        <w:t> </w:t>
      </w:r>
      <w:r>
        <w:rPr/>
        <w:t>1’400</w:t>
      </w:r>
      <w:r>
        <w:rPr>
          <w:spacing w:val="23"/>
        </w:rPr>
        <w:t> </w:t>
      </w:r>
      <w:r>
        <w:rPr>
          <w:spacing w:val="-2"/>
        </w:rPr>
        <w:t>kWh/a</w:t>
      </w:r>
      <w:r>
        <w:rPr>
          <w:spacing w:val="1"/>
        </w:rPr>
        <w:t> </w:t>
      </w:r>
      <w:r>
        <w:rPr>
          <w:spacing w:val="-1"/>
        </w:rPr>
        <w:t>reicht</w:t>
      </w:r>
      <w:r>
        <w:rPr>
          <w:spacing w:val="1"/>
        </w:rPr>
        <w:t> </w:t>
      </w:r>
      <w:r>
        <w:rPr/>
        <w:t>aus,</w:t>
      </w:r>
      <w:r>
        <w:rPr>
          <w:spacing w:val="-10"/>
        </w:rPr>
        <w:t> </w:t>
      </w:r>
      <w:r>
        <w:rPr/>
        <w:t>um</w:t>
      </w:r>
      <w:r>
        <w:rPr>
          <w:spacing w:val="1"/>
        </w:rPr>
        <w:t> </w:t>
      </w:r>
      <w:r>
        <w:rPr/>
        <w:t>den</w:t>
      </w:r>
      <w:r>
        <w:rPr>
          <w:spacing w:val="1"/>
        </w:rPr>
        <w:t> </w:t>
      </w:r>
      <w:r>
        <w:rPr>
          <w:spacing w:val="-1"/>
        </w:rPr>
        <w:t>Jahresbedarf</w:t>
      </w:r>
      <w:r>
        <w:rPr>
          <w:spacing w:val="1"/>
        </w:rPr>
        <w:t> </w:t>
      </w:r>
      <w:r>
        <w:rPr/>
        <w:t>des</w:t>
      </w:r>
      <w:r>
        <w:rPr>
          <w:spacing w:val="22"/>
        </w:rPr>
        <w:t> </w:t>
      </w:r>
      <w:r>
        <w:rPr/>
        <w:t>eigenen</w:t>
      </w:r>
      <w:r>
        <w:rPr>
          <w:spacing w:val="-10"/>
        </w:rPr>
        <w:t> </w:t>
      </w:r>
      <w:r>
        <w:rPr>
          <w:spacing w:val="-1"/>
        </w:rPr>
        <w:t>Leichtelektromobils</w:t>
      </w:r>
      <w:r>
        <w:rPr>
          <w:spacing w:val="-24"/>
        </w:rPr>
        <w:t> </w:t>
      </w:r>
      <w:r>
        <w:rPr/>
        <w:t>TWIKE</w:t>
      </w:r>
      <w:r>
        <w:rPr>
          <w:spacing w:val="-10"/>
        </w:rPr>
        <w:t> </w:t>
      </w:r>
      <w:r>
        <w:rPr/>
        <w:t>vierfach</w:t>
      </w:r>
      <w:r>
        <w:rPr>
          <w:spacing w:val="26"/>
        </w:rPr>
        <w:t> </w:t>
      </w:r>
      <w:r>
        <w:rPr/>
        <w:t>zu </w:t>
      </w:r>
      <w:r>
        <w:rPr>
          <w:spacing w:val="-1"/>
        </w:rPr>
        <w:t>decken.</w:t>
      </w:r>
    </w:p>
    <w:p>
      <w:pPr>
        <w:pStyle w:val="BodyText"/>
        <w:spacing w:line="230" w:lineRule="exact"/>
        <w:ind w:right="0"/>
        <w:jc w:val="both"/>
      </w:pPr>
      <w:r>
        <w:rPr>
          <w:spacing w:val="-2"/>
        </w:rPr>
        <w:t>Für</w:t>
      </w:r>
      <w:r>
        <w:rPr>
          <w:spacing w:val="37"/>
        </w:rPr>
        <w:t> </w:t>
      </w:r>
      <w:r>
        <w:rPr>
          <w:spacing w:val="-1"/>
        </w:rPr>
        <w:t>Walter</w:t>
      </w:r>
      <w:r>
        <w:rPr>
          <w:spacing w:val="38"/>
        </w:rPr>
        <w:t> </w:t>
      </w:r>
      <w:r>
        <w:rPr/>
        <w:t>Züst</w:t>
      </w:r>
      <w:r>
        <w:rPr>
          <w:spacing w:val="37"/>
        </w:rPr>
        <w:t> </w:t>
      </w:r>
      <w:r>
        <w:rPr/>
        <w:t>ist</w:t>
      </w:r>
      <w:r>
        <w:rPr>
          <w:spacing w:val="38"/>
        </w:rPr>
        <w:t> </w:t>
      </w:r>
      <w:r>
        <w:rPr/>
        <w:t>ein</w:t>
      </w:r>
      <w:r>
        <w:rPr>
          <w:spacing w:val="38"/>
        </w:rPr>
        <w:t> </w:t>
      </w:r>
      <w:r>
        <w:rPr>
          <w:spacing w:val="-2"/>
        </w:rPr>
        <w:t>Wohnhaus</w:t>
      </w:r>
      <w:r>
        <w:rPr>
          <w:spacing w:val="37"/>
        </w:rPr>
        <w:t> </w:t>
      </w:r>
      <w:r>
        <w:rPr>
          <w:spacing w:val="-2"/>
        </w:rPr>
        <w:t>kein</w:t>
      </w:r>
      <w:r>
        <w:rPr>
          <w:spacing w:val="21"/>
        </w:rPr>
        <w:t> </w:t>
      </w:r>
      <w:r>
        <w:rPr>
          <w:spacing w:val="-1"/>
        </w:rPr>
        <w:t>festes</w:t>
      </w:r>
      <w:r>
        <w:rPr>
          <w:spacing w:val="-8"/>
        </w:rPr>
        <w:t> </w:t>
      </w:r>
      <w:r>
        <w:rPr/>
        <w:t>Eigentum,</w:t>
      </w:r>
      <w:r>
        <w:rPr>
          <w:spacing w:val="-19"/>
        </w:rPr>
        <w:t> </w:t>
      </w:r>
      <w:r>
        <w:rPr>
          <w:spacing w:val="-1"/>
        </w:rPr>
        <w:t>sondern</w:t>
      </w:r>
      <w:r>
        <w:rPr>
          <w:spacing w:val="-8"/>
        </w:rPr>
        <w:t> </w:t>
      </w:r>
      <w:r>
        <w:rPr/>
        <w:t>eine</w:t>
      </w:r>
      <w:r>
        <w:rPr>
          <w:spacing w:val="-8"/>
        </w:rPr>
        <w:t> </w:t>
      </w:r>
      <w:r>
        <w:rPr>
          <w:spacing w:val="-1"/>
        </w:rPr>
        <w:t>Leihgabe</w:t>
      </w:r>
      <w:r>
        <w:rPr>
          <w:spacing w:val="-8"/>
        </w:rPr>
        <w:t> </w:t>
      </w:r>
      <w:r>
        <w:rPr/>
        <w:t>auf</w:t>
      </w:r>
      <w:r>
        <w:rPr>
          <w:spacing w:val="25"/>
        </w:rPr>
        <w:t> </w:t>
      </w:r>
      <w:r>
        <w:rPr/>
        <w:t>Zeit,</w:t>
      </w:r>
      <w:r>
        <w:rPr>
          <w:spacing w:val="-6"/>
        </w:rPr>
        <w:t> </w:t>
      </w:r>
      <w:r>
        <w:rPr>
          <w:spacing w:val="-1"/>
        </w:rPr>
        <w:t>denn</w:t>
      </w:r>
      <w:r>
        <w:rPr>
          <w:spacing w:val="5"/>
        </w:rPr>
        <w:t> </w:t>
      </w:r>
      <w:r>
        <w:rPr/>
        <w:t>ein</w:t>
      </w:r>
      <w:r>
        <w:rPr>
          <w:spacing w:val="5"/>
        </w:rPr>
        <w:t> </w:t>
      </w:r>
      <w:r>
        <w:rPr/>
        <w:t>gut</w:t>
      </w:r>
      <w:r>
        <w:rPr>
          <w:spacing w:val="5"/>
        </w:rPr>
        <w:t> </w:t>
      </w:r>
      <w:r>
        <w:rPr/>
        <w:t>gebautes</w:t>
      </w:r>
      <w:r>
        <w:rPr>
          <w:spacing w:val="5"/>
        </w:rPr>
        <w:t> </w:t>
      </w:r>
      <w:r>
        <w:rPr/>
        <w:t>und</w:t>
      </w:r>
      <w:r>
        <w:rPr>
          <w:spacing w:val="5"/>
        </w:rPr>
        <w:t> </w:t>
      </w:r>
      <w:r>
        <w:rPr/>
        <w:t>gepflegtes</w:t>
      </w:r>
      <w:r>
        <w:rPr>
          <w:spacing w:val="24"/>
        </w:rPr>
        <w:t> </w:t>
      </w:r>
      <w:r>
        <w:rPr/>
        <w:t>Haus</w:t>
      </w:r>
      <w:r>
        <w:rPr>
          <w:spacing w:val="-3"/>
        </w:rPr>
        <w:t> </w:t>
      </w:r>
      <w:r>
        <w:rPr/>
        <w:t>hat</w:t>
      </w:r>
      <w:r>
        <w:rPr>
          <w:spacing w:val="-3"/>
        </w:rPr>
        <w:t> </w:t>
      </w:r>
      <w:r>
        <w:rPr/>
        <w:t>die</w:t>
      </w:r>
      <w:r>
        <w:rPr>
          <w:spacing w:val="-3"/>
        </w:rPr>
        <w:t> </w:t>
      </w:r>
      <w:r>
        <w:rPr/>
        <w:t>mehrfache</w:t>
      </w:r>
      <w:r>
        <w:rPr>
          <w:spacing w:val="-3"/>
        </w:rPr>
        <w:t> </w:t>
      </w:r>
      <w:r>
        <w:rPr>
          <w:spacing w:val="-1"/>
        </w:rPr>
        <w:t>Lebensdauer</w:t>
      </w:r>
      <w:r>
        <w:rPr>
          <w:spacing w:val="-3"/>
        </w:rPr>
        <w:t> </w:t>
      </w:r>
      <w:r>
        <w:rPr/>
        <w:t>eines</w:t>
      </w:r>
      <w:r>
        <w:rPr>
          <w:spacing w:val="28"/>
        </w:rPr>
        <w:t> </w:t>
      </w:r>
      <w:r>
        <w:rPr>
          <w:spacing w:val="-1"/>
        </w:rPr>
        <w:t>Menschen.</w:t>
      </w:r>
      <w:r>
        <w:rPr>
          <w:spacing w:val="-5"/>
        </w:rPr>
        <w:t> </w:t>
      </w:r>
      <w:r>
        <w:rPr/>
        <w:t>Deshalb</w:t>
      </w:r>
      <w:r>
        <w:rPr>
          <w:spacing w:val="5"/>
        </w:rPr>
        <w:t> </w:t>
      </w:r>
      <w:r>
        <w:rPr/>
        <w:t>hat</w:t>
      </w:r>
      <w:r>
        <w:rPr>
          <w:spacing w:val="5"/>
        </w:rPr>
        <w:t> </w:t>
      </w:r>
      <w:r>
        <w:rPr/>
        <w:t>er</w:t>
      </w:r>
      <w:r>
        <w:rPr>
          <w:spacing w:val="5"/>
        </w:rPr>
        <w:t> </w:t>
      </w:r>
      <w:r>
        <w:rPr/>
        <w:t>das</w:t>
      </w:r>
      <w:r>
        <w:rPr>
          <w:spacing w:val="5"/>
        </w:rPr>
        <w:t> </w:t>
      </w:r>
      <w:r>
        <w:rPr/>
        <w:t>Gebäude</w:t>
      </w:r>
      <w:r>
        <w:rPr>
          <w:spacing w:val="5"/>
        </w:rPr>
        <w:t> </w:t>
      </w:r>
      <w:r>
        <w:rPr>
          <w:spacing w:val="-1"/>
        </w:rPr>
        <w:t>so</w:t>
      </w:r>
      <w:r>
        <w:rPr>
          <w:spacing w:val="22"/>
        </w:rPr>
        <w:t> </w:t>
      </w:r>
      <w:r>
        <w:rPr/>
        <w:t>saniert,</w:t>
      </w:r>
      <w:r>
        <w:rPr>
          <w:spacing w:val="3"/>
        </w:rPr>
        <w:t> </w:t>
      </w:r>
      <w:r>
        <w:rPr/>
        <w:t>dass</w:t>
      </w:r>
      <w:r>
        <w:rPr>
          <w:spacing w:val="14"/>
        </w:rPr>
        <w:t> </w:t>
      </w:r>
      <w:r>
        <w:rPr/>
        <w:t>es</w:t>
      </w:r>
      <w:r>
        <w:rPr>
          <w:spacing w:val="14"/>
        </w:rPr>
        <w:t> </w:t>
      </w:r>
      <w:r>
        <w:rPr/>
        <w:t>auch</w:t>
      </w:r>
      <w:r>
        <w:rPr>
          <w:spacing w:val="14"/>
        </w:rPr>
        <w:t> </w:t>
      </w:r>
      <w:r>
        <w:rPr/>
        <w:t>noch</w:t>
      </w:r>
      <w:r>
        <w:rPr>
          <w:spacing w:val="14"/>
        </w:rPr>
        <w:t> </w:t>
      </w:r>
      <w:r>
        <w:rPr>
          <w:spacing w:val="-1"/>
        </w:rPr>
        <w:t>nach</w:t>
      </w:r>
      <w:r>
        <w:rPr>
          <w:spacing w:val="14"/>
        </w:rPr>
        <w:t> </w:t>
      </w:r>
      <w:r>
        <w:rPr>
          <w:spacing w:val="-1"/>
        </w:rPr>
        <w:t>Jahrzehn-</w:t>
      </w:r>
      <w:r>
        <w:rPr>
          <w:spacing w:val="36"/>
        </w:rPr>
        <w:t> </w:t>
      </w:r>
      <w:r>
        <w:rPr/>
        <w:t>ten</w:t>
      </w:r>
      <w:r>
        <w:rPr>
          <w:spacing w:val="29"/>
        </w:rPr>
        <w:t> </w:t>
      </w:r>
      <w:r>
        <w:rPr/>
        <w:t>den</w:t>
      </w:r>
      <w:r>
        <w:rPr>
          <w:spacing w:val="30"/>
        </w:rPr>
        <w:t> </w:t>
      </w:r>
      <w:r>
        <w:rPr>
          <w:spacing w:val="-1"/>
        </w:rPr>
        <w:t>energetischen</w:t>
      </w:r>
      <w:r>
        <w:rPr>
          <w:spacing w:val="29"/>
        </w:rPr>
        <w:t> </w:t>
      </w:r>
      <w:r>
        <w:rPr>
          <w:spacing w:val="-1"/>
        </w:rPr>
        <w:t>Anforderungen</w:t>
      </w:r>
      <w:r>
        <w:rPr>
          <w:spacing w:val="30"/>
        </w:rPr>
        <w:t> </w:t>
      </w:r>
      <w:r>
        <w:rPr/>
        <w:t>der</w:t>
      </w:r>
      <w:r>
        <w:rPr>
          <w:spacing w:val="30"/>
        </w:rPr>
        <w:t> </w:t>
      </w:r>
      <w:r>
        <w:rPr>
          <w:spacing w:val="-1"/>
        </w:rPr>
        <w:t>Zeit</w:t>
      </w:r>
      <w:r>
        <w:rPr/>
        <w:t> genügt.</w:t>
      </w:r>
    </w:p>
    <w:p>
      <w:pPr>
        <w:pStyle w:val="BodyText"/>
        <w:spacing w:line="230" w:lineRule="exact"/>
        <w:ind w:right="0"/>
        <w:jc w:val="both"/>
      </w:pPr>
      <w:r>
        <w:rPr>
          <w:spacing w:val="-2"/>
        </w:rPr>
        <w:t>Für</w:t>
      </w:r>
      <w:r>
        <w:rPr>
          <w:spacing w:val="41"/>
        </w:rPr>
        <w:t> </w:t>
      </w:r>
      <w:r>
        <w:rPr>
          <w:spacing w:val="-1"/>
        </w:rPr>
        <w:t>diese</w:t>
      </w:r>
      <w:r>
        <w:rPr>
          <w:spacing w:val="42"/>
        </w:rPr>
        <w:t> </w:t>
      </w:r>
      <w:r>
        <w:rPr>
          <w:spacing w:val="-1"/>
        </w:rPr>
        <w:t>PEB-Sanierung</w:t>
      </w:r>
      <w:r>
        <w:rPr>
          <w:spacing w:val="41"/>
        </w:rPr>
        <w:t> </w:t>
      </w:r>
      <w:r>
        <w:rPr/>
        <w:t>erhält</w:t>
      </w:r>
      <w:r>
        <w:rPr>
          <w:spacing w:val="42"/>
        </w:rPr>
        <w:t> </w:t>
      </w:r>
      <w:r>
        <w:rPr>
          <w:spacing w:val="-1"/>
        </w:rPr>
        <w:t>Walter</w:t>
      </w:r>
      <w:r>
        <w:rPr>
          <w:spacing w:val="29"/>
        </w:rPr>
        <w:t> </w:t>
      </w:r>
      <w:r>
        <w:rPr/>
        <w:t>Züst das </w:t>
      </w:r>
      <w:r>
        <w:rPr>
          <w:spacing w:val="-1"/>
        </w:rPr>
        <w:t>PlusEnergieBau-Diplom</w:t>
      </w:r>
      <w:r>
        <w:rPr/>
        <w:t> 2016.</w:t>
      </w:r>
    </w:p>
    <w:p>
      <w:pPr>
        <w:spacing w:before="67"/>
        <w:ind w:left="105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/>
        <w:br w:type="column"/>
      </w:r>
      <w:r>
        <w:rPr>
          <w:rFonts w:ascii="Theinhardt Black"/>
          <w:b/>
          <w:sz w:val="14"/>
        </w:rPr>
        <w:t>Technische </w:t>
      </w:r>
      <w:r>
        <w:rPr>
          <w:rFonts w:ascii="Theinhardt Black"/>
          <w:b/>
          <w:spacing w:val="1"/>
          <w:sz w:val="14"/>
        </w:rPr>
        <w:t>Daten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05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before="20"/>
        <w:ind w:left="105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spacing w:val="1"/>
          <w:sz w:val="14"/>
        </w:rPr>
        <w:t>Wärmedämmung</w:t>
      </w:r>
      <w:r>
        <w:rPr>
          <w:rFonts w:ascii="Theinhardt Bold" w:hAnsi="Theinhardt Bold"/>
          <w:sz w:val="14"/>
        </w:rPr>
      </w:r>
    </w:p>
    <w:p>
      <w:pPr>
        <w:spacing w:line="240" w:lineRule="auto" w:before="3"/>
        <w:rPr>
          <w:rFonts w:ascii="Theinhardt Bold" w:hAnsi="Theinhardt Bold" w:cs="Theinhardt Bold" w:eastAsia="Theinhardt Bold"/>
          <w:b/>
          <w:bCs/>
          <w:sz w:val="3"/>
          <w:szCs w:val="3"/>
        </w:rPr>
      </w:pPr>
    </w:p>
    <w:tbl>
      <w:tblPr>
        <w:tblW w:w="0" w:type="auto"/>
        <w:jc w:val="left"/>
        <w:tblInd w:w="5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36"/>
        <w:gridCol w:w="743"/>
        <w:gridCol w:w="741"/>
        <w:gridCol w:w="1010"/>
      </w:tblGrid>
      <w:tr>
        <w:trPr>
          <w:trHeight w:val="111" w:hRule="exact"/>
        </w:trPr>
        <w:tc>
          <w:tcPr>
            <w:tcW w:w="73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11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Wand:</w:t>
            </w:r>
          </w:p>
        </w:tc>
        <w:tc>
          <w:tcPr>
            <w:tcW w:w="74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11" w:lineRule="exact"/>
              <w:ind w:left="291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-1"/>
                <w:sz w:val="14"/>
              </w:rPr>
              <w:t>26</w:t>
            </w:r>
            <w:r>
              <w:rPr>
                <w:rFonts w:ascii="Theinhardt Regular"/>
                <w:sz w:val="14"/>
              </w:rPr>
              <w:t> </w:t>
            </w:r>
            <w:r>
              <w:rPr>
                <w:rFonts w:ascii="Theinhardt Regular"/>
                <w:spacing w:val="1"/>
                <w:sz w:val="14"/>
              </w:rPr>
              <w:t>cm</w:t>
            </w:r>
          </w:p>
        </w:tc>
        <w:tc>
          <w:tcPr>
            <w:tcW w:w="74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11" w:lineRule="exact"/>
              <w:ind w:left="63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1"/>
                <w:sz w:val="14"/>
              </w:rPr>
              <w:t>U-Wert:</w:t>
            </w:r>
          </w:p>
        </w:tc>
        <w:tc>
          <w:tcPr>
            <w:tcW w:w="101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11" w:lineRule="exact"/>
              <w:ind w:left="223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-5"/>
                <w:sz w:val="14"/>
              </w:rPr>
              <w:t>0.16</w:t>
            </w:r>
            <w:r>
              <w:rPr>
                <w:rFonts w:ascii="Theinhardt Regular"/>
                <w:sz w:val="14"/>
              </w:rPr>
              <w:t> </w:t>
            </w:r>
            <w:r>
              <w:rPr>
                <w:rFonts w:ascii="Theinhardt Regular"/>
                <w:spacing w:val="-2"/>
                <w:sz w:val="14"/>
              </w:rPr>
              <w:t>W/m</w:t>
            </w:r>
            <w:r>
              <w:rPr>
                <w:rFonts w:ascii="Theinhardt Regular"/>
                <w:spacing w:val="-2"/>
                <w:position w:val="5"/>
                <w:sz w:val="8"/>
              </w:rPr>
              <w:t>2</w:t>
            </w:r>
            <w:r>
              <w:rPr>
                <w:rFonts w:ascii="Theinhardt Regular"/>
                <w:spacing w:val="-2"/>
                <w:sz w:val="14"/>
              </w:rPr>
              <w:t>K</w:t>
            </w:r>
          </w:p>
        </w:tc>
      </w:tr>
      <w:tr>
        <w:trPr>
          <w:trHeight w:val="160" w:hRule="exact"/>
        </w:trPr>
        <w:tc>
          <w:tcPr>
            <w:tcW w:w="73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1"/>
                <w:sz w:val="14"/>
              </w:rPr>
              <w:t>Dach:</w:t>
            </w:r>
          </w:p>
        </w:tc>
        <w:tc>
          <w:tcPr>
            <w:tcW w:w="74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291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-1"/>
                <w:sz w:val="14"/>
              </w:rPr>
              <w:t>26</w:t>
            </w:r>
            <w:r>
              <w:rPr>
                <w:rFonts w:ascii="Theinhardt Regular"/>
                <w:sz w:val="14"/>
              </w:rPr>
              <w:t> </w:t>
            </w:r>
            <w:r>
              <w:rPr>
                <w:rFonts w:ascii="Theinhardt Regular"/>
                <w:spacing w:val="1"/>
                <w:sz w:val="14"/>
              </w:rPr>
              <w:t>cm</w:t>
            </w:r>
          </w:p>
        </w:tc>
        <w:tc>
          <w:tcPr>
            <w:tcW w:w="74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63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1"/>
                <w:sz w:val="14"/>
              </w:rPr>
              <w:t>U-Wert:</w:t>
            </w:r>
          </w:p>
        </w:tc>
        <w:tc>
          <w:tcPr>
            <w:tcW w:w="101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222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-5"/>
                <w:sz w:val="14"/>
              </w:rPr>
              <w:t>0.16</w:t>
            </w:r>
            <w:r>
              <w:rPr>
                <w:rFonts w:ascii="Theinhardt Regular"/>
                <w:sz w:val="14"/>
              </w:rPr>
              <w:t> </w:t>
            </w:r>
            <w:r>
              <w:rPr>
                <w:rFonts w:ascii="Theinhardt Regular"/>
                <w:spacing w:val="-2"/>
                <w:sz w:val="14"/>
              </w:rPr>
              <w:t>W/m</w:t>
            </w:r>
            <w:r>
              <w:rPr>
                <w:rFonts w:ascii="Theinhardt Regular"/>
                <w:spacing w:val="-2"/>
                <w:position w:val="5"/>
                <w:sz w:val="8"/>
              </w:rPr>
              <w:t>2</w:t>
            </w:r>
            <w:r>
              <w:rPr>
                <w:rFonts w:ascii="Theinhardt Regular"/>
                <w:spacing w:val="-2"/>
                <w:sz w:val="14"/>
              </w:rPr>
              <w:t>K</w:t>
            </w:r>
          </w:p>
        </w:tc>
      </w:tr>
      <w:tr>
        <w:trPr>
          <w:trHeight w:val="160" w:hRule="exact"/>
        </w:trPr>
        <w:tc>
          <w:tcPr>
            <w:tcW w:w="73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1"/>
                <w:sz w:val="14"/>
              </w:rPr>
              <w:t>Boden:</w:t>
            </w:r>
          </w:p>
        </w:tc>
        <w:tc>
          <w:tcPr>
            <w:tcW w:w="74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289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20 </w:t>
            </w:r>
            <w:r>
              <w:rPr>
                <w:rFonts w:ascii="Theinhardt Regular"/>
                <w:spacing w:val="1"/>
                <w:sz w:val="14"/>
              </w:rPr>
              <w:t>cm</w:t>
            </w:r>
          </w:p>
        </w:tc>
        <w:tc>
          <w:tcPr>
            <w:tcW w:w="74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63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1"/>
                <w:sz w:val="14"/>
              </w:rPr>
              <w:t>U-Wert:</w:t>
            </w:r>
          </w:p>
        </w:tc>
        <w:tc>
          <w:tcPr>
            <w:tcW w:w="101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204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0.23 </w:t>
            </w:r>
            <w:r>
              <w:rPr>
                <w:rFonts w:ascii="Theinhardt Regular"/>
                <w:spacing w:val="-2"/>
                <w:sz w:val="14"/>
              </w:rPr>
              <w:t>W/m</w:t>
            </w:r>
            <w:r>
              <w:rPr>
                <w:rFonts w:ascii="Theinhardt Regular"/>
                <w:spacing w:val="-2"/>
                <w:position w:val="5"/>
                <w:sz w:val="8"/>
              </w:rPr>
              <w:t>2</w:t>
            </w:r>
            <w:r>
              <w:rPr>
                <w:rFonts w:ascii="Theinhardt Regular"/>
                <w:spacing w:val="-2"/>
                <w:sz w:val="14"/>
              </w:rPr>
              <w:t>K</w:t>
            </w:r>
          </w:p>
        </w:tc>
      </w:tr>
      <w:tr>
        <w:trPr>
          <w:trHeight w:val="190" w:hRule="exact"/>
        </w:trPr>
        <w:tc>
          <w:tcPr>
            <w:tcW w:w="73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6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1"/>
                <w:sz w:val="14"/>
              </w:rPr>
              <w:t>Fenster:</w:t>
            </w:r>
          </w:p>
        </w:tc>
        <w:tc>
          <w:tcPr>
            <w:tcW w:w="74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6" w:lineRule="exact"/>
              <w:ind w:left="173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1"/>
                <w:sz w:val="14"/>
              </w:rPr>
              <w:t>dreifach</w:t>
            </w:r>
          </w:p>
        </w:tc>
        <w:tc>
          <w:tcPr>
            <w:tcW w:w="74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6" w:lineRule="exact"/>
              <w:ind w:left="63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1"/>
                <w:sz w:val="14"/>
              </w:rPr>
              <w:t>U-Wert:</w:t>
            </w:r>
          </w:p>
        </w:tc>
        <w:tc>
          <w:tcPr>
            <w:tcW w:w="101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6" w:lineRule="exact"/>
              <w:ind w:left="209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-2"/>
                <w:sz w:val="14"/>
              </w:rPr>
              <w:t>1.05</w:t>
            </w:r>
            <w:r>
              <w:rPr>
                <w:rFonts w:ascii="Theinhardt Regular"/>
                <w:sz w:val="14"/>
              </w:rPr>
              <w:t> </w:t>
            </w:r>
            <w:r>
              <w:rPr>
                <w:rFonts w:ascii="Theinhardt Regular"/>
                <w:spacing w:val="-2"/>
                <w:sz w:val="14"/>
              </w:rPr>
              <w:t>W/m</w:t>
            </w:r>
            <w:r>
              <w:rPr>
                <w:rFonts w:ascii="Theinhardt Regular"/>
                <w:spacing w:val="-2"/>
                <w:position w:val="5"/>
                <w:sz w:val="8"/>
              </w:rPr>
              <w:t>2</w:t>
            </w:r>
            <w:r>
              <w:rPr>
                <w:rFonts w:ascii="Theinhardt Regular"/>
                <w:spacing w:val="-2"/>
                <w:sz w:val="14"/>
              </w:rPr>
              <w:t>K</w:t>
            </w:r>
          </w:p>
        </w:tc>
      </w:tr>
    </w:tbl>
    <w:p>
      <w:pPr>
        <w:spacing w:line="172" w:lineRule="exact" w:before="8"/>
        <w:ind w:left="105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2"/>
          <w:sz w:val="14"/>
        </w:rPr>
        <w:t>Energiebedarf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vor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der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Sanierung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-1"/>
          <w:sz w:val="14"/>
        </w:rPr>
        <w:t>[100%]</w:t>
      </w:r>
      <w:r>
        <w:rPr>
          <w:rFonts w:ascii="Theinhardt Bold"/>
          <w:sz w:val="14"/>
        </w:rPr>
      </w:r>
    </w:p>
    <w:p>
      <w:pPr>
        <w:tabs>
          <w:tab w:pos="1518" w:val="left" w:leader="none"/>
          <w:tab w:pos="2417" w:val="left" w:leader="none"/>
          <w:tab w:pos="2823" w:val="left" w:leader="none"/>
        </w:tabs>
        <w:spacing w:line="160" w:lineRule="exact" w:before="0"/>
        <w:ind w:left="105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EBF: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103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m</w:t>
      </w:r>
      <w:r>
        <w:rPr>
          <w:rFonts w:ascii="Theinhardt Regular"/>
          <w:spacing w:val="-1"/>
          <w:position w:val="5"/>
          <w:sz w:val="8"/>
        </w:rPr>
        <w:t>2</w:t>
        <w:tab/>
      </w:r>
      <w:r>
        <w:rPr>
          <w:rFonts w:ascii="Theinhardt Regular"/>
          <w:sz w:val="14"/>
        </w:rPr>
        <w:t>kWh/m</w:t>
      </w:r>
      <w:r>
        <w:rPr>
          <w:rFonts w:ascii="Theinhardt Regular"/>
          <w:position w:val="5"/>
          <w:sz w:val="8"/>
        </w:rPr>
        <w:t>2</w:t>
      </w:r>
      <w:r>
        <w:rPr>
          <w:rFonts w:ascii="Theinhardt Regular"/>
          <w:sz w:val="14"/>
        </w:rPr>
        <w:t>a</w:t>
        <w:tab/>
        <w:t>%</w:t>
        <w:tab/>
        <w:t>kWh/a</w:t>
      </w:r>
    </w:p>
    <w:p>
      <w:pPr>
        <w:tabs>
          <w:tab w:pos="1833" w:val="left" w:leader="none"/>
          <w:tab w:pos="2298" w:val="left" w:leader="none"/>
          <w:tab w:pos="2758" w:val="left" w:leader="none"/>
        </w:tabs>
        <w:spacing w:line="172" w:lineRule="exact" w:before="0"/>
        <w:ind w:left="105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pacing w:val="2"/>
          <w:sz w:val="14"/>
          <w:szCs w:val="14"/>
        </w:rPr>
        <w:t>GesamtEB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(geschätzt):</w:t>
        <w:tab/>
      </w:r>
      <w:r>
        <w:rPr>
          <w:rFonts w:ascii="Theinhardt Bold" w:hAnsi="Theinhardt Bold" w:cs="Theinhardt Bold" w:eastAsia="Theinhardt Bold"/>
          <w:b/>
          <w:bCs/>
          <w:w w:val="95"/>
          <w:sz w:val="14"/>
          <w:szCs w:val="14"/>
        </w:rPr>
        <w:t>220</w:t>
        <w:tab/>
      </w:r>
      <w:r>
        <w:rPr>
          <w:rFonts w:ascii="Theinhardt Regular" w:hAnsi="Theinhardt Regular" w:cs="Theinhardt Regular" w:eastAsia="Theinhardt Regular"/>
          <w:spacing w:val="-1"/>
          <w:w w:val="95"/>
          <w:sz w:val="14"/>
          <w:szCs w:val="14"/>
        </w:rPr>
        <w:t>100</w:t>
        <w:tab/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22’660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172" w:lineRule="exact" w:before="32"/>
        <w:ind w:left="105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2"/>
          <w:sz w:val="14"/>
        </w:rPr>
        <w:t>Energiebedarf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nach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der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Sanierung</w:t>
      </w:r>
      <w:r>
        <w:rPr>
          <w:rFonts w:ascii="Theinhardt Bold"/>
          <w:b/>
          <w:sz w:val="14"/>
        </w:rPr>
        <w:t> [20%]</w:t>
      </w:r>
      <w:r>
        <w:rPr>
          <w:rFonts w:ascii="Theinhardt Bold"/>
          <w:sz w:val="14"/>
        </w:rPr>
      </w:r>
    </w:p>
    <w:p>
      <w:pPr>
        <w:tabs>
          <w:tab w:pos="1518" w:val="left" w:leader="none"/>
          <w:tab w:pos="2397" w:val="left" w:leader="none"/>
          <w:tab w:pos="2823" w:val="left" w:leader="none"/>
        </w:tabs>
        <w:spacing w:line="160" w:lineRule="exact" w:before="0"/>
        <w:ind w:left="105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EBF: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103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m</w:t>
      </w:r>
      <w:r>
        <w:rPr>
          <w:rFonts w:ascii="Theinhardt Regular"/>
          <w:spacing w:val="-1"/>
          <w:position w:val="5"/>
          <w:sz w:val="8"/>
        </w:rPr>
        <w:t>2</w:t>
        <w:tab/>
      </w:r>
      <w:r>
        <w:rPr>
          <w:rFonts w:ascii="Theinhardt Regular"/>
          <w:sz w:val="14"/>
        </w:rPr>
        <w:t>kWh/m</w:t>
      </w:r>
      <w:r>
        <w:rPr>
          <w:rFonts w:ascii="Theinhardt Regular"/>
          <w:position w:val="5"/>
          <w:sz w:val="8"/>
        </w:rPr>
        <w:t>2</w:t>
      </w:r>
      <w:r>
        <w:rPr>
          <w:rFonts w:ascii="Theinhardt Regular"/>
          <w:sz w:val="14"/>
        </w:rPr>
        <w:t>a</w:t>
        <w:tab/>
        <w:t>%</w:t>
        <w:tab/>
        <w:t>kWh/a</w:t>
      </w:r>
    </w:p>
    <w:p>
      <w:pPr>
        <w:tabs>
          <w:tab w:pos="1890" w:val="left" w:leader="none"/>
          <w:tab w:pos="2379" w:val="left" w:leader="none"/>
          <w:tab w:pos="3225" w:val="right" w:leader="none"/>
        </w:tabs>
        <w:spacing w:line="160" w:lineRule="exact" w:before="0"/>
        <w:ind w:left="105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Warmwasser:</w:t>
        <w:tab/>
      </w:r>
      <w:r>
        <w:rPr>
          <w:rFonts w:ascii="Theinhardt Regular"/>
          <w:spacing w:val="-3"/>
          <w:sz w:val="14"/>
        </w:rPr>
        <w:t>8.7</w:t>
        <w:tab/>
      </w:r>
      <w:r>
        <w:rPr>
          <w:rFonts w:ascii="Theinhardt Regular"/>
          <w:sz w:val="14"/>
        </w:rPr>
        <w:t>20</w:t>
        <w:tab/>
      </w:r>
      <w:r>
        <w:rPr>
          <w:rFonts w:ascii="Theinhardt Regular"/>
          <w:spacing w:val="2"/>
          <w:sz w:val="14"/>
        </w:rPr>
        <w:t>900</w:t>
      </w:r>
    </w:p>
    <w:p>
      <w:pPr>
        <w:tabs>
          <w:tab w:pos="1796" w:val="left" w:leader="none"/>
          <w:tab w:pos="2381" w:val="left" w:leader="none"/>
          <w:tab w:pos="2867" w:val="left" w:leader="none"/>
        </w:tabs>
        <w:spacing w:line="160" w:lineRule="exact" w:before="0"/>
        <w:ind w:left="105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Heizung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(Pellet):</w:t>
        <w:tab/>
      </w:r>
      <w:r>
        <w:rPr>
          <w:rFonts w:ascii="Theinhardt Regular" w:hAnsi="Theinhardt Regular" w:cs="Theinhardt Regular" w:eastAsia="Theinhardt Regular"/>
          <w:sz w:val="14"/>
          <w:szCs w:val="14"/>
        </w:rPr>
        <w:t>30.3</w:t>
        <w:tab/>
      </w:r>
      <w:r>
        <w:rPr>
          <w:rFonts w:ascii="Theinhardt Regular" w:hAnsi="Theinhardt Regular" w:cs="Theinhardt Regular" w:eastAsia="Theinhardt Regular"/>
          <w:spacing w:val="-1"/>
          <w:w w:val="95"/>
          <w:sz w:val="14"/>
          <w:szCs w:val="14"/>
        </w:rPr>
        <w:t>67</w:t>
        <w:tab/>
      </w:r>
      <w:r>
        <w:rPr>
          <w:rFonts w:ascii="Theinhardt Regular" w:hAnsi="Theinhardt Regular" w:cs="Theinhardt Regular" w:eastAsia="Theinhardt Regular"/>
          <w:spacing w:val="-3"/>
          <w:sz w:val="14"/>
          <w:szCs w:val="14"/>
        </w:rPr>
        <w:t>3’120</w:t>
      </w:r>
    </w:p>
    <w:p>
      <w:pPr>
        <w:tabs>
          <w:tab w:pos="1884" w:val="left" w:leader="none"/>
          <w:tab w:pos="2388" w:val="left" w:leader="none"/>
          <w:tab w:pos="3225" w:val="right" w:leader="none"/>
        </w:tabs>
        <w:spacing w:line="160" w:lineRule="exact" w:before="0"/>
        <w:ind w:left="105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spacing w:val="2"/>
          <w:sz w:val="14"/>
        </w:rPr>
        <w:t>Elektrizität:</w:t>
        <w:tab/>
      </w:r>
      <w:r>
        <w:rPr>
          <w:rFonts w:ascii="Theinhardt Regular" w:hAnsi="Theinhardt Regular"/>
          <w:spacing w:val="-1"/>
          <w:sz w:val="14"/>
        </w:rPr>
        <w:t>5.6</w:t>
        <w:tab/>
      </w:r>
      <w:r>
        <w:rPr>
          <w:rFonts w:ascii="Theinhardt Regular" w:hAnsi="Theinhardt Regular"/>
          <w:spacing w:val="-4"/>
          <w:sz w:val="14"/>
        </w:rPr>
        <w:t>13</w:t>
        <w:tab/>
      </w:r>
      <w:r>
        <w:rPr>
          <w:rFonts w:ascii="Theinhardt Regular" w:hAnsi="Theinhardt Regular"/>
          <w:spacing w:val="1"/>
          <w:sz w:val="14"/>
        </w:rPr>
        <w:t>580</w:t>
      </w:r>
    </w:p>
    <w:p>
      <w:pPr>
        <w:tabs>
          <w:tab w:pos="1787" w:val="left" w:leader="none"/>
          <w:tab w:pos="2298" w:val="left" w:leader="none"/>
          <w:tab w:pos="2845" w:val="left" w:leader="none"/>
        </w:tabs>
        <w:spacing w:line="172" w:lineRule="exact" w:before="0"/>
        <w:ind w:left="105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pacing w:val="2"/>
          <w:sz w:val="14"/>
          <w:szCs w:val="14"/>
        </w:rPr>
        <w:t>GesamtEB:</w:t>
        <w:tab/>
      </w:r>
      <w:r>
        <w:rPr>
          <w:rFonts w:ascii="Theinhardt Bold" w:hAnsi="Theinhardt Bold" w:cs="Theinhardt Bold" w:eastAsia="Theinhardt Bold"/>
          <w:b/>
          <w:bCs/>
          <w:spacing w:val="1"/>
          <w:w w:val="95"/>
          <w:sz w:val="14"/>
          <w:szCs w:val="14"/>
        </w:rPr>
        <w:t>44.6</w:t>
        <w:tab/>
      </w:r>
      <w:r>
        <w:rPr>
          <w:rFonts w:ascii="Theinhardt Regular" w:hAnsi="Theinhardt Regular" w:cs="Theinhardt Regular" w:eastAsia="Theinhardt Regular"/>
          <w:spacing w:val="-1"/>
          <w:w w:val="95"/>
          <w:sz w:val="14"/>
          <w:szCs w:val="14"/>
        </w:rPr>
        <w:t>100</w:t>
        <w:tab/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4’600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172" w:lineRule="exact" w:before="32"/>
        <w:ind w:left="105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Energieversorgung</w:t>
      </w:r>
      <w:r>
        <w:rPr>
          <w:rFonts w:ascii="Theinhardt Bold"/>
          <w:sz w:val="14"/>
        </w:rPr>
      </w:r>
    </w:p>
    <w:p>
      <w:pPr>
        <w:tabs>
          <w:tab w:pos="717" w:val="left" w:leader="none"/>
          <w:tab w:pos="1303" w:val="left" w:leader="none"/>
          <w:tab w:pos="1727" w:val="left" w:leader="none"/>
          <w:tab w:pos="2302" w:val="left" w:leader="none"/>
          <w:tab w:pos="2417" w:val="left" w:leader="none"/>
          <w:tab w:pos="2823" w:val="left" w:leader="none"/>
        </w:tabs>
        <w:spacing w:line="207" w:lineRule="auto" w:before="6"/>
        <w:ind w:left="105" w:right="353" w:hanging="1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Eigen-EV: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33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z w:val="14"/>
          <w:szCs w:val="14"/>
        </w:rPr>
        <w:t>m</w:t>
      </w:r>
      <w:r>
        <w:rPr>
          <w:rFonts w:ascii="Theinhardt Regular" w:hAnsi="Theinhardt Regular" w:cs="Theinhardt Regular" w:eastAsia="Theinhardt Regular"/>
          <w:position w:val="5"/>
          <w:sz w:val="8"/>
          <w:szCs w:val="8"/>
        </w:rPr>
        <w:t>2       </w:t>
      </w:r>
      <w:r>
        <w:rPr>
          <w:rFonts w:ascii="Theinhardt Regular" w:hAnsi="Theinhardt Regular" w:cs="Theinhardt Regular" w:eastAsia="Theinhardt Regular"/>
          <w:sz w:val="14"/>
          <w:szCs w:val="14"/>
        </w:rPr>
        <w:t>kWp </w:t>
      </w:r>
      <w:r>
        <w:rPr>
          <w:rFonts w:ascii="Theinhardt Regular" w:hAnsi="Theinhardt Regular" w:cs="Theinhardt Regular" w:eastAsia="Theinhardt Regular"/>
          <w:spacing w:val="37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z w:val="14"/>
          <w:szCs w:val="14"/>
        </w:rPr>
        <w:t>kWh/m</w:t>
      </w:r>
      <w:r>
        <w:rPr>
          <w:rFonts w:ascii="Theinhardt Regular" w:hAnsi="Theinhardt Regular" w:cs="Theinhardt Regular" w:eastAsia="Theinhardt Regular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sz w:val="14"/>
          <w:szCs w:val="14"/>
        </w:rPr>
        <w:t>a</w:t>
        <w:tab/>
        <w:tab/>
        <w:t>%</w:t>
        <w:tab/>
        <w:t>kWh/a</w:t>
      </w:r>
      <w:r>
        <w:rPr>
          <w:rFonts w:ascii="Theinhardt Regular" w:hAnsi="Theinhardt Regular" w:cs="Theinhardt Regular" w:eastAsia="Theinhardt Regular"/>
          <w:spacing w:val="36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z w:val="14"/>
          <w:szCs w:val="14"/>
        </w:rPr>
        <w:t>PV:</w:t>
        <w:tab/>
        <w:t>30.2</w:t>
        <w:tab/>
      </w:r>
      <w:r>
        <w:rPr>
          <w:rFonts w:ascii="Theinhardt Regular" w:hAnsi="Theinhardt Regular" w:cs="Theinhardt Regular" w:eastAsia="Theinhardt Regular"/>
          <w:w w:val="95"/>
          <w:sz w:val="14"/>
          <w:szCs w:val="14"/>
        </w:rPr>
        <w:t>5</w:t>
        <w:tab/>
      </w:r>
      <w:r>
        <w:rPr>
          <w:rFonts w:ascii="Theinhardt Regular" w:hAnsi="Theinhardt Regular" w:cs="Theinhardt Regular" w:eastAsia="Theinhardt Regular"/>
          <w:spacing w:val="-2"/>
          <w:sz w:val="14"/>
          <w:szCs w:val="14"/>
        </w:rPr>
        <w:t>170.3</w:t>
        <w:tab/>
      </w:r>
      <w:r>
        <w:rPr>
          <w:rFonts w:ascii="Theinhardt Regular" w:hAnsi="Theinhardt Regular" w:cs="Theinhardt Regular" w:eastAsia="Theinhardt Regular"/>
          <w:spacing w:val="-9"/>
          <w:sz w:val="14"/>
          <w:szCs w:val="14"/>
        </w:rPr>
        <w:t>111</w:t>
        <w:tab/>
      </w:r>
      <w:r>
        <w:rPr>
          <w:rFonts w:ascii="Theinhardt Regular" w:hAnsi="Theinhardt Regular" w:cs="Theinhardt Regular" w:eastAsia="Theinhardt Regular"/>
          <w:spacing w:val="-3"/>
          <w:sz w:val="14"/>
          <w:szCs w:val="14"/>
        </w:rPr>
        <w:t>5’146</w:t>
      </w:r>
    </w:p>
    <w:p>
      <w:pPr>
        <w:tabs>
          <w:tab w:pos="801" w:val="left" w:leader="none"/>
          <w:tab w:pos="1722" w:val="left" w:leader="none"/>
          <w:tab w:pos="2359" w:val="left" w:leader="none"/>
          <w:tab w:pos="2969" w:val="left" w:leader="none"/>
        </w:tabs>
        <w:spacing w:line="154" w:lineRule="exact" w:before="0"/>
        <w:ind w:left="105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SK:</w:t>
        <w:tab/>
      </w:r>
      <w:r>
        <w:rPr>
          <w:rFonts w:ascii="Theinhardt Regular"/>
          <w:w w:val="95"/>
          <w:sz w:val="14"/>
        </w:rPr>
        <w:t>5.3</w:t>
        <w:tab/>
      </w:r>
      <w:r>
        <w:rPr>
          <w:rFonts w:ascii="Theinhardt Regular"/>
          <w:spacing w:val="-2"/>
          <w:sz w:val="14"/>
        </w:rPr>
        <w:t>169.8</w:t>
        <w:tab/>
      </w:r>
      <w:r>
        <w:rPr>
          <w:rFonts w:ascii="Theinhardt Regular"/>
          <w:sz w:val="14"/>
        </w:rPr>
        <w:t>20</w:t>
        <w:tab/>
      </w:r>
      <w:r>
        <w:rPr>
          <w:rFonts w:ascii="Theinhardt Regular"/>
          <w:spacing w:val="2"/>
          <w:sz w:val="14"/>
        </w:rPr>
        <w:t>900</w:t>
      </w:r>
    </w:p>
    <w:p>
      <w:pPr>
        <w:tabs>
          <w:tab w:pos="2303" w:val="left" w:leader="none"/>
          <w:tab w:pos="2843" w:val="left" w:leader="none"/>
        </w:tabs>
        <w:spacing w:line="172" w:lineRule="exact" w:before="0"/>
        <w:ind w:left="105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Eigenenergieversorgung:</w:t>
        <w:tab/>
      </w:r>
      <w:r>
        <w:rPr>
          <w:rFonts w:ascii="Theinhardt Bold" w:hAnsi="Theinhardt Bold" w:cs="Theinhardt Bold" w:eastAsia="Theinhardt Bold"/>
          <w:b/>
          <w:bCs/>
          <w:spacing w:val="-3"/>
          <w:w w:val="95"/>
          <w:sz w:val="14"/>
          <w:szCs w:val="14"/>
        </w:rPr>
        <w:t>131</w:t>
        <w:tab/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6’046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tabs>
          <w:tab w:pos="2397" w:val="left" w:leader="none"/>
          <w:tab w:pos="2822" w:val="left" w:leader="none"/>
        </w:tabs>
        <w:spacing w:line="172" w:lineRule="exact" w:before="32"/>
        <w:ind w:left="105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Energiebilanz</w:t>
      </w:r>
      <w:r>
        <w:rPr>
          <w:rFonts w:ascii="Theinhardt Bold"/>
          <w:b/>
          <w:sz w:val="14"/>
        </w:rPr>
        <w:t> </w:t>
      </w:r>
      <w:r>
        <w:rPr>
          <w:rFonts w:ascii="Theinhardt Regular"/>
          <w:spacing w:val="1"/>
          <w:sz w:val="14"/>
        </w:rPr>
        <w:t>(Endenergie)</w:t>
        <w:tab/>
      </w:r>
      <w:r>
        <w:rPr>
          <w:rFonts w:ascii="Theinhardt Regular"/>
          <w:sz w:val="14"/>
        </w:rPr>
        <w:t>%</w:t>
        <w:tab/>
        <w:t>kWh/a</w:t>
      </w:r>
    </w:p>
    <w:p>
      <w:pPr>
        <w:tabs>
          <w:tab w:pos="2283" w:val="left" w:leader="none"/>
          <w:tab w:pos="2843" w:val="left" w:leader="none"/>
        </w:tabs>
        <w:spacing w:line="160" w:lineRule="exact" w:before="0"/>
        <w:ind w:left="105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Eigenenergieversorgung:</w:t>
        <w:tab/>
      </w:r>
      <w:r>
        <w:rPr>
          <w:rFonts w:ascii="Theinhardt Bold" w:hAnsi="Theinhardt Bold" w:cs="Theinhardt Bold" w:eastAsia="Theinhardt Bold"/>
          <w:b/>
          <w:bCs/>
          <w:spacing w:val="-3"/>
          <w:w w:val="95"/>
          <w:sz w:val="14"/>
          <w:szCs w:val="14"/>
        </w:rPr>
        <w:t>131</w:t>
        <w:tab/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6’046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tabs>
          <w:tab w:pos="2278" w:val="left" w:leader="none"/>
          <w:tab w:pos="2853" w:val="left" w:leader="none"/>
        </w:tabs>
        <w:spacing w:line="160" w:lineRule="exact" w:before="0"/>
        <w:ind w:left="105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Gesamtenergiebedarf:</w:t>
        <w:tab/>
      </w:r>
      <w:r>
        <w:rPr>
          <w:rFonts w:ascii="Theinhardt Regular" w:hAnsi="Theinhardt Regular" w:cs="Theinhardt Regular" w:eastAsia="Theinhardt Regular"/>
          <w:spacing w:val="-1"/>
          <w:w w:val="95"/>
          <w:sz w:val="14"/>
          <w:szCs w:val="14"/>
        </w:rPr>
        <w:t>100</w:t>
        <w:tab/>
      </w:r>
      <w:r>
        <w:rPr>
          <w:rFonts w:ascii="Theinhardt Regular" w:hAnsi="Theinhardt Regular" w:cs="Theinhardt Regular" w:eastAsia="Theinhardt Regular"/>
          <w:sz w:val="14"/>
          <w:szCs w:val="14"/>
        </w:rPr>
        <w:t>4’600</w:t>
      </w:r>
    </w:p>
    <w:p>
      <w:pPr>
        <w:tabs>
          <w:tab w:pos="2362" w:val="left" w:leader="none"/>
          <w:tab w:pos="2855" w:val="left" w:leader="none"/>
        </w:tabs>
        <w:spacing w:line="172" w:lineRule="exact" w:before="0"/>
        <w:ind w:left="105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Solarstromüberschuss:</w:t>
        <w:tab/>
      </w:r>
      <w:r>
        <w:rPr>
          <w:rFonts w:ascii="Theinhardt Bold" w:hAnsi="Theinhardt Bold" w:cs="Theinhardt Bold" w:eastAsia="Theinhardt Bold"/>
          <w:b/>
          <w:bCs/>
          <w:spacing w:val="-2"/>
          <w:sz w:val="14"/>
          <w:szCs w:val="14"/>
        </w:rPr>
        <w:t>31</w:t>
        <w:tab/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1’446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160" w:lineRule="exact" w:before="39"/>
        <w:ind w:left="105" w:right="362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spacing w:val="2"/>
          <w:sz w:val="14"/>
        </w:rPr>
        <w:t>Bestätigt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von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St.Gallisch-Appenzellische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2"/>
          <w:sz w:val="14"/>
        </w:rPr>
        <w:t>Kraft-</w:t>
      </w:r>
      <w:r>
        <w:rPr>
          <w:rFonts w:ascii="Theinhardt Bold" w:hAnsi="Theinhardt Bold"/>
          <w:b/>
          <w:spacing w:val="60"/>
          <w:sz w:val="14"/>
        </w:rPr>
        <w:t> </w:t>
      </w:r>
      <w:r>
        <w:rPr>
          <w:rFonts w:ascii="Theinhardt Bold" w:hAnsi="Theinhardt Bold"/>
          <w:b/>
          <w:sz w:val="14"/>
        </w:rPr>
        <w:t>werke AG </w:t>
      </w:r>
      <w:r>
        <w:rPr>
          <w:rFonts w:ascii="Theinhardt Regular" w:hAnsi="Theinhardt Regular"/>
          <w:sz w:val="14"/>
        </w:rPr>
        <w:t>am </w:t>
      </w:r>
      <w:r>
        <w:rPr>
          <w:rFonts w:ascii="Theinhardt Regular" w:hAnsi="Theinhardt Regular"/>
          <w:spacing w:val="-2"/>
          <w:sz w:val="14"/>
        </w:rPr>
        <w:t>15.06.2016</w:t>
      </w:r>
    </w:p>
    <w:p>
      <w:pPr>
        <w:spacing w:line="177" w:lineRule="exact" w:before="0"/>
        <w:ind w:left="105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M.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Lengg,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071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229</w:t>
      </w:r>
      <w:r>
        <w:rPr>
          <w:rFonts w:ascii="Theinhardt Regular"/>
          <w:sz w:val="14"/>
        </w:rPr>
        <w:t> 53 </w:t>
      </w:r>
      <w:r>
        <w:rPr>
          <w:rFonts w:ascii="Theinhardt Regular"/>
          <w:spacing w:val="-7"/>
          <w:sz w:val="14"/>
        </w:rPr>
        <w:t>11</w:t>
      </w:r>
    </w:p>
    <w:p>
      <w:pPr>
        <w:spacing w:line="240" w:lineRule="auto" w:before="3"/>
        <w:rPr>
          <w:rFonts w:ascii="Theinhardt Regular" w:hAnsi="Theinhardt Regular" w:cs="Theinhardt Regular" w:eastAsia="Theinhardt Regular"/>
          <w:sz w:val="10"/>
          <w:szCs w:val="10"/>
        </w:rPr>
      </w:pPr>
    </w:p>
    <w:p>
      <w:pPr>
        <w:spacing w:before="0"/>
        <w:ind w:left="105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>
          <w:rFonts w:ascii="Theinhardt Black"/>
          <w:b/>
          <w:spacing w:val="2"/>
          <w:sz w:val="14"/>
        </w:rPr>
        <w:t>Beteiligte</w:t>
      </w:r>
      <w:r>
        <w:rPr>
          <w:rFonts w:ascii="Theinhardt Black"/>
          <w:b/>
          <w:sz w:val="14"/>
        </w:rPr>
        <w:t> </w:t>
      </w:r>
      <w:r>
        <w:rPr>
          <w:rFonts w:ascii="Theinhardt Black"/>
          <w:b/>
          <w:spacing w:val="2"/>
          <w:sz w:val="14"/>
        </w:rPr>
        <w:t>Personen</w:t>
      </w:r>
      <w:r>
        <w:rPr>
          <w:rFonts w:ascii="Theinhardt Black"/>
          <w:sz w:val="14"/>
        </w:rPr>
      </w:r>
    </w:p>
    <w:p>
      <w:pPr>
        <w:spacing w:line="240" w:lineRule="auto" w:before="9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05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20"/>
        <w:ind w:left="105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2"/>
          <w:sz w:val="14"/>
        </w:rPr>
        <w:t>Standort,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2"/>
          <w:sz w:val="14"/>
        </w:rPr>
        <w:t>Bauherrschaft,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Planung,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Bauleitung:</w:t>
      </w:r>
      <w:r>
        <w:rPr>
          <w:rFonts w:ascii="Theinhardt Bold"/>
          <w:sz w:val="14"/>
        </w:rPr>
      </w:r>
    </w:p>
    <w:p>
      <w:pPr>
        <w:spacing w:line="172" w:lineRule="exact" w:before="0"/>
        <w:ind w:left="105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spacing w:val="1"/>
          <w:sz w:val="14"/>
        </w:rPr>
        <w:t>Walter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Züst,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Schulstrasse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3"/>
          <w:sz w:val="14"/>
        </w:rPr>
        <w:t>15,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9038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Rehetobel</w:t>
      </w:r>
    </w:p>
    <w:p>
      <w:pPr>
        <w:spacing w:line="172" w:lineRule="exact" w:before="32"/>
        <w:ind w:left="105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spacing w:val="1"/>
          <w:sz w:val="14"/>
        </w:rPr>
        <w:t>Dämmung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Gebäudehülle:</w:t>
      </w:r>
      <w:r>
        <w:rPr>
          <w:rFonts w:ascii="Theinhardt Bold" w:hAnsi="Theinhardt Bold"/>
          <w:sz w:val="14"/>
        </w:rPr>
      </w:r>
    </w:p>
    <w:p>
      <w:pPr>
        <w:spacing w:line="172" w:lineRule="exact" w:before="0"/>
        <w:ind w:left="105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spacing w:val="1"/>
          <w:sz w:val="14"/>
        </w:rPr>
        <w:t>Gmür</w:t>
      </w:r>
      <w:r>
        <w:rPr>
          <w:rFonts w:ascii="Theinhardt Regular" w:hAnsi="Theinhardt Regular"/>
          <w:sz w:val="14"/>
        </w:rPr>
        <w:t> Dach+Wand </w:t>
      </w:r>
      <w:r>
        <w:rPr>
          <w:rFonts w:ascii="Theinhardt Regular" w:hAnsi="Theinhardt Regular"/>
          <w:spacing w:val="1"/>
          <w:sz w:val="14"/>
        </w:rPr>
        <w:t>GmbH,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Urs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1"/>
          <w:sz w:val="14"/>
        </w:rPr>
        <w:t>Gmür,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9038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Rehetobel</w:t>
      </w:r>
      <w:r>
        <w:rPr>
          <w:rFonts w:ascii="Theinhardt Regular" w:hAnsi="Theinhardt Regular"/>
          <w:sz w:val="14"/>
        </w:rPr>
      </w:r>
    </w:p>
    <w:p>
      <w:pPr>
        <w:spacing w:line="172" w:lineRule="exact" w:before="32"/>
        <w:ind w:left="105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2"/>
          <w:sz w:val="14"/>
        </w:rPr>
        <w:t>Kollektor-Anlage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und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Pelletheizung:</w:t>
      </w:r>
      <w:r>
        <w:rPr>
          <w:rFonts w:ascii="Theinhardt Bold"/>
          <w:sz w:val="14"/>
        </w:rPr>
      </w:r>
    </w:p>
    <w:p>
      <w:pPr>
        <w:spacing w:line="172" w:lineRule="exact" w:before="0"/>
        <w:ind w:left="105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Fyrosol</w:t>
      </w:r>
      <w:r>
        <w:rPr>
          <w:rFonts w:ascii="Theinhardt Regular"/>
          <w:sz w:val="14"/>
        </w:rPr>
        <w:t> AG, </w:t>
      </w:r>
      <w:r>
        <w:rPr>
          <w:rFonts w:ascii="Theinhardt Regular"/>
          <w:spacing w:val="1"/>
          <w:sz w:val="14"/>
        </w:rPr>
        <w:t>Hanspeter</w:t>
      </w:r>
      <w:r>
        <w:rPr>
          <w:rFonts w:ascii="Theinhardt Regular"/>
          <w:sz w:val="14"/>
        </w:rPr>
        <w:t> Schopfer, </w:t>
      </w:r>
      <w:r>
        <w:rPr>
          <w:rFonts w:ascii="Theinhardt Regular"/>
          <w:spacing w:val="-1"/>
          <w:sz w:val="14"/>
        </w:rPr>
        <w:t>9428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Walzenhausen</w:t>
      </w:r>
      <w:r>
        <w:rPr>
          <w:rFonts w:ascii="Theinhardt Regular"/>
          <w:sz w:val="14"/>
        </w:rPr>
      </w:r>
    </w:p>
    <w:p>
      <w:pPr>
        <w:spacing w:line="172" w:lineRule="exact" w:before="32"/>
        <w:ind w:left="105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PV-Anlage:</w:t>
      </w:r>
      <w:r>
        <w:rPr>
          <w:rFonts w:ascii="Theinhardt Bold"/>
          <w:sz w:val="14"/>
        </w:rPr>
      </w:r>
    </w:p>
    <w:p>
      <w:pPr>
        <w:spacing w:line="172" w:lineRule="exact" w:before="0"/>
        <w:ind w:left="105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Schaer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Energie</w:t>
      </w:r>
      <w:r>
        <w:rPr>
          <w:rFonts w:ascii="Theinhardt Regular"/>
          <w:sz w:val="14"/>
        </w:rPr>
        <w:t> AG, </w:t>
      </w:r>
      <w:r>
        <w:rPr>
          <w:rFonts w:ascii="Theinhardt Regular"/>
          <w:spacing w:val="2"/>
          <w:sz w:val="14"/>
        </w:rPr>
        <w:t>Georges</w:t>
      </w:r>
      <w:r>
        <w:rPr>
          <w:rFonts w:ascii="Theinhardt Regular"/>
          <w:sz w:val="14"/>
        </w:rPr>
        <w:t> Schaer, </w:t>
      </w:r>
      <w:r>
        <w:rPr>
          <w:rFonts w:ascii="Theinhardt Regular"/>
          <w:spacing w:val="2"/>
          <w:sz w:val="14"/>
        </w:rPr>
        <w:t>9043</w:t>
      </w:r>
      <w:r>
        <w:rPr>
          <w:rFonts w:ascii="Theinhardt Regular"/>
          <w:sz w:val="14"/>
        </w:rPr>
        <w:t> Trogen</w:t>
      </w:r>
    </w:p>
    <w:p>
      <w:pPr>
        <w:spacing w:after="0" w:line="172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1910" w:h="16840"/>
          <w:pgMar w:top="860" w:bottom="280" w:left="460" w:right="720"/>
          <w:cols w:num="3" w:equalWidth="0">
            <w:col w:w="3463" w:space="109"/>
            <w:col w:w="3452" w:space="120"/>
            <w:col w:w="3586"/>
          </w:cols>
        </w:sectPr>
      </w:pPr>
    </w:p>
    <w:p>
      <w:pPr>
        <w:spacing w:line="240" w:lineRule="auto" w:before="9"/>
        <w:rPr>
          <w:rFonts w:ascii="Theinhardt Regular" w:hAnsi="Theinhardt Regular" w:cs="Theinhardt Regular" w:eastAsia="Theinhardt Regular"/>
          <w:sz w:val="2"/>
          <w:szCs w:val="2"/>
        </w:rPr>
      </w:pPr>
    </w:p>
    <w:p>
      <w:pPr>
        <w:spacing w:line="20" w:lineRule="atLeast"/>
        <w:ind w:left="7250" w:right="0" w:firstLine="0"/>
        <w:rPr>
          <w:rFonts w:ascii="Theinhardt Regular" w:hAnsi="Theinhardt Regular" w:cs="Theinhardt Regular" w:eastAsia="Theinhardt Regular"/>
          <w:sz w:val="2"/>
          <w:szCs w:val="2"/>
        </w:rPr>
      </w:pPr>
      <w:r>
        <w:rPr>
          <w:rFonts w:ascii="Theinhardt Regular" w:hAnsi="Theinhardt Regular" w:cs="Theinhardt Regular" w:eastAsia="Theinhardt Regular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Regular" w:hAnsi="Theinhardt Regular" w:cs="Theinhardt Regular" w:eastAsia="Theinhardt Regular"/>
          <w:sz w:val="2"/>
          <w:szCs w:val="2"/>
        </w:rPr>
      </w: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12"/>
        <w:rPr>
          <w:rFonts w:ascii="Theinhardt Regular" w:hAnsi="Theinhardt Regular" w:cs="Theinhardt Regular" w:eastAsia="Theinhardt Regular"/>
          <w:sz w:val="13"/>
          <w:szCs w:val="13"/>
        </w:rPr>
      </w:pPr>
    </w:p>
    <w:p>
      <w:pPr>
        <w:spacing w:line="200" w:lineRule="atLeast"/>
        <w:ind w:left="7270" w:right="0" w:firstLine="0"/>
        <w:rPr>
          <w:rFonts w:ascii="Theinhardt Regular" w:hAnsi="Theinhardt Regular" w:cs="Theinhardt Regular" w:eastAsia="Theinhardt Regular"/>
          <w:sz w:val="20"/>
          <w:szCs w:val="20"/>
        </w:rPr>
      </w:pPr>
      <w:r>
        <w:rPr>
          <w:rFonts w:ascii="Theinhardt Regular" w:hAnsi="Theinhardt Regular" w:cs="Theinhardt Regular" w:eastAsia="Theinhardt Regular"/>
          <w:sz w:val="20"/>
          <w:szCs w:val="20"/>
        </w:rPr>
        <w:drawing>
          <wp:inline distT="0" distB="0" distL="0" distR="0">
            <wp:extent cx="2131509" cy="1325880"/>
            <wp:effectExtent l="0" t="0" r="0" b="0"/>
            <wp:docPr id="1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1509" cy="132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Regular" w:hAnsi="Theinhardt Regular" w:cs="Theinhardt Regular" w:eastAsia="Theinhardt Regular"/>
          <w:sz w:val="20"/>
          <w:szCs w:val="20"/>
        </w:rPr>
      </w:r>
    </w:p>
    <w:p>
      <w:pPr>
        <w:spacing w:after="0" w:line="200" w:lineRule="atLeast"/>
        <w:rPr>
          <w:rFonts w:ascii="Theinhardt Regular" w:hAnsi="Theinhardt Regular" w:cs="Theinhardt Regular" w:eastAsia="Theinhardt Regular"/>
          <w:sz w:val="20"/>
          <w:szCs w:val="20"/>
        </w:rPr>
        <w:sectPr>
          <w:type w:val="continuous"/>
          <w:pgSz w:w="11910" w:h="16840"/>
          <w:pgMar w:top="860" w:bottom="280" w:left="460" w:right="720"/>
        </w:sectPr>
      </w:pPr>
    </w:p>
    <w:p>
      <w:pPr>
        <w:spacing w:before="9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/>
        <w:pict>
          <v:shape style="position:absolute;margin-left:28.346001pt;margin-top:-226.862076pt;width:345.827pt;height:226.488195pt;mso-position-horizontal-relative:page;mso-position-vertical-relative:paragraph;z-index:1096" type="#_x0000_t75" stroked="false">
            <v:imagedata r:id="rId7" o:title=""/>
          </v:shape>
        </w:pict>
      </w:r>
      <w:r>
        <w:rPr>
          <w:rFonts w:ascii="Theinhardt Bold"/>
          <w:b/>
          <w:sz w:val="14"/>
        </w:rPr>
        <w:t>1</w:t>
      </w:r>
      <w:r>
        <w:rPr>
          <w:rFonts w:ascii="Theinhardt Bold"/>
          <w:sz w:val="14"/>
        </w:rPr>
      </w:r>
    </w:p>
    <w:p>
      <w:pPr>
        <w:numPr>
          <w:ilvl w:val="0"/>
          <w:numId w:val="1"/>
        </w:numPr>
        <w:tabs>
          <w:tab w:pos="334" w:val="left" w:leader="none"/>
        </w:tabs>
        <w:spacing w:line="160" w:lineRule="exact" w:before="89"/>
        <w:ind w:left="333" w:right="109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sz w:val="14"/>
        </w:rPr>
        <w:t>Die Südfassade des sanierten </w:t>
      </w:r>
      <w:r>
        <w:rPr>
          <w:rFonts w:ascii="Theinhardt Bold" w:hAnsi="Theinhardt Bold"/>
          <w:b/>
          <w:spacing w:val="-1"/>
          <w:sz w:val="14"/>
        </w:rPr>
        <w:t>PEB-EFH.</w:t>
      </w:r>
      <w:r>
        <w:rPr>
          <w:rFonts w:ascii="Theinhardt Bold" w:hAnsi="Theinhardt Bold"/>
          <w:b/>
          <w:spacing w:val="-6"/>
          <w:sz w:val="14"/>
        </w:rPr>
        <w:t> </w:t>
      </w:r>
      <w:r>
        <w:rPr>
          <w:rFonts w:ascii="Theinhardt Bold" w:hAnsi="Theinhardt Bold"/>
          <w:b/>
          <w:sz w:val="14"/>
        </w:rPr>
        <w:t>Die</w:t>
      </w:r>
      <w:r>
        <w:rPr>
          <w:rFonts w:ascii="Theinhardt Bold" w:hAnsi="Theinhardt Bold"/>
          <w:b/>
          <w:spacing w:val="30"/>
          <w:sz w:val="14"/>
        </w:rPr>
        <w:t> </w:t>
      </w:r>
      <w:r>
        <w:rPr>
          <w:rFonts w:ascii="Theinhardt Bold" w:hAnsi="Theinhardt Bold"/>
          <w:b/>
          <w:sz w:val="14"/>
        </w:rPr>
        <w:t>PV-Anlage </w:t>
      </w:r>
      <w:r>
        <w:rPr>
          <w:rFonts w:ascii="Theinhardt Bold" w:hAnsi="Theinhardt Bold"/>
          <w:b/>
          <w:spacing w:val="-1"/>
          <w:sz w:val="14"/>
        </w:rPr>
        <w:t>steht</w:t>
      </w:r>
      <w:r>
        <w:rPr>
          <w:rFonts w:ascii="Theinhardt Bold" w:hAnsi="Theinhardt Bold"/>
          <w:b/>
          <w:sz w:val="14"/>
        </w:rPr>
        <w:t> wegen Platzmangels an einer</w:t>
      </w:r>
      <w:r>
        <w:rPr>
          <w:rFonts w:ascii="Theinhardt Bold" w:hAnsi="Theinhardt Bold"/>
          <w:b/>
          <w:spacing w:val="30"/>
          <w:sz w:val="14"/>
        </w:rPr>
        <w:t> </w:t>
      </w:r>
      <w:r>
        <w:rPr>
          <w:rFonts w:ascii="Theinhardt Bold" w:hAnsi="Theinhardt Bold"/>
          <w:b/>
          <w:sz w:val="14"/>
        </w:rPr>
        <w:t>Stützmauer und auf </w:t>
      </w:r>
      <w:r>
        <w:rPr>
          <w:rFonts w:ascii="Theinhardt Bold" w:hAnsi="Theinhardt Bold"/>
          <w:b/>
          <w:spacing w:val="-1"/>
          <w:sz w:val="14"/>
        </w:rPr>
        <w:t>dem</w:t>
      </w:r>
      <w:r>
        <w:rPr>
          <w:rFonts w:ascii="Theinhardt Bold" w:hAnsi="Theinhardt Bold"/>
          <w:b/>
          <w:sz w:val="14"/>
        </w:rPr>
        <w:t> Wiesenbord statt wie</w:t>
      </w:r>
      <w:r>
        <w:rPr>
          <w:rFonts w:ascii="Theinhardt Bold" w:hAnsi="Theinhardt Bold"/>
          <w:sz w:val="14"/>
        </w:rPr>
      </w:r>
    </w:p>
    <w:p>
      <w:pPr>
        <w:spacing w:line="160" w:lineRule="exact" w:before="0"/>
        <w:ind w:left="333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die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Solarkollektoren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auf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dem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Dach.</w:t>
      </w:r>
      <w:r>
        <w:rPr>
          <w:rFonts w:ascii="Theinhardt Bold" w:hAnsi="Theinhardt Bold" w:cs="Theinhardt Bold" w:eastAsia="Theinhardt Bold"/>
          <w:b/>
          <w:bCs/>
          <w:spacing w:val="-12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3"/>
          <w:sz w:val="14"/>
          <w:szCs w:val="14"/>
        </w:rPr>
        <w:t>Total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werden</w:t>
      </w:r>
      <w:r>
        <w:rPr>
          <w:rFonts w:ascii="Theinhardt Bold" w:hAnsi="Theinhardt Bold" w:cs="Theinhardt Bold" w:eastAsia="Theinhardt Bold"/>
          <w:b/>
          <w:bCs/>
          <w:spacing w:val="51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6’000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kWh/a </w:t>
      </w:r>
      <w:r>
        <w:rPr>
          <w:rFonts w:ascii="Theinhardt Bold" w:hAnsi="Theinhardt Bold" w:cs="Theinhardt Bold" w:eastAsia="Theinhardt Bold"/>
          <w:b/>
          <w:bCs/>
          <w:spacing w:val="2"/>
          <w:sz w:val="14"/>
          <w:szCs w:val="14"/>
        </w:rPr>
        <w:t>erzeugt.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before="9"/>
        <w:ind w:left="285" w:right="0" w:firstLine="0"/>
        <w:jc w:val="center"/>
        <w:rPr>
          <w:rFonts w:ascii="Theinhardt Bold" w:hAnsi="Theinhardt Bold" w:cs="Theinhardt Bold" w:eastAsia="Theinhardt Bold"/>
          <w:sz w:val="14"/>
          <w:szCs w:val="14"/>
        </w:rPr>
      </w:pPr>
      <w:r>
        <w:rPr/>
        <w:br w:type="column"/>
      </w:r>
      <w:r>
        <w:rPr>
          <w:rFonts w:ascii="Theinhardt Bold"/>
          <w:b/>
          <w:sz w:val="14"/>
        </w:rPr>
        <w:t>2</w:t>
      </w:r>
      <w:r>
        <w:rPr>
          <w:rFonts w:ascii="Theinhardt Bold"/>
          <w:sz w:val="14"/>
        </w:rPr>
      </w:r>
    </w:p>
    <w:p>
      <w:pPr>
        <w:numPr>
          <w:ilvl w:val="0"/>
          <w:numId w:val="1"/>
        </w:numPr>
        <w:tabs>
          <w:tab w:pos="334" w:val="left" w:leader="none"/>
        </w:tabs>
        <w:spacing w:line="160" w:lineRule="exact" w:before="89"/>
        <w:ind w:left="333" w:right="4142" w:hanging="227"/>
        <w:jc w:val="both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Mit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dem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Solarstromüberschuss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von 1’400</w:t>
      </w:r>
      <w:r>
        <w:rPr>
          <w:rFonts w:ascii="Theinhardt Bold" w:hAnsi="Theinhardt Bold" w:cs="Theinhardt Bold" w:eastAsia="Theinhardt Bold"/>
          <w:b/>
          <w:bCs/>
          <w:spacing w:val="46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4"/>
          <w:szCs w:val="14"/>
        </w:rPr>
        <w:t>kWh/a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könnten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mehr als vier</w:t>
      </w:r>
      <w:r>
        <w:rPr>
          <w:rFonts w:ascii="Theinhardt Bold" w:hAnsi="Theinhardt Bold" w:cs="Theinhardt Bold" w:eastAsia="Theinhardt Bold"/>
          <w:b/>
          <w:bCs/>
          <w:spacing w:val="-6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TWIKE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ihren</w:t>
      </w:r>
      <w:r>
        <w:rPr>
          <w:rFonts w:ascii="Theinhardt Bold" w:hAnsi="Theinhardt Bold" w:cs="Theinhardt Bold" w:eastAsia="Theinhardt Bold"/>
          <w:b/>
          <w:bCs/>
          <w:spacing w:val="27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Jahresbedarf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decken.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after="0" w:line="160" w:lineRule="exact"/>
        <w:jc w:val="both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1910" w:h="16840"/>
          <w:pgMar w:top="860" w:bottom="280" w:left="460" w:right="720"/>
          <w:cols w:num="2" w:equalWidth="0">
            <w:col w:w="3428" w:space="144"/>
            <w:col w:w="7158"/>
          </w:cols>
        </w:sectPr>
      </w:pPr>
    </w:p>
    <w:p>
      <w:pPr>
        <w:spacing w:line="240" w:lineRule="auto" w:before="6"/>
        <w:rPr>
          <w:rFonts w:ascii="Theinhardt Bold" w:hAnsi="Theinhardt Bold" w:cs="Theinhardt Bold" w:eastAsia="Theinhardt Bold"/>
          <w:b/>
          <w:bCs/>
          <w:sz w:val="22"/>
          <w:szCs w:val="22"/>
        </w:rPr>
      </w:pPr>
    </w:p>
    <w:p>
      <w:pPr>
        <w:spacing w:before="7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Heavy"/>
          <w:b/>
          <w:sz w:val="14"/>
        </w:rPr>
        <w:t>66    </w:t>
      </w:r>
      <w:r>
        <w:rPr>
          <w:rFonts w:ascii="Theinhardt Heavy"/>
          <w:b/>
          <w:spacing w:val="7"/>
          <w:sz w:val="14"/>
        </w:rPr>
        <w:t> </w:t>
      </w:r>
      <w:r>
        <w:rPr>
          <w:rFonts w:ascii="Theinhardt Regular"/>
          <w:sz w:val="14"/>
        </w:rPr>
        <w:t>|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pacing w:val="-1"/>
          <w:sz w:val="14"/>
        </w:rPr>
        <w:t>Schweizer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Solarpreis</w:t>
      </w:r>
      <w:r>
        <w:rPr>
          <w:rFonts w:ascii="Theinhardt Regular"/>
          <w:sz w:val="14"/>
        </w:rPr>
        <w:t> 2016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z w:val="14"/>
        </w:rPr>
        <w:t>|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pacing w:val="-1"/>
          <w:sz w:val="14"/>
        </w:rPr>
        <w:t>Prix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Solaire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Suisse</w:t>
      </w:r>
      <w:r>
        <w:rPr>
          <w:rFonts w:ascii="Theinhardt Regular"/>
          <w:sz w:val="14"/>
        </w:rPr>
        <w:t> 2016</w:t>
      </w:r>
    </w:p>
    <w:sectPr>
      <w:type w:val="continuous"/>
      <w:pgSz w:w="11910" w:h="16840"/>
      <w:pgMar w:top="860" w:bottom="280" w:left="46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heinhardt Regular">
    <w:altName w:val="Theinhardt Regular"/>
    <w:charset w:val="0"/>
    <w:family w:val="swiss"/>
    <w:pitch w:val="variable"/>
  </w:font>
  <w:font w:name="Theinhardt Heavy">
    <w:altName w:val="Theinhardt Heavy"/>
    <w:charset w:val="0"/>
    <w:family w:val="swiss"/>
    <w:pitch w:val="variable"/>
  </w:font>
  <w:font w:name="Theinhardt Bold">
    <w:altName w:val="Theinhardt Bold"/>
    <w:charset w:val="0"/>
    <w:family w:val="swiss"/>
    <w:pitch w:val="variable"/>
  </w:font>
  <w:font w:name="Theinhardt Black">
    <w:altName w:val="Theinhardt Black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"/>
      <w:lvlJc w:val="left"/>
      <w:pPr>
        <w:ind w:left="333" w:hanging="227"/>
        <w:jc w:val="left"/>
      </w:pPr>
      <w:rPr>
        <w:rFonts w:hint="default" w:ascii="Theinhardt Bold" w:hAnsi="Theinhardt Bold" w:eastAsia="Theinhardt Bold"/>
        <w:b/>
        <w:bCs/>
        <w:sz w:val="14"/>
        <w:szCs w:val="14"/>
      </w:rPr>
    </w:lvl>
    <w:lvl w:ilvl="1">
      <w:start w:val="1"/>
      <w:numFmt w:val="bullet"/>
      <w:lvlText w:val="•"/>
      <w:lvlJc w:val="left"/>
      <w:pPr>
        <w:ind w:left="643" w:hanging="22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952" w:hanging="22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261" w:hanging="2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571" w:hanging="2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880" w:hanging="2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189" w:hanging="2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499" w:hanging="2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808" w:hanging="22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05" w:firstLine="226"/>
    </w:pPr>
    <w:rPr>
      <w:rFonts w:ascii="Theinhardt Regular" w:hAnsi="Theinhardt Regular" w:eastAsia="Theinhardt Regular"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2016-09-21T16:39:01Z</dcterms:created>
  <dcterms:modified xsi:type="dcterms:W3CDTF">2016-09-21T16:39:01Z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2016-09-21T00:00:00Z</vt:filetime>
  </property>
  <property fmtid="{D5CDD505-2E9C-101B-9397-08002B2CF9AE}" pid="3" name="LastSaved">
    <vt:filetime>2016-09-21T00:00:00Z</vt:filetime>
  </property>
</Properties>
</file>