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tabs>
          <w:tab w:pos="2694" w:val="left" w:leader="none"/>
        </w:tabs>
        <w:spacing w:line="230" w:lineRule="exact"/>
        <w:ind w:left="255" w:right="64"/>
        <w:jc w:val="both"/>
        <w:rPr>
          <w:rFonts w:ascii="Theinhardt Regular" w:hAnsi="Theinhardt Regular" w:cs="Theinhardt Regular" w:eastAsia="Theinhardt Regular"/>
          <w:b w:val="0"/>
          <w:bCs w:val="0"/>
        </w:rPr>
      </w:pPr>
      <w:r>
        <w:rPr/>
        <w:pict>
          <v:shape style="position:absolute;margin-left:22.363007pt;margin-top:51.298744pt;width:132.682212pt;height:75.614586pt;mso-position-horizontal-relative:page;mso-position-vertical-relative:paragraph;z-index:1072" type="#_x0000_t75" stroked="false">
            <v:imagedata r:id="rId5" o:title=""/>
          </v:shape>
        </w:pict>
      </w:r>
      <w:r>
        <w:rPr/>
        <w:pict>
          <v:group style="position:absolute;margin-left:29.976299pt;margin-top:13.847289pt;width:.1pt;height:.1pt;mso-position-horizontal-relative:page;mso-position-vertical-relative:paragraph;z-index:-3856" coordorigin="600,277" coordsize="2,2">
            <v:shape style="position:absolute;left:600;top:277;width:2;height:2" coordorigin="600,277" coordsize="0,0" path="m600,277l600,27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152.149307pt;margin-top:13.847289pt;width:.1pt;height:.1pt;mso-position-horizontal-relative:page;mso-position-vertical-relative:paragraph;z-index:1144" coordorigin="3043,277" coordsize="2,2">
            <v:shape style="position:absolute;left:3043;top:277;width:2;height:2" coordorigin="3043,277" coordsize="0,0" path="m3043,277l3043,27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29.976299pt;margin-top:25.34729pt;width:.1pt;height:.1pt;mso-position-horizontal-relative:page;mso-position-vertical-relative:paragraph;z-index:-3808" coordorigin="600,507" coordsize="2,2">
            <v:shape style="position:absolute;left:600;top:507;width:2;height:2" coordorigin="600,507" coordsize="0,0" path="m600,507l600,50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152.149307pt;margin-top:25.34729pt;width:.1pt;height:.1pt;mso-position-horizontal-relative:page;mso-position-vertical-relative:paragraph;z-index:1192" coordorigin="3043,507" coordsize="2,2">
            <v:shape style="position:absolute;left:3043;top:507;width:2;height:2" coordorigin="3043,507" coordsize="0,0" path="m3043,507l3043,507e" filled="false" stroked="true" strokeweight=".425pt" strokecolor="#000000">
              <v:path arrowok="t"/>
            </v:shape>
            <w10:wrap type="none"/>
          </v:group>
        </w:pict>
      </w:r>
      <w:r>
        <w:rPr>
          <w:rFonts w:ascii="Theinhardt Black" w:hAnsi="Theinhardt Black"/>
          <w:b/>
        </w:rPr>
      </w:r>
      <w:r>
        <w:rPr>
          <w:rFonts w:ascii="Theinhardt Black" w:hAnsi="Theinhardt Black"/>
          <w:b/>
          <w:spacing w:val="2"/>
          <w:u w:val="dotted" w:color="000000"/>
        </w:rPr>
        <w:t>Catégorie</w:t>
      </w:r>
      <w:r>
        <w:rPr>
          <w:rFonts w:ascii="Theinhardt Black" w:hAnsi="Theinhardt Black"/>
          <w:b/>
          <w:u w:val="dotted" w:color="000000"/>
        </w:rPr>
        <w:t>                         </w:t>
      </w:r>
      <w:r>
        <w:rPr>
          <w:rFonts w:ascii="Theinhardt Black" w:hAnsi="Theinhardt Black"/>
          <w:b/>
          <w:spacing w:val="18"/>
          <w:u w:val="dotted" w:color="000000"/>
        </w:rPr>
        <w:t> </w:t>
      </w:r>
      <w:r>
        <w:rPr>
          <w:rFonts w:ascii="Theinhardt Black" w:hAnsi="Theinhardt Black"/>
          <w:b/>
          <w:u w:val="dotted" w:color="000000"/>
        </w:rPr>
        <w:t>B</w:t>
      </w:r>
      <w:r>
        <w:rPr>
          <w:rFonts w:ascii="Theinhardt Black" w:hAnsi="Theinhardt Black"/>
          <w:b/>
          <w:u w:val="dotted" w:color="000000"/>
        </w:rPr>
        <w:t> </w:t>
        <w:tab/>
      </w:r>
      <w:r>
        <w:rPr>
          <w:rFonts w:ascii="Theinhardt Black" w:hAnsi="Theinhardt Black"/>
          <w:b/>
        </w:rPr>
      </w:r>
      <w:r>
        <w:rPr>
          <w:rFonts w:ascii="Theinhardt Black" w:hAnsi="Theinhardt Black"/>
          <w:b/>
          <w:spacing w:val="21"/>
        </w:rPr>
        <w:t> </w:t>
      </w:r>
      <w:r>
        <w:rPr>
          <w:rFonts w:ascii="Theinhardt Black" w:hAnsi="Theinhardt Black"/>
          <w:b/>
          <w:spacing w:val="3"/>
          <w:u w:val="dotted" w:color="000000"/>
        </w:rPr>
        <w:t>Bât.</w:t>
      </w:r>
      <w:r>
        <w:rPr>
          <w:rFonts w:ascii="Theinhardt Black" w:hAnsi="Theinhardt Black"/>
          <w:b/>
          <w:spacing w:val="-11"/>
          <w:u w:val="dotted" w:color="000000"/>
        </w:rPr>
        <w:t> </w:t>
      </w:r>
      <w:r>
        <w:rPr>
          <w:rFonts w:ascii="Theinhardt Black" w:hAnsi="Theinhardt Black"/>
          <w:b/>
          <w:u w:val="dotted" w:color="000000"/>
        </w:rPr>
        <w:t>à Énergie </w:t>
      </w:r>
      <w:r>
        <w:rPr>
          <w:rFonts w:ascii="Theinhardt Black" w:hAnsi="Theinhardt Black"/>
          <w:b/>
          <w:spacing w:val="1"/>
          <w:u w:val="dotted" w:color="000000"/>
        </w:rPr>
        <w:t>Positive</w:t>
      </w:r>
      <w:r>
        <w:rPr>
          <w:rFonts w:ascii="Theinhardt Black" w:hAnsi="Theinhardt Black"/>
          <w:b/>
          <w:u w:val="dotted" w:color="000000"/>
        </w:rPr>
        <w:t>          </w:t>
      </w:r>
      <w:r>
        <w:rPr>
          <w:rFonts w:ascii="Theinhardt Black" w:hAnsi="Theinhardt Black"/>
          <w:b/>
          <w:spacing w:val="10"/>
          <w:u w:val="dotted" w:color="000000"/>
        </w:rPr>
        <w:t> </w:t>
      </w:r>
      <w:r>
        <w:rPr>
          <w:rFonts w:ascii="Theinhardt Black" w:hAnsi="Theinhardt Black"/>
          <w:b/>
          <w:spacing w:val="10"/>
        </w:rPr>
      </w:r>
      <w:r>
        <w:rPr>
          <w:rFonts w:ascii="Theinhardt Black" w:hAnsi="Theinhardt Black"/>
          <w:b/>
          <w:spacing w:val="34"/>
        </w:rPr>
        <w:t> </w:t>
      </w:r>
      <w:r>
        <w:rPr>
          <w:rFonts w:ascii="Theinhardt Regular" w:hAnsi="Theinhardt Regular"/>
          <w:b w:val="0"/>
          <w:spacing w:val="-1"/>
        </w:rPr>
        <w:t>Diplôme</w:t>
      </w:r>
      <w:r>
        <w:rPr>
          <w:rFonts w:ascii="Theinhardt Regular" w:hAnsi="Theinhardt Regular"/>
          <w:b w:val="0"/>
          <w:spacing w:val="1"/>
        </w:rPr>
        <w:t> </w:t>
      </w:r>
      <w:r>
        <w:rPr>
          <w:rFonts w:ascii="Theinhardt Regular" w:hAnsi="Theinhardt Regular"/>
          <w:b w:val="0"/>
          <w:spacing w:val="-1"/>
        </w:rPr>
        <w:t>BEP</w:t>
      </w:r>
      <w:r>
        <w:rPr>
          <w:rFonts w:ascii="Theinhardt Regular" w:hAnsi="Theinhardt Regular"/>
          <w:b w:val="0"/>
          <w:spacing w:val="-1"/>
          <w:position w:val="6"/>
          <w:sz w:val="10"/>
        </w:rPr>
        <w:t>®</w:t>
      </w:r>
      <w:r>
        <w:rPr>
          <w:rFonts w:ascii="Theinhardt Regular" w:hAnsi="Theinhardt Regular"/>
          <w:b w:val="0"/>
          <w:spacing w:val="3"/>
          <w:position w:val="6"/>
          <w:sz w:val="10"/>
        </w:rPr>
        <w:t> </w:t>
      </w:r>
      <w:r>
        <w:rPr>
          <w:rFonts w:ascii="Theinhardt Regular" w:hAnsi="Theinhardt Regular"/>
          <w:b w:val="0"/>
        </w:rPr>
        <w:t>2016</w:t>
      </w:r>
    </w:p>
    <w:p>
      <w:pPr>
        <w:spacing w:line="230" w:lineRule="exact" w:before="32"/>
        <w:ind w:left="104" w:right="103" w:firstLine="0"/>
        <w:jc w:val="both"/>
        <w:rPr>
          <w:rFonts w:ascii="Theinhardt Bold" w:hAnsi="Theinhardt Bold" w:cs="Theinhardt Bold" w:eastAsia="Theinhardt Bold"/>
          <w:sz w:val="18"/>
          <w:szCs w:val="18"/>
        </w:rPr>
      </w:pPr>
      <w:r>
        <w:rPr/>
        <w:br w:type="column"/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Organisations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à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but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non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lucratif,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les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communautés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d’Emmaüs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œuvrent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en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faveur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des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personnes</w:t>
      </w:r>
      <w:r>
        <w:rPr>
          <w:rFonts w:ascii="Theinhardt Bold" w:hAnsi="Theinhardt Bold" w:cs="Theinhardt Bold" w:eastAsia="Theinhardt Bold"/>
          <w:b/>
          <w:bCs/>
          <w:spacing w:val="6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en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situation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précaire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et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se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consacrent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à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différents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projets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humanitaires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en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Suisse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et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à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l’étranger.</w:t>
      </w:r>
      <w:r>
        <w:rPr>
          <w:rFonts w:ascii="Theinhardt Bold" w:hAnsi="Theinhardt Bold" w:cs="Theinhardt Bold" w:eastAsia="Theinhardt Bold"/>
          <w:b/>
          <w:bCs/>
          <w:spacing w:val="5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Le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développement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durable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est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pour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elles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un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objectif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à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part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entière.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Ainsi,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en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2015,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la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commun-</w:t>
      </w:r>
      <w:r>
        <w:rPr>
          <w:rFonts w:ascii="Theinhardt Bold" w:hAnsi="Theinhardt Bold" w:cs="Theinhardt Bold" w:eastAsia="Theinhardt Bold"/>
          <w:b/>
          <w:bCs/>
          <w:spacing w:val="4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auté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des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Chiffonniers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d’Emmaüs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Genève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investi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dans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une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installation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PV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178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kW.</w:t>
      </w:r>
      <w:r>
        <w:rPr>
          <w:rFonts w:ascii="Theinhardt Bold" w:hAnsi="Theinhardt Bold" w:cs="Theinhardt Bold" w:eastAsia="Theinhardt Bold"/>
          <w:b/>
          <w:bCs/>
          <w:spacing w:val="-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Orien-</w:t>
      </w:r>
      <w:r>
        <w:rPr>
          <w:rFonts w:ascii="Theinhardt Bold" w:hAnsi="Theinhardt Bold" w:cs="Theinhardt Bold" w:eastAsia="Theinhardt Bold"/>
          <w:b/>
          <w:bCs/>
          <w:spacing w:val="7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tée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est-ouest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et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bien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intégrée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au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toit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du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bâtiment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en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ville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Carouge/GE,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elle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produit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161’700</w:t>
      </w:r>
      <w:r>
        <w:rPr>
          <w:rFonts w:ascii="Theinhardt Bold" w:hAnsi="Theinhardt Bold" w:cs="Theinhardt Bold" w:eastAsia="Theinhardt Bold"/>
          <w:b/>
          <w:bCs/>
          <w:spacing w:val="4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kWh/a.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On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remplacé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les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fenêtres,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mais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peu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touché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aux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façades.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Avec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une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autoproduction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</w:t>
      </w:r>
      <w:r>
        <w:rPr>
          <w:rFonts w:ascii="Theinhardt Bold" w:hAnsi="Theinhardt Bold" w:cs="Theinhardt Bold" w:eastAsia="Theinhardt Bold"/>
          <w:b/>
          <w:bCs/>
          <w:spacing w:val="4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145%,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le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 Bâtiment à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Énergie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Positive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(BEP)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 satisfait les normes du label.</w:t>
      </w:r>
      <w:r>
        <w:rPr>
          <w:rFonts w:ascii="Theinhardt Bold" w:hAnsi="Theinhardt Bold" w:cs="Theinhardt Bold" w:eastAsia="Theinhardt Bold"/>
          <w:sz w:val="18"/>
          <w:szCs w:val="18"/>
        </w:rPr>
      </w:r>
    </w:p>
    <w:p>
      <w:pPr>
        <w:spacing w:after="0" w:line="230" w:lineRule="exact"/>
        <w:jc w:val="both"/>
        <w:rPr>
          <w:rFonts w:ascii="Theinhardt Bold" w:hAnsi="Theinhardt Bold" w:cs="Theinhardt Bold" w:eastAsia="Theinhardt Bold"/>
          <w:sz w:val="18"/>
          <w:szCs w:val="18"/>
        </w:rPr>
        <w:sectPr>
          <w:type w:val="continuous"/>
          <w:pgSz w:w="11910" w:h="16840"/>
          <w:pgMar w:top="860" w:bottom="280" w:left="340" w:right="740"/>
          <w:cols w:num="2" w:equalWidth="0">
            <w:col w:w="2761" w:space="40"/>
            <w:col w:w="8029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1"/>
        <w:rPr>
          <w:rFonts w:ascii="Theinhardt Bold" w:hAnsi="Theinhardt Bold" w:cs="Theinhardt Bold" w:eastAsia="Theinhardt Bold"/>
          <w:b/>
          <w:bCs/>
          <w:sz w:val="19"/>
          <w:szCs w:val="19"/>
        </w:rPr>
      </w:pPr>
    </w:p>
    <w:p>
      <w:pPr>
        <w:spacing w:before="5"/>
        <w:ind w:left="241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 w:hAnsi="Theinhardt Black" w:cs="Theinhardt Black" w:eastAsia="Theinhardt Black"/>
          <w:b/>
          <w:bCs/>
          <w:color w:val="0067B1"/>
          <w:spacing w:val="-2"/>
          <w:sz w:val="40"/>
          <w:szCs w:val="40"/>
        </w:rPr>
        <w:t>BEP</w:t>
      </w:r>
      <w:r>
        <w:rPr>
          <w:rFonts w:ascii="Theinhardt Black" w:hAnsi="Theinhardt Black" w:cs="Theinhardt Black" w:eastAsia="Theinhardt Black"/>
          <w:b/>
          <w:bCs/>
          <w:color w:val="0067B1"/>
          <w:sz w:val="40"/>
          <w:szCs w:val="40"/>
        </w:rPr>
        <w:t> 145% </w:t>
      </w:r>
      <w:r>
        <w:rPr>
          <w:rFonts w:ascii="Theinhardt Black" w:hAnsi="Theinhardt Black" w:cs="Theinhardt Black" w:eastAsia="Theinhardt Black"/>
          <w:b/>
          <w:bCs/>
          <w:color w:val="0067B1"/>
          <w:spacing w:val="3"/>
          <w:sz w:val="40"/>
          <w:szCs w:val="40"/>
        </w:rPr>
        <w:t>communauté</w:t>
      </w:r>
      <w:r>
        <w:rPr>
          <w:rFonts w:ascii="Theinhardt Black" w:hAnsi="Theinhardt Black" w:cs="Theinhardt Black" w:eastAsia="Theinhardt Black"/>
          <w:b/>
          <w:bCs/>
          <w:color w:val="0067B1"/>
          <w:sz w:val="40"/>
          <w:szCs w:val="40"/>
        </w:rPr>
        <w:t> </w:t>
      </w:r>
      <w:r>
        <w:rPr>
          <w:rFonts w:ascii="Theinhardt Black" w:hAnsi="Theinhardt Black" w:cs="Theinhardt Black" w:eastAsia="Theinhardt Black"/>
          <w:b/>
          <w:bCs/>
          <w:color w:val="0067B1"/>
          <w:spacing w:val="3"/>
          <w:sz w:val="40"/>
          <w:szCs w:val="40"/>
        </w:rPr>
        <w:t>d’Emmaüs,</w:t>
      </w:r>
      <w:r>
        <w:rPr>
          <w:rFonts w:ascii="Theinhardt Black" w:hAnsi="Theinhardt Black" w:cs="Theinhardt Black" w:eastAsia="Theinhardt Black"/>
          <w:b/>
          <w:bCs/>
          <w:color w:val="0067B1"/>
          <w:spacing w:val="-24"/>
          <w:sz w:val="40"/>
          <w:szCs w:val="40"/>
        </w:rPr>
        <w:t> </w:t>
      </w:r>
      <w:r>
        <w:rPr>
          <w:rFonts w:ascii="Theinhardt Black" w:hAnsi="Theinhardt Black" w:cs="Theinhardt Black" w:eastAsia="Theinhardt Black"/>
          <w:b/>
          <w:bCs/>
          <w:color w:val="0067B1"/>
          <w:sz w:val="40"/>
          <w:szCs w:val="40"/>
        </w:rPr>
        <w:t>1127 </w:t>
      </w:r>
      <w:r>
        <w:rPr>
          <w:rFonts w:ascii="Theinhardt Black" w:hAnsi="Theinhardt Black" w:cs="Theinhardt Black" w:eastAsia="Theinhardt Black"/>
          <w:b/>
          <w:bCs/>
          <w:color w:val="0067B1"/>
          <w:spacing w:val="3"/>
          <w:sz w:val="40"/>
          <w:szCs w:val="40"/>
        </w:rPr>
        <w:t>Carouge/GE</w:t>
      </w:r>
      <w:r>
        <w:rPr>
          <w:rFonts w:ascii="Theinhardt Black" w:hAnsi="Theinhardt Black" w:cs="Theinhardt Black" w:eastAsia="Theinhardt Black"/>
          <w:sz w:val="40"/>
          <w:szCs w:val="40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2"/>
          <w:szCs w:val="22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22"/>
          <w:szCs w:val="22"/>
        </w:rPr>
        <w:sectPr>
          <w:type w:val="continuous"/>
          <w:pgSz w:w="11910" w:h="16840"/>
          <w:pgMar w:top="860" w:bottom="280" w:left="340" w:right="740"/>
        </w:sectPr>
      </w:pPr>
    </w:p>
    <w:p>
      <w:pPr>
        <w:pStyle w:val="BodyText"/>
        <w:spacing w:line="230" w:lineRule="exact" w:before="65"/>
        <w:ind w:right="0"/>
        <w:jc w:val="left"/>
      </w:pPr>
      <w:r>
        <w:rPr>
          <w:spacing w:val="-2"/>
        </w:rPr>
        <w:t>Les</w:t>
      </w:r>
      <w:r>
        <w:rPr>
          <w:spacing w:val="-15"/>
        </w:rPr>
        <w:t> </w:t>
      </w:r>
      <w:r>
        <w:rPr>
          <w:spacing w:val="-1"/>
        </w:rPr>
        <w:t>communautés</w:t>
      </w:r>
      <w:r>
        <w:rPr>
          <w:spacing w:val="-15"/>
        </w:rPr>
        <w:t> </w:t>
      </w:r>
      <w:r>
        <w:rPr>
          <w:spacing w:val="-1"/>
        </w:rPr>
        <w:t>d’Emmaüs,</w:t>
      </w:r>
      <w:r>
        <w:rPr>
          <w:spacing w:val="-25"/>
        </w:rPr>
        <w:t> </w:t>
      </w:r>
      <w:r>
        <w:rPr>
          <w:spacing w:val="-1"/>
        </w:rPr>
        <w:t>organisations</w:t>
      </w:r>
      <w:r>
        <w:rPr>
          <w:spacing w:val="49"/>
        </w:rPr>
        <w:t> </w:t>
      </w:r>
      <w:r>
        <w:rPr/>
        <w:t>à</w:t>
      </w:r>
      <w:r>
        <w:rPr>
          <w:spacing w:val="-12"/>
        </w:rPr>
        <w:t> </w:t>
      </w:r>
      <w:r>
        <w:rPr/>
        <w:t>but</w:t>
      </w:r>
      <w:r>
        <w:rPr>
          <w:spacing w:val="-12"/>
        </w:rPr>
        <w:t> </w:t>
      </w:r>
      <w:r>
        <w:rPr/>
        <w:t>non</w:t>
      </w:r>
      <w:r>
        <w:rPr>
          <w:spacing w:val="-12"/>
        </w:rPr>
        <w:t> </w:t>
      </w:r>
      <w:r>
        <w:rPr>
          <w:spacing w:val="-1"/>
        </w:rPr>
        <w:t>lucratif,</w:t>
      </w:r>
      <w:r>
        <w:rPr>
          <w:spacing w:val="-23"/>
        </w:rPr>
        <w:t> </w:t>
      </w:r>
      <w:r>
        <w:rPr>
          <w:spacing w:val="-1"/>
        </w:rPr>
        <w:t>soutiennent</w:t>
      </w:r>
      <w:r>
        <w:rPr>
          <w:spacing w:val="-12"/>
        </w:rPr>
        <w:t> </w:t>
      </w:r>
      <w:r>
        <w:rPr/>
        <w:t>les</w:t>
      </w:r>
      <w:r>
        <w:rPr>
          <w:spacing w:val="-12"/>
        </w:rPr>
        <w:t> </w:t>
      </w:r>
      <w:r>
        <w:rPr>
          <w:spacing w:val="-1"/>
        </w:rPr>
        <w:t>personnes</w:t>
      </w:r>
    </w:p>
    <w:p>
      <w:pPr>
        <w:pStyle w:val="BodyText"/>
        <w:spacing w:line="230" w:lineRule="exact" w:before="66"/>
        <w:ind w:left="186" w:right="0"/>
        <w:jc w:val="left"/>
      </w:pPr>
      <w:r>
        <w:rPr/>
        <w:br w:type="column"/>
      </w:r>
      <w:r>
        <w:rPr>
          <w:spacing w:val="-2"/>
        </w:rPr>
        <w:t>d’eau</w:t>
      </w:r>
      <w:r>
        <w:rPr>
          <w:spacing w:val="-9"/>
        </w:rPr>
        <w:t> </w:t>
      </w:r>
      <w:r>
        <w:rPr/>
        <w:t>chaude.</w:t>
      </w:r>
      <w:r>
        <w:rPr>
          <w:spacing w:val="-19"/>
        </w:rPr>
        <w:t> </w:t>
      </w:r>
      <w:r>
        <w:rPr/>
        <w:t>Une</w:t>
      </w:r>
      <w:r>
        <w:rPr>
          <w:spacing w:val="-9"/>
        </w:rPr>
        <w:t> </w:t>
      </w:r>
      <w:r>
        <w:rPr>
          <w:spacing w:val="-1"/>
        </w:rPr>
        <w:t>chaudière</w:t>
      </w:r>
      <w:r>
        <w:rPr>
          <w:spacing w:val="-9"/>
        </w:rPr>
        <w:t> </w:t>
      </w:r>
      <w:r>
        <w:rPr/>
        <w:t>à</w:t>
      </w:r>
      <w:r>
        <w:rPr>
          <w:spacing w:val="-9"/>
        </w:rPr>
        <w:t> </w:t>
      </w:r>
      <w:r>
        <w:rPr/>
        <w:t>mazout</w:t>
      </w:r>
      <w:r>
        <w:rPr>
          <w:spacing w:val="-9"/>
        </w:rPr>
        <w:t> </w:t>
      </w:r>
      <w:r>
        <w:rPr/>
        <w:t>con-</w:t>
      </w:r>
      <w:r>
        <w:rPr>
          <w:spacing w:val="28"/>
        </w:rPr>
        <w:t> </w:t>
      </w:r>
      <w:r>
        <w:rPr/>
        <w:t>ti</w:t>
      </w:r>
      <w:r>
        <w:rPr>
          <w:spacing w:val="-1"/>
        </w:rPr>
        <w:t>n</w:t>
      </w:r>
      <w:r>
        <w:rPr/>
        <w:t>ue</w:t>
      </w:r>
      <w:r>
        <w:rPr>
          <w:spacing w:val="-10"/>
        </w:rPr>
        <w:t> </w:t>
      </w:r>
      <w:r>
        <w:rPr/>
        <w:t>à</w:t>
      </w:r>
      <w:r>
        <w:rPr>
          <w:spacing w:val="-10"/>
        </w:rPr>
        <w:t> </w:t>
      </w:r>
      <w:r>
        <w:rPr/>
        <w:t>chau</w:t>
      </w:r>
      <w:r>
        <w:rPr>
          <w:spacing w:val="3"/>
        </w:rPr>
        <w:t>f</w:t>
      </w:r>
      <w:r>
        <w:rPr>
          <w:spacing w:val="-3"/>
        </w:rPr>
        <w:t>f</w:t>
      </w:r>
      <w:r>
        <w:rPr/>
        <w:t>er</w:t>
      </w:r>
      <w:r>
        <w:rPr>
          <w:spacing w:val="-10"/>
        </w:rPr>
        <w:t> </w:t>
      </w:r>
      <w:r>
        <w:rPr/>
        <w:t>le</w:t>
      </w:r>
      <w:r>
        <w:rPr>
          <w:spacing w:val="-10"/>
        </w:rPr>
        <w:t> </w:t>
      </w:r>
      <w:r>
        <w:rPr>
          <w:spacing w:val="1"/>
        </w:rPr>
        <w:t>B</w:t>
      </w:r>
      <w:r>
        <w:rPr>
          <w:spacing w:val="-4"/>
        </w:rPr>
        <w:t>E</w:t>
      </w:r>
      <w:r>
        <w:rPr>
          <w:spacing w:val="-29"/>
        </w:rPr>
        <w:t>P</w:t>
      </w:r>
      <w:r>
        <w:rPr/>
        <w:t>.</w:t>
      </w:r>
      <w:r>
        <w:rPr>
          <w:spacing w:val="-21"/>
        </w:rPr>
        <w:t> </w:t>
      </w:r>
      <w:r>
        <w:rPr>
          <w:spacing w:val="-18"/>
        </w:rPr>
        <w:t>L</w:t>
      </w:r>
      <w:r>
        <w:rPr/>
        <w:t>’ins</w:t>
      </w:r>
      <w:r>
        <w:rPr>
          <w:spacing w:val="1"/>
        </w:rPr>
        <w:t>t</w:t>
      </w:r>
      <w:r>
        <w:rPr/>
        <w:t>a</w:t>
      </w:r>
      <w:r>
        <w:rPr>
          <w:spacing w:val="1"/>
        </w:rPr>
        <w:t>l</w:t>
      </w:r>
      <w:r>
        <w:rPr/>
        <w:t>lation</w:t>
      </w:r>
      <w:r>
        <w:rPr>
          <w:spacing w:val="-10"/>
        </w:rPr>
        <w:t> </w:t>
      </w:r>
      <w:r>
        <w:rPr>
          <w:spacing w:val="1"/>
        </w:rPr>
        <w:t>P</w:t>
      </w:r>
      <w:r>
        <w:rPr/>
        <w:t>V</w:t>
      </w:r>
      <w:r>
        <w:rPr>
          <w:spacing w:val="-10"/>
        </w:rPr>
        <w:t> </w:t>
      </w:r>
      <w:r>
        <w:rPr/>
        <w:t>per-</w:t>
      </w:r>
    </w:p>
    <w:p>
      <w:pPr>
        <w:spacing w:before="67"/>
        <w:ind w:left="178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 w:hAnsi="Theinhardt Black"/>
          <w:b/>
          <w:spacing w:val="1"/>
          <w:sz w:val="14"/>
        </w:rPr>
        <w:t>Données</w:t>
      </w:r>
      <w:r>
        <w:rPr>
          <w:rFonts w:ascii="Theinhardt Black" w:hAnsi="Theinhardt Black"/>
          <w:b/>
          <w:sz w:val="14"/>
        </w:rPr>
        <w:t> techniques</w:t>
      </w:r>
      <w:r>
        <w:rPr>
          <w:rFonts w:ascii="Theinhardt Black" w:hAns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79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before="20"/>
        <w:ind w:left="178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pacing w:val="1"/>
          <w:sz w:val="14"/>
        </w:rPr>
        <w:t>Besoins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en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énergie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aprés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rénovation</w:t>
      </w:r>
      <w:r>
        <w:rPr>
          <w:rFonts w:ascii="Theinhardt Bold" w:hAnsi="Theinhardt Bold"/>
          <w:sz w:val="14"/>
        </w:rPr>
      </w:r>
    </w:p>
    <w:p>
      <w:pPr>
        <w:spacing w:after="0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1910" w:h="16840"/>
          <w:pgMar w:top="860" w:bottom="280" w:left="340" w:right="740"/>
          <w:cols w:num="3" w:equalWidth="0">
            <w:col w:w="3587" w:space="40"/>
            <w:col w:w="3526" w:space="40"/>
            <w:col w:w="3637"/>
          </w:cols>
        </w:sectPr>
      </w:pPr>
    </w:p>
    <w:p>
      <w:pPr>
        <w:pStyle w:val="BodyText"/>
        <w:spacing w:line="240" w:lineRule="auto" w:before="8"/>
        <w:ind w:right="0"/>
        <w:jc w:val="left"/>
      </w:pPr>
      <w:r>
        <w:rPr/>
        <w:t>en</w:t>
      </w:r>
      <w:r>
        <w:rPr>
          <w:spacing w:val="12"/>
        </w:rPr>
        <w:t> </w:t>
      </w:r>
      <w:r>
        <w:rPr/>
        <w:t>situation</w:t>
      </w:r>
      <w:r>
        <w:rPr>
          <w:spacing w:val="12"/>
        </w:rPr>
        <w:t> </w:t>
      </w:r>
      <w:r>
        <w:rPr>
          <w:spacing w:val="-1"/>
        </w:rPr>
        <w:t>d’urgence.</w:t>
      </w:r>
      <w:r>
        <w:rPr>
          <w:spacing w:val="1"/>
        </w:rPr>
        <w:t> </w:t>
      </w:r>
      <w:r>
        <w:rPr/>
        <w:t>Elles</w:t>
      </w:r>
      <w:r>
        <w:rPr>
          <w:spacing w:val="12"/>
        </w:rPr>
        <w:t> </w:t>
      </w:r>
      <w:r>
        <w:rPr>
          <w:spacing w:val="-1"/>
        </w:rPr>
        <w:t>financent</w:t>
      </w:r>
      <w:r>
        <w:rPr>
          <w:spacing w:val="12"/>
        </w:rPr>
        <w:t> </w:t>
      </w:r>
      <w:r>
        <w:rPr/>
        <w:t>leur</w:t>
      </w:r>
    </w:p>
    <w:p>
      <w:pPr>
        <w:pStyle w:val="BodyText"/>
        <w:spacing w:line="268" w:lineRule="exact" w:before="9"/>
        <w:ind w:left="186" w:right="0"/>
        <w:jc w:val="left"/>
        <w:rPr>
          <w:sz w:val="10"/>
          <w:szCs w:val="10"/>
        </w:rPr>
      </w:pPr>
      <w:r>
        <w:rPr/>
        <w:br w:type="column"/>
      </w:r>
      <w:r>
        <w:rPr/>
        <w:t>met</w:t>
      </w:r>
      <w:r>
        <w:rPr>
          <w:spacing w:val="-3"/>
        </w:rPr>
        <w:t> </w:t>
      </w:r>
      <w:r>
        <w:rPr>
          <w:spacing w:val="-1"/>
        </w:rPr>
        <w:t>d’économiser</w:t>
      </w:r>
      <w:r>
        <w:rPr>
          <w:spacing w:val="-3"/>
        </w:rPr>
        <w:t> </w:t>
      </w:r>
      <w:r>
        <w:rPr/>
        <w:t>12.2</w:t>
      </w:r>
      <w:r>
        <w:rPr>
          <w:spacing w:val="-2"/>
        </w:rPr>
        <w:t> </w:t>
      </w:r>
      <w:r>
        <w:rPr/>
        <w:t>t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CO</w:t>
      </w:r>
      <w:r>
        <w:rPr>
          <w:position w:val="-5"/>
          <w:sz w:val="10"/>
          <w:szCs w:val="10"/>
        </w:rPr>
        <w:t>2</w:t>
      </w:r>
      <w:r>
        <w:rPr>
          <w:sz w:val="10"/>
          <w:szCs w:val="10"/>
        </w:rPr>
      </w:r>
    </w:p>
    <w:p>
      <w:pPr>
        <w:pStyle w:val="BodyText"/>
        <w:spacing w:line="240" w:lineRule="auto" w:before="8"/>
        <w:ind w:left="6" w:right="0"/>
        <w:jc w:val="left"/>
      </w:pPr>
      <w:r>
        <w:rPr/>
        <w:br w:type="column"/>
      </w:r>
      <w:r>
        <w:rPr>
          <w:spacing w:val="-1"/>
        </w:rPr>
        <w:t>par</w:t>
      </w:r>
      <w:r>
        <w:rPr>
          <w:spacing w:val="-3"/>
        </w:rPr>
        <w:t> </w:t>
      </w:r>
      <w:r>
        <w:rPr>
          <w:spacing w:val="-1"/>
        </w:rPr>
        <w:t>année.</w:t>
      </w:r>
    </w:p>
    <w:p>
      <w:pPr>
        <w:tabs>
          <w:tab w:pos="1681" w:val="left" w:leader="none"/>
          <w:tab w:pos="1961" w:val="left" w:leader="none"/>
          <w:tab w:pos="2500" w:val="left" w:leader="none"/>
          <w:tab w:pos="2885" w:val="left" w:leader="none"/>
        </w:tabs>
        <w:spacing w:line="207" w:lineRule="auto" w:before="0"/>
        <w:ind w:left="168" w:right="333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br w:type="column"/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SRE:</w:t>
      </w:r>
      <w:r>
        <w:rPr>
          <w:rFonts w:ascii="Theinhardt Regular" w:hAnsi="Theinhardt Regular" w:cs="Theinhardt Regular" w:eastAsia="Theinhardt Regular"/>
          <w:spacing w:val="7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2’000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m</w:t>
      </w:r>
      <w:r>
        <w:rPr>
          <w:rFonts w:ascii="Theinhardt Regular" w:hAnsi="Theinhardt Regular" w:cs="Theinhardt Regular" w:eastAsia="Theinhardt Regular"/>
          <w:spacing w:val="-1"/>
          <w:position w:val="5"/>
          <w:sz w:val="8"/>
          <w:szCs w:val="8"/>
        </w:rPr>
        <w:t>2</w:t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kWh/m</w:t>
      </w:r>
      <w:r>
        <w:rPr>
          <w:rFonts w:ascii="Theinhardt Regular" w:hAnsi="Theinhardt Regular" w:cs="Theinhardt Regular" w:eastAsia="Theinhardt Regular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sz w:val="14"/>
          <w:szCs w:val="14"/>
        </w:rPr>
        <w:t>a</w:t>
        <w:tab/>
        <w:t>%</w:t>
        <w:tab/>
        <w:t>kWh/a</w:t>
      </w:r>
      <w:r>
        <w:rPr>
          <w:rFonts w:ascii="Theinhardt Regular" w:hAnsi="Theinhardt Regular" w:cs="Theinhardt Regular" w:eastAsia="Theinhardt Regular"/>
          <w:spacing w:val="2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Besoins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de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chaleur:</w:t>
        <w:tab/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36.0</w:t>
        <w:tab/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64</w:t>
      </w:r>
      <w:r>
        <w:rPr>
          <w:rFonts w:ascii="Theinhardt Regular" w:hAnsi="Theinhardt Regular" w:cs="Theinhardt Regular" w:eastAsia="Theinhardt Regular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spacing w:val="7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72’000</w:t>
      </w:r>
    </w:p>
    <w:p>
      <w:pPr>
        <w:spacing w:after="0" w:line="207" w:lineRule="auto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1910" w:h="16840"/>
          <w:pgMar w:top="860" w:bottom="280" w:left="340" w:right="740"/>
          <w:cols w:num="4" w:equalWidth="0">
            <w:col w:w="3586" w:space="40"/>
            <w:col w:w="2671" w:space="40"/>
            <w:col w:w="826" w:space="40"/>
            <w:col w:w="3627"/>
          </w:cols>
        </w:sectPr>
      </w:pPr>
    </w:p>
    <w:p>
      <w:pPr>
        <w:pStyle w:val="BodyText"/>
        <w:spacing w:line="160" w:lineRule="exact"/>
        <w:ind w:right="0"/>
        <w:jc w:val="both"/>
      </w:pPr>
      <w:r>
        <w:rPr/>
        <w:t>action</w:t>
      </w:r>
      <w:r>
        <w:rPr>
          <w:spacing w:val="4"/>
        </w:rPr>
        <w:t> </w:t>
      </w:r>
      <w:r>
        <w:rPr>
          <w:spacing w:val="-1"/>
        </w:rPr>
        <w:t>grâce</w:t>
      </w:r>
      <w:r>
        <w:rPr>
          <w:spacing w:val="4"/>
        </w:rPr>
        <w:t> </w:t>
      </w:r>
      <w:r>
        <w:rPr/>
        <w:t>à</w:t>
      </w:r>
      <w:r>
        <w:rPr>
          <w:spacing w:val="4"/>
        </w:rPr>
        <w:t> </w:t>
      </w:r>
      <w:r>
        <w:rPr/>
        <w:t>des</w:t>
      </w:r>
      <w:r>
        <w:rPr>
          <w:spacing w:val="4"/>
        </w:rPr>
        <w:t> </w:t>
      </w:r>
      <w:r>
        <w:rPr/>
        <w:t>dons</w:t>
      </w:r>
      <w:r>
        <w:rPr>
          <w:spacing w:val="4"/>
        </w:rPr>
        <w:t> </w:t>
      </w:r>
      <w:r>
        <w:rPr/>
        <w:t>et</w:t>
      </w:r>
      <w:r>
        <w:rPr>
          <w:spacing w:val="4"/>
        </w:rPr>
        <w:t> </w:t>
      </w:r>
      <w:r>
        <w:rPr/>
        <w:t>à</w:t>
      </w:r>
      <w:r>
        <w:rPr>
          <w:spacing w:val="4"/>
        </w:rPr>
        <w:t> </w:t>
      </w:r>
      <w:r>
        <w:rPr/>
        <w:t>la</w:t>
      </w:r>
      <w:r>
        <w:rPr>
          <w:spacing w:val="4"/>
        </w:rPr>
        <w:t> </w:t>
      </w:r>
      <w:r>
        <w:rPr>
          <w:spacing w:val="-2"/>
        </w:rPr>
        <w:t>revente</w:t>
      </w:r>
      <w:r>
        <w:rPr>
          <w:spacing w:val="4"/>
        </w:rPr>
        <w:t> </w:t>
      </w:r>
      <w:r>
        <w:rPr/>
        <w:t>des</w:t>
      </w:r>
    </w:p>
    <w:p>
      <w:pPr>
        <w:pStyle w:val="BodyText"/>
        <w:spacing w:line="232" w:lineRule="auto" w:before="2"/>
        <w:ind w:right="8"/>
        <w:jc w:val="both"/>
      </w:pPr>
      <w:r>
        <w:rPr>
          <w:spacing w:val="-1"/>
        </w:rPr>
        <w:t>marchandises</w:t>
      </w:r>
      <w:r>
        <w:rPr>
          <w:spacing w:val="19"/>
        </w:rPr>
        <w:t> </w:t>
      </w:r>
      <w:r>
        <w:rPr>
          <w:spacing w:val="-1"/>
        </w:rPr>
        <w:t>reçues.</w:t>
      </w:r>
      <w:r>
        <w:rPr>
          <w:spacing w:val="8"/>
        </w:rPr>
        <w:t> </w:t>
      </w:r>
      <w:r>
        <w:rPr>
          <w:spacing w:val="-3"/>
        </w:rPr>
        <w:t>Le</w:t>
      </w:r>
      <w:r>
        <w:rPr>
          <w:spacing w:val="19"/>
        </w:rPr>
        <w:t> </w:t>
      </w:r>
      <w:r>
        <w:rPr>
          <w:spacing w:val="-1"/>
        </w:rPr>
        <w:t>développement</w:t>
      </w:r>
      <w:r>
        <w:rPr>
          <w:spacing w:val="25"/>
        </w:rPr>
        <w:t> </w:t>
      </w:r>
      <w:r>
        <w:rPr>
          <w:spacing w:val="-1"/>
        </w:rPr>
        <w:t>durable</w:t>
      </w:r>
      <w:r>
        <w:rPr>
          <w:spacing w:val="-10"/>
        </w:rPr>
        <w:t> </w:t>
      </w:r>
      <w:r>
        <w:rPr/>
        <w:t>est</w:t>
      </w:r>
      <w:r>
        <w:rPr>
          <w:spacing w:val="-10"/>
        </w:rPr>
        <w:t> </w:t>
      </w:r>
      <w:r>
        <w:rPr/>
        <w:t>une</w:t>
      </w:r>
      <w:r>
        <w:rPr>
          <w:spacing w:val="-10"/>
        </w:rPr>
        <w:t> </w:t>
      </w:r>
      <w:r>
        <w:rPr/>
        <w:t>priorité</w:t>
      </w:r>
      <w:r>
        <w:rPr>
          <w:spacing w:val="-10"/>
        </w:rPr>
        <w:t> </w:t>
      </w:r>
      <w:r>
        <w:rPr>
          <w:spacing w:val="-1"/>
        </w:rPr>
        <w:t>dans</w:t>
      </w:r>
      <w:r>
        <w:rPr>
          <w:spacing w:val="-10"/>
        </w:rPr>
        <w:t> </w:t>
      </w:r>
      <w:r>
        <w:rPr/>
        <w:t>le</w:t>
      </w:r>
      <w:r>
        <w:rPr>
          <w:spacing w:val="-10"/>
        </w:rPr>
        <w:t> </w:t>
      </w:r>
      <w:r>
        <w:rPr/>
        <w:t>domaine</w:t>
      </w:r>
      <w:r>
        <w:rPr>
          <w:spacing w:val="-10"/>
        </w:rPr>
        <w:t> </w:t>
      </w:r>
      <w:r>
        <w:rPr>
          <w:spacing w:val="-1"/>
        </w:rPr>
        <w:t>so-</w:t>
      </w:r>
      <w:r>
        <w:rPr>
          <w:spacing w:val="21"/>
        </w:rPr>
        <w:t> </w:t>
      </w:r>
      <w:r>
        <w:rPr/>
        <w:t>cial,</w:t>
      </w:r>
      <w:r>
        <w:rPr>
          <w:spacing w:val="2"/>
        </w:rPr>
        <w:t> </w:t>
      </w:r>
      <w:r>
        <w:rPr/>
        <w:t>mais</w:t>
      </w:r>
      <w:r>
        <w:rPr>
          <w:spacing w:val="13"/>
        </w:rPr>
        <w:t> </w:t>
      </w:r>
      <w:r>
        <w:rPr/>
        <w:t>pas</w:t>
      </w:r>
      <w:r>
        <w:rPr>
          <w:spacing w:val="13"/>
        </w:rPr>
        <w:t> </w:t>
      </w:r>
      <w:r>
        <w:rPr/>
        <w:t>seulement,</w:t>
      </w:r>
      <w:r>
        <w:rPr>
          <w:spacing w:val="2"/>
        </w:rPr>
        <w:t> </w:t>
      </w:r>
      <w:r>
        <w:rPr/>
        <w:t>car</w:t>
      </w:r>
      <w:r>
        <w:rPr>
          <w:spacing w:val="13"/>
        </w:rPr>
        <w:t> </w:t>
      </w:r>
      <w:r>
        <w:rPr/>
        <w:t>les</w:t>
      </w:r>
      <w:r>
        <w:rPr>
          <w:spacing w:val="13"/>
        </w:rPr>
        <w:t> </w:t>
      </w:r>
      <w:r>
        <w:rPr>
          <w:spacing w:val="-1"/>
        </w:rPr>
        <w:t>commun-</w:t>
      </w:r>
      <w:r>
        <w:rPr>
          <w:spacing w:val="26"/>
        </w:rPr>
        <w:t> </w:t>
      </w:r>
      <w:r>
        <w:rPr/>
        <w:t>autés</w:t>
      </w:r>
      <w:r>
        <w:rPr>
          <w:spacing w:val="14"/>
        </w:rPr>
        <w:t> </w:t>
      </w:r>
      <w:r>
        <w:rPr>
          <w:spacing w:val="-2"/>
        </w:rPr>
        <w:t>s’engagent</w:t>
      </w:r>
      <w:r>
        <w:rPr>
          <w:spacing w:val="14"/>
        </w:rPr>
        <w:t> </w:t>
      </w:r>
      <w:r>
        <w:rPr/>
        <w:t>aussi</w:t>
      </w:r>
      <w:r>
        <w:rPr>
          <w:spacing w:val="14"/>
        </w:rPr>
        <w:t> </w:t>
      </w:r>
      <w:r>
        <w:rPr/>
        <w:t>sur</w:t>
      </w:r>
      <w:r>
        <w:rPr>
          <w:spacing w:val="14"/>
        </w:rPr>
        <w:t> </w:t>
      </w:r>
      <w:r>
        <w:rPr/>
        <w:t>le</w:t>
      </w:r>
      <w:r>
        <w:rPr>
          <w:spacing w:val="14"/>
        </w:rPr>
        <w:t> </w:t>
      </w:r>
      <w:r>
        <w:rPr>
          <w:spacing w:val="-1"/>
        </w:rPr>
        <w:t>plan</w:t>
      </w:r>
      <w:r>
        <w:rPr>
          <w:spacing w:val="14"/>
        </w:rPr>
        <w:t> </w:t>
      </w:r>
      <w:r>
        <w:rPr>
          <w:spacing w:val="-1"/>
        </w:rPr>
        <w:t>énergé-</w:t>
      </w:r>
      <w:r>
        <w:rPr>
          <w:spacing w:val="27"/>
        </w:rPr>
        <w:t> </w:t>
      </w:r>
      <w:r>
        <w:rPr/>
        <w:t>tique,</w:t>
      </w:r>
      <w:r>
        <w:rPr>
          <w:spacing w:val="-16"/>
        </w:rPr>
        <w:t> </w:t>
      </w:r>
      <w:r>
        <w:rPr>
          <w:spacing w:val="-1"/>
        </w:rPr>
        <w:t>par</w:t>
      </w:r>
      <w:r>
        <w:rPr>
          <w:spacing w:val="-5"/>
        </w:rPr>
        <w:t> </w:t>
      </w:r>
      <w:r>
        <w:rPr>
          <w:spacing w:val="-1"/>
        </w:rPr>
        <w:t>exemple</w:t>
      </w:r>
      <w:r>
        <w:rPr>
          <w:spacing w:val="-5"/>
        </w:rPr>
        <w:t> </w:t>
      </w:r>
      <w:r>
        <w:rPr/>
        <w:t>en</w:t>
      </w:r>
      <w:r>
        <w:rPr>
          <w:spacing w:val="-5"/>
        </w:rPr>
        <w:t> </w:t>
      </w:r>
      <w:r>
        <w:rPr/>
        <w:t>ce</w:t>
      </w:r>
      <w:r>
        <w:rPr>
          <w:spacing w:val="-5"/>
        </w:rPr>
        <w:t> </w:t>
      </w:r>
      <w:r>
        <w:rPr/>
        <w:t>qui</w:t>
      </w:r>
      <w:r>
        <w:rPr>
          <w:spacing w:val="-5"/>
        </w:rPr>
        <w:t> </w:t>
      </w:r>
      <w:r>
        <w:rPr/>
        <w:t>concerne</w:t>
      </w:r>
      <w:r>
        <w:rPr>
          <w:spacing w:val="-5"/>
        </w:rPr>
        <w:t> </w:t>
      </w:r>
      <w:r>
        <w:rPr/>
        <w:t>leurs</w:t>
      </w:r>
      <w:r>
        <w:rPr>
          <w:spacing w:val="25"/>
        </w:rPr>
        <w:t> </w:t>
      </w:r>
      <w:r>
        <w:rPr>
          <w:spacing w:val="-1"/>
        </w:rPr>
        <w:t>propriétés.</w:t>
      </w:r>
    </w:p>
    <w:p>
      <w:pPr>
        <w:pStyle w:val="BodyText"/>
        <w:spacing w:line="232" w:lineRule="auto"/>
        <w:ind w:right="0" w:firstLine="226"/>
        <w:jc w:val="both"/>
      </w:pPr>
      <w:r>
        <w:rPr/>
        <w:t>La</w:t>
      </w:r>
      <w:r>
        <w:rPr>
          <w:spacing w:val="40"/>
        </w:rPr>
        <w:t> </w:t>
      </w:r>
      <w:r>
        <w:rPr>
          <w:spacing w:val="-1"/>
        </w:rPr>
        <w:t>communauté</w:t>
      </w:r>
      <w:r>
        <w:rPr>
          <w:spacing w:val="41"/>
        </w:rPr>
        <w:t> </w:t>
      </w:r>
      <w:r>
        <w:rPr/>
        <w:t>des</w:t>
      </w:r>
      <w:r>
        <w:rPr>
          <w:spacing w:val="40"/>
        </w:rPr>
        <w:t> </w:t>
      </w:r>
      <w:r>
        <w:rPr/>
        <w:t>Chiffonniers</w:t>
      </w:r>
      <w:r>
        <w:rPr>
          <w:spacing w:val="20"/>
        </w:rPr>
        <w:t> </w:t>
      </w:r>
      <w:r>
        <w:rPr>
          <w:spacing w:val="-1"/>
        </w:rPr>
        <w:t>d’Emmaüs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>
          <w:spacing w:val="-1"/>
        </w:rPr>
        <w:t>Genève</w:t>
      </w:r>
      <w:r>
        <w:rPr>
          <w:spacing w:val="-7"/>
        </w:rPr>
        <w:t> </w:t>
      </w:r>
      <w:r>
        <w:rPr/>
        <w:t>a</w:t>
      </w:r>
      <w:r>
        <w:rPr>
          <w:spacing w:val="-7"/>
        </w:rPr>
        <w:t> </w:t>
      </w:r>
      <w:r>
        <w:rPr/>
        <w:t>ainsi</w:t>
      </w:r>
      <w:r>
        <w:rPr>
          <w:spacing w:val="-7"/>
        </w:rPr>
        <w:t> </w:t>
      </w:r>
      <w:r>
        <w:rPr/>
        <w:t>mis</w:t>
      </w:r>
      <w:r>
        <w:rPr>
          <w:spacing w:val="-7"/>
        </w:rPr>
        <w:t> </w:t>
      </w:r>
      <w:r>
        <w:rPr/>
        <w:t>en</w:t>
      </w:r>
      <w:r>
        <w:rPr>
          <w:spacing w:val="-7"/>
        </w:rPr>
        <w:t> </w:t>
      </w:r>
      <w:r>
        <w:rPr/>
        <w:t>service</w:t>
      </w:r>
      <w:r>
        <w:rPr>
          <w:spacing w:val="24"/>
        </w:rPr>
        <w:t> </w:t>
      </w:r>
      <w:r>
        <w:rPr/>
        <w:t>une</w:t>
      </w:r>
      <w:r>
        <w:rPr>
          <w:spacing w:val="-9"/>
        </w:rPr>
        <w:t> </w:t>
      </w:r>
      <w:r>
        <w:rPr/>
        <w:t>installation</w:t>
      </w:r>
      <w:r>
        <w:rPr>
          <w:spacing w:val="-9"/>
        </w:rPr>
        <w:t> </w:t>
      </w:r>
      <w:r>
        <w:rPr/>
        <w:t>PV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178</w:t>
      </w:r>
      <w:r>
        <w:rPr>
          <w:spacing w:val="-9"/>
        </w:rPr>
        <w:t> </w:t>
      </w:r>
      <w:r>
        <w:rPr>
          <w:spacing w:val="-6"/>
        </w:rPr>
        <w:t>kW.</w:t>
      </w:r>
      <w:r>
        <w:rPr>
          <w:spacing w:val="-20"/>
        </w:rPr>
        <w:t> </w:t>
      </w:r>
      <w:r>
        <w:rPr/>
        <w:t>Orientée</w:t>
      </w:r>
      <w:r>
        <w:rPr>
          <w:spacing w:val="-9"/>
        </w:rPr>
        <w:t> </w:t>
      </w:r>
      <w:r>
        <w:rPr/>
        <w:t>est-</w:t>
      </w:r>
      <w:r>
        <w:rPr>
          <w:spacing w:val="23"/>
        </w:rPr>
        <w:t> </w:t>
      </w:r>
      <w:r>
        <w:rPr/>
        <w:t>ouest</w:t>
      </w:r>
      <w:r>
        <w:rPr>
          <w:spacing w:val="11"/>
        </w:rPr>
        <w:t> </w:t>
      </w:r>
      <w:r>
        <w:rPr/>
        <w:t>et</w:t>
      </w:r>
      <w:r>
        <w:rPr>
          <w:spacing w:val="11"/>
        </w:rPr>
        <w:t> </w:t>
      </w:r>
      <w:r>
        <w:rPr>
          <w:spacing w:val="-1"/>
        </w:rPr>
        <w:t>placée</w:t>
      </w:r>
      <w:r>
        <w:rPr>
          <w:spacing w:val="11"/>
        </w:rPr>
        <w:t> </w:t>
      </w:r>
      <w:r>
        <w:rPr/>
        <w:t>sur</w:t>
      </w:r>
      <w:r>
        <w:rPr>
          <w:spacing w:val="11"/>
        </w:rPr>
        <w:t> </w:t>
      </w:r>
      <w:r>
        <w:rPr/>
        <w:t>le</w:t>
      </w:r>
      <w:r>
        <w:rPr>
          <w:spacing w:val="11"/>
        </w:rPr>
        <w:t> </w:t>
      </w:r>
      <w:r>
        <w:rPr/>
        <w:t>toit</w:t>
      </w:r>
      <w:r>
        <w:rPr>
          <w:spacing w:val="11"/>
        </w:rPr>
        <w:t> </w:t>
      </w:r>
      <w:r>
        <w:rPr/>
        <w:t>plat</w:t>
      </w:r>
      <w:r>
        <w:rPr>
          <w:spacing w:val="11"/>
        </w:rPr>
        <w:t> </w:t>
      </w:r>
      <w:r>
        <w:rPr/>
        <w:t>du</w:t>
      </w:r>
      <w:r>
        <w:rPr>
          <w:spacing w:val="11"/>
        </w:rPr>
        <w:t> </w:t>
      </w:r>
      <w:r>
        <w:rPr/>
        <w:t>bâtiment</w:t>
      </w:r>
      <w:r>
        <w:rPr>
          <w:spacing w:val="26"/>
        </w:rPr>
        <w:t> </w:t>
      </w:r>
      <w:r>
        <w:rPr/>
        <w:t>en</w:t>
      </w:r>
      <w:r>
        <w:rPr>
          <w:spacing w:val="-20"/>
        </w:rPr>
        <w:t> </w:t>
      </w:r>
      <w:r>
        <w:rPr/>
        <w:t>ville</w:t>
      </w:r>
      <w:r>
        <w:rPr>
          <w:spacing w:val="-20"/>
        </w:rPr>
        <w:t> </w:t>
      </w:r>
      <w:r>
        <w:rPr/>
        <w:t>de</w:t>
      </w:r>
      <w:r>
        <w:rPr>
          <w:spacing w:val="-20"/>
        </w:rPr>
        <w:t> </w:t>
      </w:r>
      <w:r>
        <w:rPr>
          <w:spacing w:val="-1"/>
        </w:rPr>
        <w:t>Carouge,</w:t>
      </w:r>
      <w:r>
        <w:rPr>
          <w:spacing w:val="-31"/>
        </w:rPr>
        <w:t> </w:t>
      </w:r>
      <w:r>
        <w:rPr/>
        <w:t>celle-ci</w:t>
      </w:r>
      <w:r>
        <w:rPr>
          <w:spacing w:val="-20"/>
        </w:rPr>
        <w:t> </w:t>
      </w:r>
      <w:r>
        <w:rPr>
          <w:spacing w:val="-1"/>
        </w:rPr>
        <w:t>produit</w:t>
      </w:r>
      <w:r>
        <w:rPr>
          <w:spacing w:val="-20"/>
        </w:rPr>
        <w:t> </w:t>
      </w:r>
      <w:r>
        <w:rPr/>
        <w:t>161’700</w:t>
      </w:r>
      <w:r>
        <w:rPr>
          <w:spacing w:val="27"/>
        </w:rPr>
        <w:t> </w:t>
      </w:r>
      <w:r>
        <w:rPr>
          <w:spacing w:val="-2"/>
        </w:rPr>
        <w:t>kWh/a.</w:t>
      </w:r>
      <w:r>
        <w:rPr>
          <w:spacing w:val="39"/>
        </w:rPr>
        <w:t> </w:t>
      </w:r>
      <w:r>
        <w:rPr>
          <w:spacing w:val="-2"/>
        </w:rPr>
        <w:t>Les</w:t>
      </w:r>
      <w:r>
        <w:rPr>
          <w:spacing w:val="2"/>
        </w:rPr>
        <w:t> </w:t>
      </w:r>
      <w:r>
        <w:rPr>
          <w:spacing w:val="-2"/>
        </w:rPr>
        <w:t>fenêtres</w:t>
      </w:r>
      <w:r>
        <w:rPr>
          <w:spacing w:val="2"/>
        </w:rPr>
        <w:t> </w:t>
      </w:r>
      <w:r>
        <w:rPr/>
        <w:t>ont</w:t>
      </w:r>
      <w:r>
        <w:rPr>
          <w:spacing w:val="2"/>
        </w:rPr>
        <w:t> </w:t>
      </w:r>
      <w:r>
        <w:rPr/>
        <w:t>été</w:t>
      </w:r>
      <w:r>
        <w:rPr>
          <w:spacing w:val="2"/>
        </w:rPr>
        <w:t> </w:t>
      </w:r>
      <w:r>
        <w:rPr>
          <w:spacing w:val="-1"/>
        </w:rPr>
        <w:t>remplacées,</w:t>
      </w:r>
      <w:r>
        <w:rPr>
          <w:spacing w:val="29"/>
        </w:rPr>
        <w:t> </w:t>
      </w:r>
      <w:r>
        <w:rPr/>
        <w:t>mais</w:t>
      </w:r>
      <w:r>
        <w:rPr>
          <w:spacing w:val="-2"/>
        </w:rPr>
        <w:t> </w:t>
      </w:r>
      <w:r>
        <w:rPr/>
        <w:t>les</w:t>
      </w:r>
      <w:r>
        <w:rPr>
          <w:spacing w:val="-2"/>
        </w:rPr>
        <w:t> </w:t>
      </w:r>
      <w:r>
        <w:rPr>
          <w:spacing w:val="-1"/>
        </w:rPr>
        <w:t>façades</w:t>
      </w:r>
      <w:r>
        <w:rPr>
          <w:spacing w:val="-2"/>
        </w:rPr>
        <w:t> </w:t>
      </w:r>
      <w:r>
        <w:rPr>
          <w:spacing w:val="-3"/>
        </w:rPr>
        <w:t>n’ont</w:t>
      </w:r>
      <w:r>
        <w:rPr>
          <w:spacing w:val="-2"/>
        </w:rPr>
        <w:t> </w:t>
      </w:r>
      <w:r>
        <w:rPr/>
        <w:t>subi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peu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mo-</w:t>
      </w:r>
      <w:r>
        <w:rPr>
          <w:spacing w:val="29"/>
        </w:rPr>
        <w:t> </w:t>
      </w:r>
      <w:r>
        <w:rPr/>
        <w:t>difications.</w:t>
      </w:r>
    </w:p>
    <w:p>
      <w:pPr>
        <w:pStyle w:val="BodyText"/>
        <w:spacing w:line="232" w:lineRule="auto"/>
        <w:ind w:right="8" w:firstLine="226"/>
        <w:jc w:val="both"/>
      </w:pPr>
      <w:r>
        <w:rPr/>
        <w:t>La</w:t>
      </w:r>
      <w:r>
        <w:rPr>
          <w:spacing w:val="27"/>
        </w:rPr>
        <w:t> </w:t>
      </w:r>
      <w:r>
        <w:rPr>
          <w:spacing w:val="-1"/>
        </w:rPr>
        <w:t>consommation</w:t>
      </w:r>
      <w:r>
        <w:rPr>
          <w:spacing w:val="28"/>
        </w:rPr>
        <w:t> </w:t>
      </w:r>
      <w:r>
        <w:rPr>
          <w:spacing w:val="-3"/>
        </w:rPr>
        <w:t>s’élève</w:t>
      </w:r>
      <w:r>
        <w:rPr>
          <w:spacing w:val="27"/>
        </w:rPr>
        <w:t> </w:t>
      </w:r>
      <w:r>
        <w:rPr/>
        <w:t>à</w:t>
      </w:r>
      <w:r>
        <w:rPr>
          <w:spacing w:val="28"/>
        </w:rPr>
        <w:t> </w:t>
      </w:r>
      <w:r>
        <w:rPr/>
        <w:t>111’700</w:t>
      </w:r>
      <w:r>
        <w:rPr>
          <w:spacing w:val="29"/>
        </w:rPr>
        <w:t> </w:t>
      </w:r>
      <w:r>
        <w:rPr>
          <w:spacing w:val="-2"/>
        </w:rPr>
        <w:t>kWh/a.</w:t>
      </w:r>
      <w:r>
        <w:rPr>
          <w:spacing w:val="23"/>
        </w:rPr>
        <w:t> </w:t>
      </w:r>
      <w:r>
        <w:rPr/>
        <w:t>On</w:t>
      </w:r>
      <w:r>
        <w:rPr>
          <w:spacing w:val="35"/>
        </w:rPr>
        <w:t> </w:t>
      </w:r>
      <w:r>
        <w:rPr>
          <w:spacing w:val="-1"/>
        </w:rPr>
        <w:t>n’utilise</w:t>
      </w:r>
      <w:r>
        <w:rPr>
          <w:spacing w:val="34"/>
        </w:rPr>
        <w:t> </w:t>
      </w:r>
      <w:r>
        <w:rPr>
          <w:spacing w:val="-1"/>
        </w:rPr>
        <w:t>toutefois</w:t>
      </w:r>
      <w:r>
        <w:rPr>
          <w:spacing w:val="35"/>
        </w:rPr>
        <w:t> </w:t>
      </w:r>
      <w:r>
        <w:rPr>
          <w:spacing w:val="-2"/>
        </w:rPr>
        <w:t>presque</w:t>
      </w:r>
      <w:r>
        <w:rPr>
          <w:spacing w:val="35"/>
        </w:rPr>
        <w:t> </w:t>
      </w:r>
      <w:r>
        <w:rPr/>
        <w:t>pas</w:t>
      </w:r>
    </w:p>
    <w:p>
      <w:pPr>
        <w:pStyle w:val="BodyText"/>
        <w:spacing w:line="160" w:lineRule="exact"/>
        <w:ind w:left="175" w:right="0"/>
        <w:jc w:val="both"/>
      </w:pPr>
      <w:r>
        <w:rPr/>
        <w:br w:type="column"/>
      </w:r>
      <w:r>
        <w:rPr>
          <w:spacing w:val="-2"/>
        </w:rPr>
        <w:t>L’autoproduction</w:t>
      </w:r>
      <w:r>
        <w:rPr>
          <w:spacing w:val="8"/>
        </w:rPr>
        <w:t> </w:t>
      </w:r>
      <w:r>
        <w:rPr/>
        <w:t>est</w:t>
      </w:r>
      <w:r>
        <w:rPr>
          <w:spacing w:val="8"/>
        </w:rPr>
        <w:t> </w:t>
      </w:r>
      <w:r>
        <w:rPr/>
        <w:t>de</w:t>
      </w:r>
      <w:r>
        <w:rPr>
          <w:spacing w:val="8"/>
        </w:rPr>
        <w:t> </w:t>
      </w:r>
      <w:r>
        <w:rPr/>
        <w:t>145%.</w:t>
      </w:r>
      <w:r>
        <w:rPr>
          <w:spacing w:val="-3"/>
        </w:rPr>
        <w:t> </w:t>
      </w:r>
      <w:r>
        <w:rPr>
          <w:spacing w:val="1"/>
        </w:rPr>
        <w:t>Cette</w:t>
      </w:r>
      <w:r>
        <w:rPr>
          <w:spacing w:val="8"/>
        </w:rPr>
        <w:t> </w:t>
      </w:r>
      <w:r>
        <w:rPr>
          <w:spacing w:val="-2"/>
        </w:rPr>
        <w:t>réno-</w:t>
      </w:r>
    </w:p>
    <w:p>
      <w:pPr>
        <w:pStyle w:val="BodyText"/>
        <w:spacing w:line="232" w:lineRule="auto" w:before="2"/>
        <w:ind w:left="175" w:right="0"/>
        <w:jc w:val="both"/>
      </w:pPr>
      <w:r>
        <w:rPr/>
        <w:t>vation</w:t>
      </w:r>
      <w:r>
        <w:rPr>
          <w:spacing w:val="23"/>
        </w:rPr>
        <w:t> </w:t>
      </w:r>
      <w:r>
        <w:rPr/>
        <w:t>partielle</w:t>
      </w:r>
      <w:r>
        <w:rPr>
          <w:spacing w:val="23"/>
        </w:rPr>
        <w:t> </w:t>
      </w:r>
      <w:r>
        <w:rPr>
          <w:spacing w:val="-1"/>
        </w:rPr>
        <w:t>montre</w:t>
      </w:r>
      <w:r>
        <w:rPr>
          <w:spacing w:val="23"/>
        </w:rPr>
        <w:t> </w:t>
      </w:r>
      <w:r>
        <w:rPr/>
        <w:t>qu‘il</w:t>
      </w:r>
      <w:r>
        <w:rPr>
          <w:spacing w:val="23"/>
        </w:rPr>
        <w:t> </w:t>
      </w:r>
      <w:r>
        <w:rPr/>
        <w:t>est</w:t>
      </w:r>
      <w:r>
        <w:rPr>
          <w:spacing w:val="23"/>
        </w:rPr>
        <w:t> </w:t>
      </w:r>
      <w:r>
        <w:rPr>
          <w:spacing w:val="-1"/>
        </w:rPr>
        <w:t>désormais</w:t>
      </w:r>
      <w:r>
        <w:rPr>
          <w:spacing w:val="26"/>
        </w:rPr>
        <w:t> </w:t>
      </w:r>
      <w:r>
        <w:rPr/>
        <w:t>f</w:t>
      </w:r>
      <w:r>
        <w:rPr>
          <w:spacing w:val="-1"/>
        </w:rPr>
        <w:t>a</w:t>
      </w:r>
      <w:r>
        <w:rPr/>
        <w:t>c</w:t>
      </w:r>
      <w:r>
        <w:rPr>
          <w:spacing w:val="1"/>
        </w:rPr>
        <w:t>i</w:t>
      </w:r>
      <w:r>
        <w:rPr/>
        <w:t>le</w:t>
      </w:r>
      <w:r>
        <w:rPr>
          <w:spacing w:val="11"/>
        </w:rPr>
        <w:t> </w:t>
      </w:r>
      <w:r>
        <w:rPr/>
        <w:t>de</w:t>
      </w:r>
      <w:r>
        <w:rPr>
          <w:spacing w:val="11"/>
        </w:rPr>
        <w:t> </w:t>
      </w:r>
      <w:r>
        <w:rPr>
          <w:spacing w:val="-6"/>
        </w:rPr>
        <w:t>r</w:t>
      </w:r>
      <w:r>
        <w:rPr>
          <w:spacing w:val="1"/>
        </w:rPr>
        <w:t>é</w:t>
      </w:r>
      <w:r>
        <w:rPr/>
        <w:t>a</w:t>
      </w:r>
      <w:r>
        <w:rPr>
          <w:spacing w:val="1"/>
        </w:rPr>
        <w:t>l</w:t>
      </w:r>
      <w:r>
        <w:rPr/>
        <w:t>i</w:t>
      </w:r>
      <w:r>
        <w:rPr>
          <w:spacing w:val="-2"/>
        </w:rPr>
        <w:t>s</w:t>
      </w:r>
      <w:r>
        <w:rPr/>
        <w:t>er</w:t>
      </w:r>
      <w:r>
        <w:rPr>
          <w:spacing w:val="11"/>
        </w:rPr>
        <w:t> </w:t>
      </w:r>
      <w:r>
        <w:rPr/>
        <w:t>un</w:t>
      </w:r>
      <w:r>
        <w:rPr>
          <w:spacing w:val="11"/>
        </w:rPr>
        <w:t> </w:t>
      </w:r>
      <w:r>
        <w:rPr>
          <w:spacing w:val="1"/>
        </w:rPr>
        <w:t>B</w:t>
      </w:r>
      <w:r>
        <w:rPr>
          <w:spacing w:val="-4"/>
        </w:rPr>
        <w:t>E</w:t>
      </w:r>
      <w:r>
        <w:rPr>
          <w:spacing w:val="-29"/>
        </w:rPr>
        <w:t>P</w:t>
      </w:r>
      <w:r>
        <w:rPr/>
        <w:t>, </w:t>
      </w:r>
      <w:r>
        <w:rPr>
          <w:spacing w:val="-6"/>
        </w:rPr>
        <w:t>a</w:t>
      </w:r>
      <w:r>
        <w:rPr/>
        <w:t>vec</w:t>
      </w:r>
      <w:r>
        <w:rPr>
          <w:spacing w:val="11"/>
        </w:rPr>
        <w:t> </w:t>
      </w:r>
      <w:r>
        <w:rPr/>
        <w:t>de</w:t>
      </w:r>
      <w:r>
        <w:rPr>
          <w:spacing w:val="11"/>
        </w:rPr>
        <w:t> </w:t>
      </w:r>
      <w:r>
        <w:rPr/>
        <w:t>la</w:t>
      </w:r>
      <w:r>
        <w:rPr>
          <w:spacing w:val="11"/>
        </w:rPr>
        <w:t> </w:t>
      </w:r>
      <w:r>
        <w:rPr/>
        <w:t>bo</w:t>
      </w:r>
      <w:r>
        <w:rPr>
          <w:spacing w:val="-1"/>
        </w:rPr>
        <w:t>n</w:t>
      </w:r>
      <w:r>
        <w:rPr/>
        <w:t>ne</w:t>
      </w:r>
      <w:r>
        <w:rPr/>
        <w:t> volonté.</w:t>
      </w:r>
    </w:p>
    <w:p>
      <w:pPr>
        <w:pStyle w:val="BodyText"/>
        <w:spacing w:line="232" w:lineRule="auto"/>
        <w:ind w:left="175" w:right="0" w:firstLine="226"/>
        <w:jc w:val="both"/>
      </w:pPr>
      <w:r>
        <w:rPr>
          <w:spacing w:val="-3"/>
        </w:rPr>
        <w:t>L’engagement</w:t>
      </w:r>
      <w:r>
        <w:rPr>
          <w:spacing w:val="8"/>
        </w:rPr>
        <w:t> </w:t>
      </w:r>
      <w:r>
        <w:rPr>
          <w:spacing w:val="-1"/>
        </w:rPr>
        <w:t>social</w:t>
      </w:r>
      <w:r>
        <w:rPr>
          <w:spacing w:val="8"/>
        </w:rPr>
        <w:t> </w:t>
      </w:r>
      <w:r>
        <w:rPr/>
        <w:t>et</w:t>
      </w:r>
      <w:r>
        <w:rPr>
          <w:spacing w:val="8"/>
        </w:rPr>
        <w:t> </w:t>
      </w:r>
      <w:r>
        <w:rPr>
          <w:spacing w:val="-1"/>
        </w:rPr>
        <w:t>durable</w:t>
      </w:r>
      <w:r>
        <w:rPr>
          <w:spacing w:val="8"/>
        </w:rPr>
        <w:t> </w:t>
      </w:r>
      <w:r>
        <w:rPr/>
        <w:t>de</w:t>
      </w:r>
      <w:r>
        <w:rPr>
          <w:spacing w:val="8"/>
        </w:rPr>
        <w:t> </w:t>
      </w:r>
      <w:r>
        <w:rPr/>
        <w:t>la</w:t>
      </w:r>
      <w:r>
        <w:rPr>
          <w:spacing w:val="37"/>
        </w:rPr>
        <w:t> </w:t>
      </w:r>
      <w:r>
        <w:rPr>
          <w:spacing w:val="-1"/>
        </w:rPr>
        <w:t>communauté</w:t>
      </w:r>
      <w:r>
        <w:rPr>
          <w:spacing w:val="7"/>
        </w:rPr>
        <w:t> </w:t>
      </w:r>
      <w:r>
        <w:rPr>
          <w:spacing w:val="-1"/>
        </w:rPr>
        <w:t>d’Emmaüs</w:t>
      </w:r>
      <w:r>
        <w:rPr>
          <w:spacing w:val="7"/>
        </w:rPr>
        <w:t> </w:t>
      </w:r>
      <w:r>
        <w:rPr/>
        <w:t>de</w:t>
      </w:r>
      <w:r>
        <w:rPr>
          <w:spacing w:val="7"/>
        </w:rPr>
        <w:t> </w:t>
      </w:r>
      <w:r>
        <w:rPr>
          <w:spacing w:val="-1"/>
        </w:rPr>
        <w:t>Genève</w:t>
      </w:r>
      <w:r>
        <w:rPr>
          <w:spacing w:val="7"/>
        </w:rPr>
        <w:t> </w:t>
      </w:r>
      <w:r>
        <w:rPr/>
        <w:t>est</w:t>
      </w:r>
      <w:r>
        <w:rPr>
          <w:spacing w:val="7"/>
        </w:rPr>
        <w:t> </w:t>
      </w:r>
      <w:r>
        <w:rPr>
          <w:spacing w:val="-2"/>
        </w:rPr>
        <w:t>ex-</w:t>
      </w:r>
      <w:r>
        <w:rPr>
          <w:spacing w:val="39"/>
        </w:rPr>
        <w:t> </w:t>
      </w:r>
      <w:r>
        <w:rPr>
          <w:spacing w:val="-1"/>
        </w:rPr>
        <w:t>emplaire </w:t>
      </w:r>
      <w:r>
        <w:rPr/>
        <w:t>et</w:t>
      </w:r>
      <w:r>
        <w:rPr>
          <w:spacing w:val="-1"/>
        </w:rPr>
        <w:t> reçoit </w:t>
      </w:r>
      <w:r>
        <w:rPr/>
        <w:t>pour</w:t>
      </w:r>
      <w:r>
        <w:rPr>
          <w:spacing w:val="-1"/>
        </w:rPr>
        <w:t> </w:t>
      </w:r>
      <w:r>
        <w:rPr/>
        <w:t>cela</w:t>
      </w:r>
      <w:r>
        <w:rPr>
          <w:spacing w:val="-1"/>
        </w:rPr>
        <w:t> </w:t>
      </w:r>
      <w:r>
        <w:rPr/>
        <w:t>le</w:t>
      </w:r>
      <w:r>
        <w:rPr>
          <w:spacing w:val="-1"/>
        </w:rPr>
        <w:t> </w:t>
      </w:r>
      <w:r>
        <w:rPr/>
        <w:t>diplôme</w:t>
      </w:r>
      <w:r>
        <w:rPr>
          <w:spacing w:val="-1"/>
        </w:rPr>
        <w:t> BEP</w:t>
      </w:r>
      <w:r>
        <w:rPr>
          <w:spacing w:val="23"/>
        </w:rPr>
        <w:t> </w:t>
      </w:r>
      <w:r>
        <w:rPr/>
        <w:t>2016.</w:t>
      </w:r>
    </w:p>
    <w:p>
      <w:pPr>
        <w:tabs>
          <w:tab w:pos="1980" w:val="left" w:leader="none"/>
          <w:tab w:pos="2512" w:val="left" w:leader="none"/>
        </w:tabs>
        <w:spacing w:line="154" w:lineRule="exact" w:before="0"/>
        <w:ind w:left="178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br w:type="column"/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Electricité:</w:t>
        <w:tab/>
      </w:r>
      <w:r>
        <w:rPr>
          <w:rFonts w:ascii="Theinhardt Regular" w:hAnsi="Theinhardt Regular" w:cs="Theinhardt Regular" w:eastAsia="Theinhardt Regular"/>
          <w:spacing w:val="-3"/>
          <w:w w:val="95"/>
          <w:sz w:val="14"/>
          <w:szCs w:val="14"/>
        </w:rPr>
        <w:t>19.9</w:t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36   </w:t>
      </w:r>
      <w:r>
        <w:rPr>
          <w:rFonts w:ascii="Theinhardt Regular" w:hAnsi="Theinhardt Regular" w:cs="Theinhardt Regular" w:eastAsia="Theinhardt Regular"/>
          <w:spacing w:val="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39’743</w:t>
      </w:r>
    </w:p>
    <w:p>
      <w:pPr>
        <w:tabs>
          <w:tab w:pos="1963" w:val="left" w:leader="none"/>
        </w:tabs>
        <w:spacing w:line="172" w:lineRule="exact" w:before="0"/>
        <w:ind w:left="178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Total </w:t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besoins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énerg.:</w:t>
        <w:tab/>
        <w:t>55.9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  </w:t>
      </w:r>
      <w:r>
        <w:rPr>
          <w:rFonts w:ascii="Theinhardt Bold" w:hAnsi="Theinhardt Bold" w:cs="Theinhardt Bold" w:eastAsia="Theinhardt Bold"/>
          <w:b/>
          <w:bCs/>
          <w:spacing w:val="3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100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4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3"/>
          <w:sz w:val="14"/>
          <w:szCs w:val="14"/>
        </w:rPr>
        <w:t>111’743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72" w:lineRule="exact" w:before="32"/>
        <w:ind w:left="178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pacing w:val="1"/>
          <w:sz w:val="14"/>
        </w:rPr>
        <w:t>Alimentation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2"/>
          <w:sz w:val="14"/>
        </w:rPr>
        <w:t>énergetique</w:t>
      </w:r>
      <w:r>
        <w:rPr>
          <w:rFonts w:ascii="Theinhardt Bold" w:hAnsi="Theinhardt Bold"/>
          <w:sz w:val="14"/>
        </w:rPr>
      </w:r>
    </w:p>
    <w:p>
      <w:pPr>
        <w:tabs>
          <w:tab w:pos="1895" w:val="left" w:leader="none"/>
          <w:tab w:pos="2550" w:val="left" w:leader="none"/>
          <w:tab w:pos="2895" w:val="left" w:leader="none"/>
        </w:tabs>
        <w:spacing w:line="207" w:lineRule="auto" w:before="6"/>
        <w:ind w:left="178" w:right="333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Autoprod.:</w:t>
      </w:r>
      <w:r>
        <w:rPr>
          <w:rFonts w:ascii="Theinhardt Regular" w:hAnsi="Theinhardt Regular" w:cs="Theinhardt Regular" w:eastAsia="Theinhardt Regular"/>
          <w:sz w:val="14"/>
          <w:szCs w:val="14"/>
        </w:rPr>
        <w:t>  </w:t>
      </w:r>
      <w:r>
        <w:rPr>
          <w:rFonts w:ascii="Theinhardt Regular" w:hAnsi="Theinhardt Regular" w:cs="Theinhardt Regular" w:eastAsia="Theinhardt Regular"/>
          <w:spacing w:val="1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m</w:t>
      </w:r>
      <w:r>
        <w:rPr>
          <w:rFonts w:ascii="Theinhardt Regular" w:hAnsi="Theinhardt Regular" w:cs="Theinhardt Regular" w:eastAsia="Theinhardt Regular"/>
          <w:spacing w:val="-1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position w:val="5"/>
          <w:sz w:val="8"/>
          <w:szCs w:val="8"/>
        </w:rPr>
        <w:t>      </w:t>
      </w:r>
      <w:r>
        <w:rPr>
          <w:rFonts w:ascii="Theinhardt Regular" w:hAnsi="Theinhardt Regular" w:cs="Theinhardt Regular" w:eastAsia="Theinhardt Regular"/>
          <w:spacing w:val="10"/>
          <w:position w:val="5"/>
          <w:sz w:val="8"/>
          <w:szCs w:val="8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kWc  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kWh/m</w:t>
      </w:r>
      <w:r>
        <w:rPr>
          <w:rFonts w:ascii="Theinhardt Regular" w:hAnsi="Theinhardt Regular" w:cs="Theinhardt Regular" w:eastAsia="Theinhardt Regular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sz w:val="14"/>
          <w:szCs w:val="14"/>
        </w:rPr>
        <w:t>a</w:t>
        <w:tab/>
        <w:t>%</w:t>
        <w:tab/>
        <w:t>kWh/a</w:t>
      </w:r>
      <w:r>
        <w:rPr>
          <w:rFonts w:ascii="Theinhardt Regular" w:hAnsi="Theinhardt Regular" w:cs="Theinhardt Regular" w:eastAsia="Theinhardt Regular"/>
          <w:spacing w:val="3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PV-Toit: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36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3"/>
          <w:sz w:val="14"/>
          <w:szCs w:val="14"/>
        </w:rPr>
        <w:t>1‘041</w:t>
      </w:r>
      <w:r>
        <w:rPr>
          <w:rFonts w:ascii="Theinhardt Regular" w:hAnsi="Theinhardt Regular" w:cs="Theinhardt Regular" w:eastAsia="Theinhardt Regular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spacing w:val="31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4"/>
          <w:sz w:val="14"/>
          <w:szCs w:val="14"/>
        </w:rPr>
        <w:t>178</w:t>
        <w:tab/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155.3</w:t>
      </w:r>
      <w:r>
        <w:rPr>
          <w:rFonts w:ascii="Theinhardt Regular" w:hAnsi="Theinhardt Regular" w:cs="Theinhardt Regular" w:eastAsia="Theinhardt Regular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spacing w:val="26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145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161’668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2550" w:val="left" w:leader="none"/>
          <w:tab w:pos="2895" w:val="left" w:leader="none"/>
        </w:tabs>
        <w:spacing w:line="172" w:lineRule="exact" w:before="38"/>
        <w:ind w:left="178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spacing w:val="1"/>
          <w:sz w:val="14"/>
        </w:rPr>
        <w:t>Bilan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énergetique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(énergie</w:t>
      </w:r>
      <w:r>
        <w:rPr>
          <w:rFonts w:ascii="Theinhardt Regular" w:hAnsi="Theinhardt Regular"/>
          <w:sz w:val="14"/>
        </w:rPr>
        <w:t> finale)</w:t>
        <w:tab/>
        <w:t>%</w:t>
        <w:tab/>
        <w:t>kWh/a</w:t>
      </w:r>
    </w:p>
    <w:p>
      <w:pPr>
        <w:tabs>
          <w:tab w:pos="2432" w:val="left" w:leader="none"/>
        </w:tabs>
        <w:spacing w:line="160" w:lineRule="exact" w:before="0"/>
        <w:ind w:left="178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2"/>
          <w:sz w:val="14"/>
          <w:szCs w:val="14"/>
        </w:rPr>
        <w:t>Almentation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énergetique:</w:t>
        <w:tab/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145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12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161’668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2430" w:val="left" w:leader="none"/>
        </w:tabs>
        <w:spacing w:line="160" w:lineRule="exact" w:before="0"/>
        <w:ind w:left="178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z w:val="14"/>
          <w:szCs w:val="14"/>
        </w:rPr>
        <w:t>Total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besoins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en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énergie:</w:t>
        <w:tab/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100</w:t>
      </w:r>
      <w:r>
        <w:rPr>
          <w:rFonts w:ascii="Theinhardt Regular" w:hAnsi="Theinhardt Regular" w:cs="Theinhardt Regular" w:eastAsia="Theinhardt Regular"/>
          <w:sz w:val="14"/>
          <w:szCs w:val="14"/>
        </w:rPr>
        <w:t>  </w:t>
      </w:r>
      <w:r>
        <w:rPr>
          <w:rFonts w:ascii="Theinhardt Regular" w:hAnsi="Theinhardt Regular" w:cs="Theinhardt Regular" w:eastAsia="Theinhardt Regular"/>
          <w:spacing w:val="9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6"/>
          <w:sz w:val="14"/>
          <w:szCs w:val="14"/>
        </w:rPr>
        <w:t>111’743</w:t>
      </w:r>
    </w:p>
    <w:p>
      <w:pPr>
        <w:tabs>
          <w:tab w:pos="2510" w:val="left" w:leader="none"/>
        </w:tabs>
        <w:spacing w:line="172" w:lineRule="exact" w:before="0"/>
        <w:ind w:left="178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Surplus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d’électricité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solaire:</w:t>
        <w:tab/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45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  </w:t>
      </w:r>
      <w:r>
        <w:rPr>
          <w:rFonts w:ascii="Theinhardt Bold" w:hAnsi="Theinhardt Bold" w:cs="Theinhardt Bold" w:eastAsia="Theinhardt Bold"/>
          <w:b/>
          <w:bCs/>
          <w:spacing w:val="12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49’925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72" w:lineRule="exact" w:before="32"/>
        <w:ind w:left="178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spacing w:val="1"/>
          <w:sz w:val="14"/>
        </w:rPr>
        <w:t>Confirmé</w:t>
      </w:r>
      <w:r>
        <w:rPr>
          <w:rFonts w:ascii="Theinhardt Bold" w:hAnsi="Theinhardt Bold"/>
          <w:b/>
          <w:spacing w:val="-1"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par</w:t>
      </w:r>
      <w:r>
        <w:rPr>
          <w:rFonts w:ascii="Theinhardt Bold" w:hAnsi="Theinhardt Bold"/>
          <w:b/>
          <w:spacing w:val="-1"/>
          <w:sz w:val="14"/>
        </w:rPr>
        <w:t> </w:t>
      </w:r>
      <w:r>
        <w:rPr>
          <w:rFonts w:ascii="Theinhardt Bold" w:hAnsi="Theinhardt Bold"/>
          <w:b/>
          <w:spacing w:val="2"/>
          <w:sz w:val="14"/>
        </w:rPr>
        <w:t>SIG</w:t>
      </w:r>
      <w:r>
        <w:rPr>
          <w:rFonts w:ascii="Theinhardt Bold" w:hAnsi="Theinhardt Bold"/>
          <w:b/>
          <w:spacing w:val="-1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le</w:t>
      </w:r>
      <w:r>
        <w:rPr>
          <w:rFonts w:ascii="Theinhardt Regular" w:hAnsi="Theinhardt Regular"/>
          <w:spacing w:val="-1"/>
          <w:sz w:val="14"/>
        </w:rPr>
        <w:t> </w:t>
      </w:r>
      <w:r>
        <w:rPr>
          <w:rFonts w:ascii="Theinhardt Regular" w:hAnsi="Theinhardt Regular"/>
          <w:spacing w:val="-3"/>
          <w:sz w:val="14"/>
        </w:rPr>
        <w:t>17.08.2016</w:t>
      </w:r>
    </w:p>
    <w:p>
      <w:pPr>
        <w:spacing w:line="172" w:lineRule="exact" w:before="0"/>
        <w:ind w:left="178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2"/>
          <w:sz w:val="14"/>
        </w:rPr>
        <w:t>Ana-Isabel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Barros,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022 </w:t>
      </w:r>
      <w:r>
        <w:rPr>
          <w:rFonts w:ascii="Theinhardt Regular"/>
          <w:spacing w:val="-1"/>
          <w:sz w:val="14"/>
        </w:rPr>
        <w:t>420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75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4"/>
          <w:sz w:val="14"/>
        </w:rPr>
        <w:t>19</w:t>
      </w:r>
    </w:p>
    <w:p>
      <w:pPr>
        <w:spacing w:line="240" w:lineRule="auto" w:before="3"/>
        <w:rPr>
          <w:rFonts w:ascii="Theinhardt Regular" w:hAnsi="Theinhardt Regular" w:cs="Theinhardt Regular" w:eastAsia="Theinhardt Regular"/>
          <w:sz w:val="10"/>
          <w:szCs w:val="10"/>
        </w:rPr>
      </w:pPr>
    </w:p>
    <w:p>
      <w:pPr>
        <w:spacing w:before="0"/>
        <w:ind w:left="178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 w:hAnsi="Theinhardt Black"/>
          <w:b/>
          <w:spacing w:val="2"/>
          <w:sz w:val="14"/>
        </w:rPr>
        <w:t>Personnes</w:t>
      </w:r>
      <w:r>
        <w:rPr>
          <w:rFonts w:ascii="Theinhardt Black" w:hAnsi="Theinhardt Black"/>
          <w:b/>
          <w:sz w:val="14"/>
        </w:rPr>
        <w:t> </w:t>
      </w:r>
      <w:r>
        <w:rPr>
          <w:rFonts w:ascii="Theinhardt Black" w:hAnsi="Theinhardt Black"/>
          <w:b/>
          <w:spacing w:val="1"/>
          <w:sz w:val="14"/>
        </w:rPr>
        <w:t>impliquées</w:t>
      </w:r>
      <w:r>
        <w:rPr>
          <w:rFonts w:ascii="Theinhardt Black" w:hAnsi="Theinhardt Black"/>
          <w:sz w:val="14"/>
        </w:rPr>
      </w:r>
    </w:p>
    <w:p>
      <w:pPr>
        <w:spacing w:line="240" w:lineRule="auto" w:before="9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78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78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Adresse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du </w:t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bâtiment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et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2"/>
          <w:sz w:val="14"/>
          <w:szCs w:val="14"/>
        </w:rPr>
        <w:t>maître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d’ouvrage: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60" w:lineRule="exact" w:before="0"/>
        <w:ind w:left="178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Communauté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des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Chiffoniers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d’Emmaüs</w:t>
      </w:r>
    </w:p>
    <w:p>
      <w:pPr>
        <w:spacing w:line="207" w:lineRule="auto" w:before="6"/>
        <w:ind w:left="178" w:right="284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pict>
          <v:group style="position:absolute;margin-left:385.511902pt;margin-top:18.418852pt;width:167.25pt;height:.45pt;mso-position-horizontal-relative:page;mso-position-vertical-relative:paragraph;z-index:1096" coordorigin="7710,368" coordsize="3345,9">
            <v:group style="position:absolute;left:7732;top:373;width:3311;height:2" coordorigin="7732,373" coordsize="3311,2">
              <v:shape style="position:absolute;left:7732;top:373;width:3311;height:2" coordorigin="7732,373" coordsize="3311,0" path="m7732,373l11042,373e" filled="false" stroked="true" strokeweight=".425pt" strokecolor="#000000">
                <v:path arrowok="t"/>
                <v:stroke dashstyle="dash"/>
              </v:shape>
            </v:group>
            <v:group style="position:absolute;left:7714;top:373;width:2;height:2" coordorigin="7714,373" coordsize="2,2">
              <v:shape style="position:absolute;left:7714;top:373;width:2;height:2" coordorigin="7714,373" coordsize="0,0" path="m7714,373l7714,373e" filled="false" stroked="true" strokeweight=".425pt" strokecolor="#000000">
                <v:path arrowok="t"/>
              </v:shape>
            </v:group>
            <v:group style="position:absolute;left:11051;top:373;width:2;height:2" coordorigin="11051,373" coordsize="2,2">
              <v:shape style="position:absolute;left:11051;top:373;width:2;height:2" coordorigin="11051,373" coordsize="0,0" path="m11051,373l11051,373e" filled="false" stroked="true" strokeweight=".425pt" strokecolor="#000000">
                <v:path arrowok="t"/>
              </v:shape>
            </v:group>
            <w10:wrap type="none"/>
          </v:group>
        </w:pict>
      </w:r>
      <w:r>
        <w:rPr>
          <w:rFonts w:ascii="Theinhardt Regular"/>
          <w:spacing w:val="1"/>
          <w:sz w:val="14"/>
        </w:rPr>
        <w:t>Eric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Bachmann,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Route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de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Drize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5,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3"/>
          <w:sz w:val="14"/>
        </w:rPr>
        <w:t>1227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Carouge</w:t>
      </w:r>
      <w:r>
        <w:rPr>
          <w:rFonts w:ascii="Theinhardt Regular"/>
          <w:spacing w:val="44"/>
          <w:sz w:val="14"/>
        </w:rPr>
        <w:t> </w:t>
      </w: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079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629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73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4"/>
          <w:sz w:val="14"/>
        </w:rPr>
        <w:t>31</w:t>
      </w:r>
      <w:hyperlink r:id="rId6">
        <w:r>
          <w:rPr>
            <w:rFonts w:ascii="Theinhardt Regular"/>
            <w:spacing w:val="-4"/>
            <w:sz w:val="14"/>
          </w:rPr>
          <w:t>,</w:t>
        </w:r>
        <w:r>
          <w:rPr>
            <w:rFonts w:ascii="Theinhardt Regular"/>
            <w:sz w:val="14"/>
          </w:rPr>
          <w:t> </w:t>
        </w:r>
        <w:r>
          <w:rPr>
            <w:rFonts w:ascii="Theinhardt Regular"/>
            <w:spacing w:val="1"/>
            <w:sz w:val="14"/>
          </w:rPr>
          <w:t>eric.bachmann@genevavelo.ch</w:t>
        </w:r>
      </w:hyperlink>
    </w:p>
    <w:p>
      <w:pPr>
        <w:spacing w:after="0" w:line="207" w:lineRule="auto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1910" w:h="16840"/>
          <w:pgMar w:top="860" w:bottom="280" w:left="340" w:right="740"/>
          <w:cols w:num="3" w:equalWidth="0">
            <w:col w:w="3597" w:space="40"/>
            <w:col w:w="3515" w:space="40"/>
            <w:col w:w="3638"/>
          </w:cols>
        </w:sect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8"/>
        <w:rPr>
          <w:rFonts w:ascii="Theinhardt Regular" w:hAnsi="Theinhardt Regular" w:cs="Theinhardt Regular" w:eastAsia="Theinhardt Regular"/>
          <w:sz w:val="13"/>
          <w:szCs w:val="13"/>
        </w:rPr>
      </w:pPr>
    </w:p>
    <w:p>
      <w:pPr>
        <w:tabs>
          <w:tab w:pos="7370" w:val="left" w:leader="none"/>
        </w:tabs>
        <w:spacing w:line="200" w:lineRule="atLeast"/>
        <w:ind w:left="226" w:right="0" w:firstLine="0"/>
        <w:rPr>
          <w:rFonts w:ascii="Theinhardt Regular" w:hAnsi="Theinhardt Regular" w:cs="Theinhardt Regular" w:eastAsia="Theinhardt Regular"/>
          <w:sz w:val="20"/>
          <w:szCs w:val="20"/>
        </w:rPr>
      </w:pPr>
      <w:r>
        <w:rPr>
          <w:rFonts w:ascii="Theinhardt Regular"/>
          <w:sz w:val="20"/>
        </w:rPr>
        <w:drawing>
          <wp:inline distT="0" distB="0" distL="0" distR="0">
            <wp:extent cx="4422041" cy="2825496"/>
            <wp:effectExtent l="0" t="0" r="0" b="0"/>
            <wp:docPr id="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22041" cy="2825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Regular"/>
          <w:sz w:val="20"/>
        </w:rPr>
      </w:r>
      <w:r>
        <w:rPr>
          <w:rFonts w:ascii="Theinhardt Regular"/>
          <w:sz w:val="20"/>
        </w:rPr>
        <w:tab/>
      </w:r>
      <w:r>
        <w:rPr>
          <w:rFonts w:ascii="Theinhardt Regular"/>
          <w:position w:val="1"/>
          <w:sz w:val="20"/>
        </w:rPr>
        <w:drawing>
          <wp:inline distT="0" distB="0" distL="0" distR="0">
            <wp:extent cx="2126705" cy="1312068"/>
            <wp:effectExtent l="0" t="0" r="0" b="0"/>
            <wp:docPr id="3" name="image3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6705" cy="1312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Regular"/>
          <w:position w:val="1"/>
          <w:sz w:val="20"/>
        </w:rPr>
      </w:r>
    </w:p>
    <w:p>
      <w:pPr>
        <w:tabs>
          <w:tab w:pos="7384" w:val="left" w:leader="none"/>
        </w:tabs>
        <w:spacing w:before="0"/>
        <w:ind w:left="255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z w:val="14"/>
        </w:rPr>
        <w:t>1</w:t>
        <w:tab/>
        <w:t>2</w:t>
      </w:r>
      <w:r>
        <w:rPr>
          <w:rFonts w:ascii="Theinhardt Bold"/>
          <w:sz w:val="14"/>
        </w:rPr>
      </w:r>
    </w:p>
    <w:p>
      <w:pPr>
        <w:spacing w:line="240" w:lineRule="auto" w:before="13"/>
        <w:rPr>
          <w:rFonts w:ascii="Theinhardt Bold" w:hAnsi="Theinhardt Bold" w:cs="Theinhardt Bold" w:eastAsia="Theinhardt Bold"/>
          <w:b/>
          <w:bCs/>
          <w:sz w:val="10"/>
          <w:szCs w:val="10"/>
        </w:rPr>
      </w:pPr>
    </w:p>
    <w:p>
      <w:pPr>
        <w:spacing w:after="0" w:line="240" w:lineRule="auto"/>
        <w:rPr>
          <w:rFonts w:ascii="Theinhardt Bold" w:hAnsi="Theinhardt Bold" w:cs="Theinhardt Bold" w:eastAsia="Theinhardt Bold"/>
          <w:sz w:val="10"/>
          <w:szCs w:val="10"/>
        </w:rPr>
        <w:sectPr>
          <w:type w:val="continuous"/>
          <w:pgSz w:w="11910" w:h="16840"/>
          <w:pgMar w:top="860" w:bottom="280" w:left="340" w:right="740"/>
        </w:sectPr>
      </w:pPr>
    </w:p>
    <w:p>
      <w:pPr>
        <w:numPr>
          <w:ilvl w:val="0"/>
          <w:numId w:val="1"/>
        </w:numPr>
        <w:tabs>
          <w:tab w:pos="454" w:val="left" w:leader="none"/>
        </w:tabs>
        <w:spacing w:line="160" w:lineRule="exact" w:before="83"/>
        <w:ind w:left="453" w:right="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La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communauté d’Emmaüs au cœur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de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Carouge</w:t>
      </w:r>
      <w:r>
        <w:rPr>
          <w:rFonts w:ascii="Theinhardt Bold" w:hAnsi="Theinhardt Bold" w:cs="Theinhardt Bold" w:eastAsia="Theinhardt Bold"/>
          <w:b/>
          <w:bCs/>
          <w:spacing w:val="27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(GE) et son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installation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PV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de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178 </w:t>
      </w:r>
      <w:r>
        <w:rPr>
          <w:rFonts w:ascii="Theinhardt Bold" w:hAnsi="Theinhardt Bold" w:cs="Theinhardt Bold" w:eastAsia="Theinhardt Bold"/>
          <w:b/>
          <w:bCs/>
          <w:spacing w:val="-3"/>
          <w:sz w:val="14"/>
          <w:szCs w:val="14"/>
        </w:rPr>
        <w:t>kW,</w:t>
      </w:r>
      <w:r>
        <w:rPr>
          <w:rFonts w:ascii="Theinhardt Bold" w:hAnsi="Theinhardt Bold" w:cs="Theinhardt Bold" w:eastAsia="Theinhardt Bold"/>
          <w:b/>
          <w:bCs/>
          <w:spacing w:val="-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orientée</w:t>
      </w:r>
      <w:r>
        <w:rPr>
          <w:rFonts w:ascii="Theinhardt Bold" w:hAnsi="Theinhardt Bold" w:cs="Theinhardt Bold" w:eastAsia="Theinhardt Bold"/>
          <w:b/>
          <w:bCs/>
          <w:spacing w:val="25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est-ouest et produisant 161’700 </w:t>
      </w:r>
      <w:r>
        <w:rPr>
          <w:rFonts w:ascii="Theinhardt Bold" w:hAnsi="Theinhardt Bold" w:cs="Theinhardt Bold" w:eastAsia="Theinhardt Bold"/>
          <w:b/>
          <w:bCs/>
          <w:spacing w:val="-2"/>
          <w:sz w:val="14"/>
          <w:szCs w:val="14"/>
        </w:rPr>
        <w:t>kWh/a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de</w:t>
      </w:r>
      <w:r>
        <w:rPr>
          <w:rFonts w:ascii="Theinhardt Bold" w:hAnsi="Theinhardt Bold" w:cs="Theinhardt Bold" w:eastAsia="Theinhardt Bold"/>
          <w:b/>
          <w:bCs/>
          <w:spacing w:val="25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courant solaire.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numPr>
          <w:ilvl w:val="0"/>
          <w:numId w:val="1"/>
        </w:numPr>
        <w:tabs>
          <w:tab w:pos="454" w:val="left" w:leader="none"/>
        </w:tabs>
        <w:spacing w:line="207" w:lineRule="auto" w:before="86"/>
        <w:ind w:left="453" w:right="3692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br w:type="column"/>
      </w:r>
      <w:r>
        <w:rPr>
          <w:rFonts w:ascii="Theinhardt Bold" w:hAnsi="Theinhardt Bold" w:cs="Theinhardt Bold" w:eastAsia="Theinhardt Bold"/>
          <w:b/>
          <w:bCs/>
          <w:spacing w:val="-2"/>
          <w:sz w:val="14"/>
          <w:szCs w:val="14"/>
        </w:rPr>
        <w:t>L’installation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PV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permet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de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réduire les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émissions</w:t>
      </w:r>
      <w:r>
        <w:rPr>
          <w:rFonts w:ascii="Theinhardt Bold" w:hAnsi="Theinhardt Bold" w:cs="Theinhardt Bold" w:eastAsia="Theinhardt Bold"/>
          <w:b/>
          <w:bCs/>
          <w:spacing w:val="27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de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CO</w:t>
      </w:r>
      <w:r>
        <w:rPr>
          <w:rFonts w:ascii="Theinhardt Bold" w:hAnsi="Theinhardt Bold" w:cs="Theinhardt Bold" w:eastAsia="Theinhardt Bold"/>
          <w:b/>
          <w:bCs/>
          <w:spacing w:val="-1"/>
          <w:position w:val="-4"/>
          <w:sz w:val="8"/>
          <w:szCs w:val="8"/>
        </w:rPr>
        <w:t>2</w:t>
      </w:r>
      <w:r>
        <w:rPr>
          <w:rFonts w:ascii="Theinhardt Bold" w:hAnsi="Theinhardt Bold" w:cs="Theinhardt Bold" w:eastAsia="Theinhardt Bold"/>
          <w:b/>
          <w:bCs/>
          <w:spacing w:val="15"/>
          <w:position w:val="-4"/>
          <w:sz w:val="8"/>
          <w:szCs w:val="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d’environ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12.2 t par année.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after="0" w:line="207" w:lineRule="auto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1910" w:h="16840"/>
          <w:pgMar w:top="860" w:bottom="280" w:left="340" w:right="740"/>
          <w:cols w:num="2" w:equalWidth="0">
            <w:col w:w="3517" w:space="48"/>
            <w:col w:w="7265"/>
          </w:cols>
        </w:sectPr>
      </w:pPr>
    </w:p>
    <w:p>
      <w:pPr>
        <w:spacing w:line="240" w:lineRule="auto" w:before="12"/>
        <w:rPr>
          <w:rFonts w:ascii="Theinhardt Bold" w:hAnsi="Theinhardt Bold" w:cs="Theinhardt Bold" w:eastAsia="Theinhardt Bold"/>
          <w:b/>
          <w:bCs/>
          <w:sz w:val="22"/>
          <w:szCs w:val="22"/>
        </w:rPr>
      </w:pPr>
    </w:p>
    <w:p>
      <w:pPr>
        <w:spacing w:before="70"/>
        <w:ind w:left="22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Heavy"/>
          <w:b/>
          <w:sz w:val="14"/>
        </w:rPr>
        <w:t>62    </w:t>
      </w:r>
      <w:r>
        <w:rPr>
          <w:rFonts w:ascii="Theinhardt Heavy"/>
          <w:b/>
          <w:spacing w:val="7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pacing w:val="-1"/>
          <w:sz w:val="14"/>
        </w:rPr>
        <w:t>Schweizer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Solarpreis</w:t>
      </w:r>
      <w:r>
        <w:rPr>
          <w:rFonts w:ascii="Theinhardt Regular"/>
          <w:sz w:val="14"/>
        </w:rPr>
        <w:t> 2016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pacing w:val="-1"/>
          <w:sz w:val="14"/>
        </w:rPr>
        <w:t>Prix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Solaire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Suisse</w:t>
      </w:r>
      <w:r>
        <w:rPr>
          <w:rFonts w:ascii="Theinhardt Regular"/>
          <w:sz w:val="14"/>
        </w:rPr>
        <w:t> 2016</w:t>
      </w:r>
    </w:p>
    <w:sectPr>
      <w:type w:val="continuous"/>
      <w:pgSz w:w="11910" w:h="16840"/>
      <w:pgMar w:top="860" w:bottom="280" w:left="34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453" w:hanging="227"/>
        <w:jc w:val="left"/>
      </w:pPr>
      <w:rPr>
        <w:rFonts w:hint="default" w:ascii="Theinhardt Bold" w:hAnsi="Theinhardt Bold" w:eastAsia="Theinhardt Bold"/>
        <w:b/>
        <w:bCs/>
        <w:sz w:val="14"/>
        <w:szCs w:val="14"/>
      </w:rPr>
    </w:lvl>
    <w:lvl w:ilvl="1">
      <w:start w:val="1"/>
      <w:numFmt w:val="bullet"/>
      <w:lvlText w:val="•"/>
      <w:lvlJc w:val="left"/>
      <w:pPr>
        <w:ind w:left="760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066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372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678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985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291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597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904" w:hanging="22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247"/>
    </w:pPr>
    <w:rPr>
      <w:rFonts w:ascii="Theinhardt Regular" w:hAnsi="Theinhardt Regular" w:eastAsia="Theinhardt Regular"/>
      <w:sz w:val="18"/>
      <w:szCs w:val="18"/>
    </w:rPr>
  </w:style>
  <w:style w:styleId="Heading1" w:type="paragraph">
    <w:name w:val="Heading 1"/>
    <w:basedOn w:val="Normal"/>
    <w:uiPriority w:val="1"/>
    <w:qFormat/>
    <w:pPr>
      <w:spacing w:before="32"/>
      <w:ind w:left="104"/>
      <w:outlineLvl w:val="1"/>
    </w:pPr>
    <w:rPr>
      <w:rFonts w:ascii="Theinhardt Bold" w:hAnsi="Theinhardt Bold" w:eastAsia="Theinhardt Bold"/>
      <w:b/>
      <w:bCs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eric.bachmann@genevavelo.ch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2016-09-21T15:58:22Z</dcterms:created>
  <dcterms:modified xsi:type="dcterms:W3CDTF">2016-09-21T15:58:22Z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2016-09-21T00:00:00Z</vt:filetime>
  </property>
  <property fmtid="{D5CDD505-2E9C-101B-9397-08002B2CF9AE}" pid="3" name="LastSaved">
    <vt:filetime>2016-09-21T00:00:00Z</vt:filetime>
  </property>
</Properties>
</file>