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Heading1"/>
        <w:tabs>
          <w:tab w:pos="2546" w:val="left" w:leader="none"/>
        </w:tabs>
        <w:spacing w:line="230" w:lineRule="exact" w:before="36"/>
        <w:ind w:right="0"/>
        <w:jc w:val="left"/>
        <w:rPr>
          <w:rFonts w:ascii="Theinhardt Black" w:hAnsi="Theinhardt Black" w:cs="Theinhardt Black" w:eastAsia="Theinhardt Black"/>
          <w:b w:val="0"/>
          <w:bCs w:val="0"/>
        </w:rPr>
      </w:pPr>
      <w:r>
        <w:rPr/>
        <w:pict>
          <v:group style="position:absolute;margin-left:28.559pt;margin-top:14.047179pt;width:.1pt;height:.1pt;mso-position-horizontal-relative:page;mso-position-vertical-relative:paragraph;z-index:-5176" coordorigin="571,281" coordsize="2,2">
            <v:shape style="position:absolute;left:571;top:281;width:2;height:2" coordorigin="571,281" coordsize="0,0" path="m571,281l571,281e" filled="false" stroked="true" strokeweight=".425pt" strokecolor="#000000">
              <v:path arrowok="t"/>
            </v:shape>
            <w10:wrap type="none"/>
          </v:group>
        </w:pict>
      </w:r>
      <w:r>
        <w:rPr/>
        <w:pict>
          <v:group style="position:absolute;margin-left:150.731995pt;margin-top:14.047179pt;width:.1pt;height:.1pt;mso-position-horizontal-relative:page;mso-position-vertical-relative:paragraph;z-index:1192" coordorigin="3015,281" coordsize="2,2">
            <v:shape style="position:absolute;left:3015;top:281;width:2;height:2" coordorigin="3015,281" coordsize="0,0" path="m3015,281l3015,281e" filled="false" stroked="true" strokeweight=".425pt" strokecolor="#000000">
              <v:path arrowok="t"/>
            </v:shape>
            <w10:wrap type="none"/>
          </v:group>
        </w:pict>
      </w:r>
      <w:r>
        <w:rPr>
          <w:rFonts w:ascii="Theinhardt Black"/>
          <w:b/>
        </w:rPr>
      </w:r>
      <w:r>
        <w:rPr>
          <w:rFonts w:ascii="Theinhardt Black"/>
          <w:b/>
          <w:spacing w:val="1"/>
          <w:u w:val="dotted" w:color="000000"/>
        </w:rPr>
        <w:t>Kategorie</w:t>
      </w:r>
      <w:r>
        <w:rPr>
          <w:rFonts w:ascii="Theinhardt Black"/>
          <w:b/>
          <w:spacing w:val="-1"/>
          <w:u w:val="dotted" w:color="000000"/>
        </w:rPr>
        <w:t> </w:t>
      </w:r>
      <w:r>
        <w:rPr>
          <w:rFonts w:ascii="Theinhardt Black"/>
          <w:b/>
          <w:u w:val="dotted" w:color="000000"/>
        </w:rPr>
        <w:t>B</w:t>
      </w:r>
      <w:r>
        <w:rPr>
          <w:rFonts w:ascii="Theinhardt Black"/>
          <w:b/>
          <w:u w:val="dotted" w:color="000000"/>
        </w:rPr>
        <w:t> </w:t>
        <w:tab/>
      </w:r>
      <w:r>
        <w:rPr>
          <w:rFonts w:ascii="Theinhardt Black"/>
          <w:b/>
        </w:rPr>
      </w:r>
      <w:r>
        <w:rPr>
          <w:rFonts w:ascii="Theinhardt Black"/>
          <w:b/>
          <w:spacing w:val="25"/>
        </w:rPr>
        <w:t> </w:t>
      </w:r>
      <w:r>
        <w:rPr>
          <w:rFonts w:ascii="Theinhardt Black"/>
          <w:b/>
          <w:spacing w:val="1"/>
          <w:u w:val="dotted" w:color="000000"/>
        </w:rPr>
        <w:t>PlusEnergieBauten</w:t>
      </w:r>
      <w:r>
        <w:rPr>
          <w:rFonts w:ascii="Theinhardt Black"/>
          <w:b/>
          <w:u w:val="dotted" w:color="000000"/>
        </w:rPr>
        <w:t> </w:t>
        <w:tab/>
      </w:r>
      <w:r>
        <w:rPr>
          <w:rFonts w:ascii="Theinhardt Black"/>
          <w:b/>
        </w:rPr>
      </w:r>
      <w:r>
        <w:rPr>
          <w:rFonts w:ascii="Theinhardt Black"/>
          <w:b w:val="0"/>
        </w:rPr>
      </w:r>
    </w:p>
    <w:p>
      <w:pPr>
        <w:tabs>
          <w:tab w:pos="2550" w:val="left" w:leader="none"/>
        </w:tabs>
        <w:spacing w:line="20" w:lineRule="atLeast"/>
        <w:ind w:left="106" w:right="0" w:firstLine="0"/>
        <w:rPr>
          <w:rFonts w:ascii="Theinhardt Black" w:hAnsi="Theinhardt Black" w:cs="Theinhardt Black" w:eastAsia="Theinhardt Black"/>
          <w:sz w:val="2"/>
          <w:szCs w:val="2"/>
        </w:rPr>
      </w:pPr>
      <w:r>
        <w:rPr>
          <w:rFonts w:ascii="Theinhardt Black"/>
          <w:sz w:val="2"/>
        </w:rPr>
        <w:pict>
          <v:group style="width:.45pt;height:.45pt;mso-position-horizontal-relative:char;mso-position-vertical-relative:line" coordorigin="0,0" coordsize="9,9">
            <v:group style="position:absolute;left:4;top:4;width:2;height:2" coordorigin="4,4" coordsize="2,2">
              <v:shape style="position:absolute;left:4;top:4;width:2;height:2" coordorigin="4,4" coordsize="0,0" path="m4,4l4,4e" filled="false" stroked="true" strokeweight=".425pt" strokecolor="#000000">
                <v:path arrowok="t"/>
              </v:shape>
            </v:group>
          </v:group>
        </w:pict>
      </w:r>
      <w:r>
        <w:rPr>
          <w:rFonts w:ascii="Theinhardt Black"/>
          <w:sz w:val="2"/>
        </w:rPr>
      </w:r>
      <w:r>
        <w:rPr>
          <w:rFonts w:ascii="Theinhardt Black"/>
          <w:sz w:val="2"/>
        </w:rPr>
        <w:tab/>
      </w:r>
      <w:r>
        <w:rPr>
          <w:rFonts w:ascii="Theinhardt Black"/>
          <w:sz w:val="2"/>
        </w:rPr>
        <w:pict>
          <v:group style="width:.45pt;height:.45pt;mso-position-horizontal-relative:char;mso-position-vertical-relative:line" coordorigin="0,0" coordsize="9,9">
            <v:group style="position:absolute;left:4;top:4;width:2;height:2" coordorigin="4,4" coordsize="2,2">
              <v:shape style="position:absolute;left:4;top:4;width:2;height:2" coordorigin="4,4" coordsize="0,0" path="m4,4l4,4e" filled="false" stroked="true" strokeweight=".425pt" strokecolor="#000000">
                <v:path arrowok="t"/>
              </v:shape>
            </v:group>
          </v:group>
        </w:pict>
      </w:r>
      <w:r>
        <w:rPr>
          <w:rFonts w:ascii="Theinhardt Black"/>
          <w:sz w:val="2"/>
        </w:rPr>
      </w:r>
    </w:p>
    <w:p>
      <w:pPr>
        <w:pStyle w:val="BodyText"/>
        <w:spacing w:line="240" w:lineRule="auto"/>
        <w:ind w:right="0"/>
        <w:jc w:val="left"/>
      </w:pPr>
      <w:r>
        <w:rPr/>
        <w:pict>
          <v:shape style="position:absolute;margin-left:28.347pt;margin-top:26.341812pt;width:82.204400pt;height:60.2047pt;mso-position-horizontal-relative:page;mso-position-vertical-relative:paragraph;z-index:1216" type="#_x0000_t75" stroked="false">
            <v:imagedata r:id="rId5" o:title=""/>
          </v:shape>
        </w:pict>
      </w:r>
      <w:r>
        <w:rPr/>
        <w:t>2.</w:t>
      </w:r>
      <w:r>
        <w:rPr>
          <w:spacing w:val="-11"/>
        </w:rPr>
        <w:t> </w:t>
      </w:r>
      <w:r>
        <w:rPr/>
        <w:t>Norman </w:t>
      </w:r>
      <w:r>
        <w:rPr>
          <w:spacing w:val="-1"/>
        </w:rPr>
        <w:t>Foster</w:t>
      </w:r>
      <w:r>
        <w:rPr/>
        <w:t> Solar </w:t>
      </w:r>
      <w:r>
        <w:rPr>
          <w:spacing w:val="-3"/>
        </w:rPr>
        <w:t>Award</w:t>
      </w:r>
    </w:p>
    <w:p>
      <w:pPr>
        <w:pStyle w:val="Heading1"/>
        <w:spacing w:line="230" w:lineRule="exact"/>
        <w:ind w:right="107"/>
        <w:jc w:val="both"/>
        <w:rPr>
          <w:b w:val="0"/>
          <w:bCs w:val="0"/>
        </w:rPr>
      </w:pPr>
      <w:r>
        <w:rPr>
          <w:b w:val="0"/>
          <w:bCs w:val="0"/>
        </w:rPr>
        <w:br w:type="column"/>
      </w:r>
      <w:r>
        <w:rPr/>
        <w:t>In</w:t>
      </w:r>
      <w:r>
        <w:rPr>
          <w:spacing w:val="9"/>
        </w:rPr>
        <w:t> </w:t>
      </w:r>
      <w:r>
        <w:rPr>
          <w:spacing w:val="1"/>
        </w:rPr>
        <w:t>Brütten/ZH</w:t>
      </w:r>
      <w:r>
        <w:rPr>
          <w:spacing w:val="9"/>
        </w:rPr>
        <w:t> </w:t>
      </w:r>
      <w:r>
        <w:rPr>
          <w:spacing w:val="-1"/>
        </w:rPr>
        <w:t>entstand</w:t>
      </w:r>
      <w:r>
        <w:rPr>
          <w:spacing w:val="9"/>
        </w:rPr>
        <w:t> </w:t>
      </w:r>
      <w:r>
        <w:rPr>
          <w:spacing w:val="-1"/>
        </w:rPr>
        <w:t>2016</w:t>
      </w:r>
      <w:r>
        <w:rPr>
          <w:spacing w:val="9"/>
        </w:rPr>
        <w:t> </w:t>
      </w:r>
      <w:r>
        <w:rPr>
          <w:spacing w:val="-1"/>
        </w:rPr>
        <w:t>ein</w:t>
      </w:r>
      <w:r>
        <w:rPr>
          <w:spacing w:val="9"/>
        </w:rPr>
        <w:t> </w:t>
      </w:r>
      <w:r>
        <w:rPr>
          <w:spacing w:val="-1"/>
        </w:rPr>
        <w:t>einzigartiges</w:t>
      </w:r>
      <w:r>
        <w:rPr>
          <w:spacing w:val="9"/>
        </w:rPr>
        <w:t> </w:t>
      </w:r>
      <w:r>
        <w:rPr>
          <w:spacing w:val="-1"/>
        </w:rPr>
        <w:t>Pionierprojekt.</w:t>
      </w:r>
      <w:r>
        <w:rPr>
          <w:spacing w:val="2"/>
        </w:rPr>
        <w:t> </w:t>
      </w:r>
      <w:r>
        <w:rPr>
          <w:spacing w:val="-1"/>
        </w:rPr>
        <w:t>Die</w:t>
      </w:r>
      <w:r>
        <w:rPr>
          <w:spacing w:val="9"/>
        </w:rPr>
        <w:t> </w:t>
      </w:r>
      <w:r>
        <w:rPr>
          <w:spacing w:val="-1"/>
        </w:rPr>
        <w:t>Umwelt</w:t>
      </w:r>
      <w:r>
        <w:rPr>
          <w:spacing w:val="9"/>
        </w:rPr>
        <w:t> </w:t>
      </w:r>
      <w:r>
        <w:rPr>
          <w:spacing w:val="-1"/>
        </w:rPr>
        <w:t>Arena</w:t>
      </w:r>
      <w:r>
        <w:rPr>
          <w:spacing w:val="9"/>
        </w:rPr>
        <w:t> </w:t>
      </w:r>
      <w:r>
        <w:rPr>
          <w:spacing w:val="-3"/>
        </w:rPr>
        <w:t>AG</w:t>
      </w:r>
      <w:r>
        <w:rPr>
          <w:spacing w:val="9"/>
        </w:rPr>
        <w:t> </w:t>
      </w:r>
      <w:r>
        <w:rPr>
          <w:spacing w:val="-1"/>
        </w:rPr>
        <w:t>realisierte</w:t>
      </w:r>
      <w:r>
        <w:rPr>
          <w:spacing w:val="54"/>
        </w:rPr>
        <w:t> </w:t>
      </w:r>
      <w:r>
        <w:rPr>
          <w:spacing w:val="-1"/>
        </w:rPr>
        <w:t>ein</w:t>
      </w:r>
      <w:r>
        <w:rPr>
          <w:spacing w:val="-2"/>
        </w:rPr>
        <w:t> </w:t>
      </w:r>
      <w:r>
        <w:rPr>
          <w:spacing w:val="-1"/>
        </w:rPr>
        <w:t>energieautarkes</w:t>
      </w:r>
      <w:r>
        <w:rPr>
          <w:spacing w:val="-2"/>
        </w:rPr>
        <w:t> </w:t>
      </w:r>
      <w:r>
        <w:rPr>
          <w:spacing w:val="-1"/>
        </w:rPr>
        <w:t>Mehrfamilienhaus</w:t>
      </w:r>
      <w:r>
        <w:rPr>
          <w:spacing w:val="-2"/>
        </w:rPr>
        <w:t> </w:t>
      </w:r>
      <w:r>
        <w:rPr>
          <w:spacing w:val="-1"/>
        </w:rPr>
        <w:t>ohne</w:t>
      </w:r>
      <w:r>
        <w:rPr>
          <w:spacing w:val="-2"/>
        </w:rPr>
        <w:t> </w:t>
      </w:r>
      <w:r>
        <w:rPr>
          <w:spacing w:val="-1"/>
        </w:rPr>
        <w:t>Netzanschluss</w:t>
      </w:r>
      <w:r>
        <w:rPr>
          <w:spacing w:val="-2"/>
        </w:rPr>
        <w:t> </w:t>
      </w:r>
      <w:r>
        <w:rPr>
          <w:spacing w:val="-1"/>
        </w:rPr>
        <w:t>oder</w:t>
      </w:r>
      <w:r>
        <w:rPr>
          <w:spacing w:val="-2"/>
        </w:rPr>
        <w:t> </w:t>
      </w:r>
      <w:r>
        <w:rPr>
          <w:spacing w:val="-1"/>
        </w:rPr>
        <w:t>externe</w:t>
      </w:r>
      <w:r>
        <w:rPr>
          <w:spacing w:val="-2"/>
        </w:rPr>
        <w:t> </w:t>
      </w:r>
      <w:r>
        <w:rPr>
          <w:spacing w:val="-1"/>
        </w:rPr>
        <w:t>Energiequellen.</w:t>
      </w:r>
      <w:r>
        <w:rPr>
          <w:spacing w:val="-9"/>
        </w:rPr>
        <w:t> </w:t>
      </w:r>
      <w:r>
        <w:rPr>
          <w:spacing w:val="-1"/>
        </w:rPr>
        <w:t>Für</w:t>
      </w:r>
      <w:r>
        <w:rPr>
          <w:spacing w:val="-2"/>
        </w:rPr>
        <w:t> </w:t>
      </w:r>
      <w:r>
        <w:rPr>
          <w:spacing w:val="-1"/>
        </w:rPr>
        <w:t>die</w:t>
      </w:r>
      <w:r>
        <w:rPr>
          <w:spacing w:val="45"/>
        </w:rPr>
        <w:t> </w:t>
      </w:r>
      <w:r>
        <w:rPr>
          <w:spacing w:val="-2"/>
        </w:rPr>
        <w:t>Energieversorgung</w:t>
      </w:r>
      <w:r>
        <w:rPr>
          <w:spacing w:val="-10"/>
        </w:rPr>
        <w:t> </w:t>
      </w:r>
      <w:r>
        <w:rPr>
          <w:spacing w:val="-1"/>
        </w:rPr>
        <w:t>des</w:t>
      </w:r>
      <w:r>
        <w:rPr>
          <w:spacing w:val="-9"/>
        </w:rPr>
        <w:t> </w:t>
      </w:r>
      <w:r>
        <w:rPr>
          <w:spacing w:val="-1"/>
        </w:rPr>
        <w:t>MFH</w:t>
      </w:r>
      <w:r>
        <w:rPr>
          <w:spacing w:val="-10"/>
        </w:rPr>
        <w:t> </w:t>
      </w:r>
      <w:r>
        <w:rPr>
          <w:spacing w:val="-1"/>
        </w:rPr>
        <w:t>von</w:t>
      </w:r>
      <w:r>
        <w:rPr>
          <w:spacing w:val="-9"/>
        </w:rPr>
        <w:t> </w:t>
      </w:r>
      <w:r>
        <w:rPr>
          <w:spacing w:val="-1"/>
        </w:rPr>
        <w:t>92’000</w:t>
      </w:r>
      <w:r>
        <w:rPr>
          <w:spacing w:val="-10"/>
        </w:rPr>
        <w:t> </w:t>
      </w:r>
      <w:r>
        <w:rPr>
          <w:spacing w:val="-3"/>
        </w:rPr>
        <w:t>kWh/a</w:t>
      </w:r>
      <w:r>
        <w:rPr>
          <w:spacing w:val="-9"/>
        </w:rPr>
        <w:t> </w:t>
      </w:r>
      <w:r>
        <w:rPr>
          <w:spacing w:val="-1"/>
        </w:rPr>
        <w:t>sorgen</w:t>
      </w:r>
      <w:r>
        <w:rPr>
          <w:spacing w:val="-10"/>
        </w:rPr>
        <w:t> </w:t>
      </w:r>
      <w:r>
        <w:rPr>
          <w:spacing w:val="-1"/>
        </w:rPr>
        <w:t>hocheffiziente</w:t>
      </w:r>
      <w:r>
        <w:rPr>
          <w:spacing w:val="-9"/>
        </w:rPr>
        <w:t> </w:t>
      </w:r>
      <w:r>
        <w:rPr>
          <w:spacing w:val="-1"/>
        </w:rPr>
        <w:t>und</w:t>
      </w:r>
      <w:r>
        <w:rPr>
          <w:spacing w:val="-9"/>
        </w:rPr>
        <w:t> </w:t>
      </w:r>
      <w:r>
        <w:rPr>
          <w:spacing w:val="-1"/>
        </w:rPr>
        <w:t>perfekt</w:t>
      </w:r>
      <w:r>
        <w:rPr>
          <w:spacing w:val="-10"/>
        </w:rPr>
        <w:t> </w:t>
      </w:r>
      <w:r>
        <w:rPr>
          <w:spacing w:val="-1"/>
        </w:rPr>
        <w:t>dachintegrier-</w:t>
      </w:r>
      <w:r>
        <w:rPr>
          <w:spacing w:val="77"/>
        </w:rPr>
        <w:t> </w:t>
      </w:r>
      <w:r>
        <w:rPr>
          <w:spacing w:val="-1"/>
        </w:rPr>
        <w:t>te</w:t>
      </w:r>
      <w:r>
        <w:rPr>
          <w:spacing w:val="7"/>
        </w:rPr>
        <w:t> </w:t>
      </w:r>
      <w:r>
        <w:rPr>
          <w:spacing w:val="-1"/>
        </w:rPr>
        <w:t>monokristalline</w:t>
      </w:r>
      <w:r>
        <w:rPr>
          <w:spacing w:val="7"/>
        </w:rPr>
        <w:t> </w:t>
      </w:r>
      <w:r>
        <w:rPr>
          <w:spacing w:val="-1"/>
        </w:rPr>
        <w:t>Photovoltaikmodule.</w:t>
      </w:r>
      <w:r>
        <w:rPr/>
        <w:t> </w:t>
      </w:r>
      <w:r>
        <w:rPr>
          <w:spacing w:val="-1"/>
        </w:rPr>
        <w:t>Die</w:t>
      </w:r>
      <w:r>
        <w:rPr>
          <w:spacing w:val="7"/>
        </w:rPr>
        <w:t> </w:t>
      </w:r>
      <w:r>
        <w:rPr>
          <w:spacing w:val="-1"/>
        </w:rPr>
        <w:t>Dünnschichtzellen</w:t>
      </w:r>
      <w:r>
        <w:rPr>
          <w:spacing w:val="7"/>
        </w:rPr>
        <w:t> </w:t>
      </w:r>
      <w:r>
        <w:rPr>
          <w:spacing w:val="-1"/>
        </w:rPr>
        <w:t>sind</w:t>
      </w:r>
      <w:r>
        <w:rPr>
          <w:spacing w:val="7"/>
        </w:rPr>
        <w:t> </w:t>
      </w:r>
      <w:r>
        <w:rPr>
          <w:spacing w:val="-1"/>
        </w:rPr>
        <w:t>fassadenintegriert.</w:t>
      </w:r>
      <w:r>
        <w:rPr/>
        <w:t> Um</w:t>
      </w:r>
      <w:r>
        <w:rPr>
          <w:spacing w:val="7"/>
        </w:rPr>
        <w:t> </w:t>
      </w:r>
      <w:r>
        <w:rPr>
          <w:spacing w:val="-2"/>
        </w:rPr>
        <w:t>den</w:t>
      </w:r>
      <w:r>
        <w:rPr>
          <w:spacing w:val="54"/>
        </w:rPr>
        <w:t> </w:t>
      </w:r>
      <w:r>
        <w:rPr>
          <w:spacing w:val="-1"/>
        </w:rPr>
        <w:t>Spagat</w:t>
      </w:r>
      <w:r>
        <w:rPr>
          <w:spacing w:val="21"/>
        </w:rPr>
        <w:t> </w:t>
      </w:r>
      <w:r>
        <w:rPr>
          <w:spacing w:val="-1"/>
        </w:rPr>
        <w:t>zwischen</w:t>
      </w:r>
      <w:r>
        <w:rPr>
          <w:spacing w:val="21"/>
        </w:rPr>
        <w:t> </w:t>
      </w:r>
      <w:r>
        <w:rPr>
          <w:spacing w:val="-1"/>
        </w:rPr>
        <w:t>hohem</w:t>
      </w:r>
      <w:r>
        <w:rPr>
          <w:spacing w:val="21"/>
        </w:rPr>
        <w:t> </w:t>
      </w:r>
      <w:r>
        <w:rPr>
          <w:spacing w:val="-1"/>
        </w:rPr>
        <w:t>Winterverbrauch</w:t>
      </w:r>
      <w:r>
        <w:rPr>
          <w:spacing w:val="21"/>
        </w:rPr>
        <w:t> </w:t>
      </w:r>
      <w:r>
        <w:rPr>
          <w:spacing w:val="-1"/>
        </w:rPr>
        <w:t>und</w:t>
      </w:r>
      <w:r>
        <w:rPr>
          <w:spacing w:val="21"/>
        </w:rPr>
        <w:t> </w:t>
      </w:r>
      <w:r>
        <w:rPr>
          <w:spacing w:val="-1"/>
        </w:rPr>
        <w:t>hoher</w:t>
      </w:r>
      <w:r>
        <w:rPr>
          <w:spacing w:val="21"/>
        </w:rPr>
        <w:t> </w:t>
      </w:r>
      <w:r>
        <w:rPr>
          <w:spacing w:val="-1"/>
        </w:rPr>
        <w:t>Sommerproduktion</w:t>
      </w:r>
      <w:r>
        <w:rPr>
          <w:spacing w:val="21"/>
        </w:rPr>
        <w:t> </w:t>
      </w:r>
      <w:r>
        <w:rPr>
          <w:spacing w:val="-1"/>
        </w:rPr>
        <w:t>zu</w:t>
      </w:r>
      <w:r>
        <w:rPr>
          <w:spacing w:val="21"/>
        </w:rPr>
        <w:t> </w:t>
      </w:r>
      <w:r>
        <w:rPr>
          <w:spacing w:val="-1"/>
        </w:rPr>
        <w:t>bewältigen,</w:t>
      </w:r>
      <w:r>
        <w:rPr>
          <w:spacing w:val="14"/>
        </w:rPr>
        <w:t> </w:t>
      </w:r>
      <w:r>
        <w:rPr>
          <w:spacing w:val="-2"/>
        </w:rPr>
        <w:t>steht</w:t>
      </w:r>
      <w:r>
        <w:rPr>
          <w:spacing w:val="64"/>
        </w:rPr>
        <w:t> </w:t>
      </w:r>
      <w:r>
        <w:rPr>
          <w:spacing w:val="-1"/>
        </w:rPr>
        <w:t>eine</w:t>
      </w:r>
      <w:r>
        <w:rPr>
          <w:spacing w:val="3"/>
        </w:rPr>
        <w:t> </w:t>
      </w:r>
      <w:r>
        <w:rPr>
          <w:spacing w:val="-1"/>
        </w:rPr>
        <w:t>Power-to-Gas-Anlage</w:t>
      </w:r>
      <w:r>
        <w:rPr>
          <w:spacing w:val="3"/>
        </w:rPr>
        <w:t> </w:t>
      </w:r>
      <w:r>
        <w:rPr>
          <w:spacing w:val="-1"/>
        </w:rPr>
        <w:t>zur</w:t>
      </w:r>
      <w:r>
        <w:rPr>
          <w:spacing w:val="-4"/>
        </w:rPr>
        <w:t> </w:t>
      </w:r>
      <w:r>
        <w:rPr>
          <w:spacing w:val="-2"/>
        </w:rPr>
        <w:t>Verfügung.</w:t>
      </w:r>
      <w:r>
        <w:rPr>
          <w:spacing w:val="-4"/>
        </w:rPr>
        <w:t> </w:t>
      </w:r>
      <w:r>
        <w:rPr>
          <w:spacing w:val="-1"/>
        </w:rPr>
        <w:t>Sie</w:t>
      </w:r>
      <w:r>
        <w:rPr>
          <w:spacing w:val="3"/>
        </w:rPr>
        <w:t> </w:t>
      </w:r>
      <w:r>
        <w:rPr>
          <w:spacing w:val="-1"/>
        </w:rPr>
        <w:t>wandelt</w:t>
      </w:r>
      <w:r>
        <w:rPr>
          <w:spacing w:val="3"/>
        </w:rPr>
        <w:t> </w:t>
      </w:r>
      <w:r>
        <w:rPr>
          <w:spacing w:val="-1"/>
        </w:rPr>
        <w:t>den</w:t>
      </w:r>
      <w:r>
        <w:rPr>
          <w:spacing w:val="3"/>
        </w:rPr>
        <w:t> </w:t>
      </w:r>
      <w:r>
        <w:rPr>
          <w:spacing w:val="-1"/>
        </w:rPr>
        <w:t>Strom</w:t>
      </w:r>
      <w:r>
        <w:rPr>
          <w:spacing w:val="3"/>
        </w:rPr>
        <w:t> </w:t>
      </w:r>
      <w:r>
        <w:rPr>
          <w:spacing w:val="-1"/>
        </w:rPr>
        <w:t>in</w:t>
      </w:r>
      <w:r>
        <w:rPr>
          <w:spacing w:val="3"/>
        </w:rPr>
        <w:t> </w:t>
      </w:r>
      <w:r>
        <w:rPr>
          <w:spacing w:val="-2"/>
        </w:rPr>
        <w:t>Wasserstoff</w:t>
      </w:r>
      <w:r>
        <w:rPr>
          <w:spacing w:val="3"/>
        </w:rPr>
        <w:t> </w:t>
      </w:r>
      <w:r>
        <w:rPr>
          <w:spacing w:val="-1"/>
        </w:rPr>
        <w:t>um.</w:t>
      </w:r>
      <w:r>
        <w:rPr>
          <w:spacing w:val="-4"/>
        </w:rPr>
        <w:t> </w:t>
      </w:r>
      <w:r>
        <w:rPr>
          <w:spacing w:val="-1"/>
        </w:rPr>
        <w:t>Bei</w:t>
      </w:r>
      <w:r>
        <w:rPr>
          <w:spacing w:val="3"/>
        </w:rPr>
        <w:t> </w:t>
      </w:r>
      <w:r>
        <w:rPr/>
        <w:t>Bedarf</w:t>
      </w:r>
      <w:r>
        <w:rPr>
          <w:spacing w:val="71"/>
        </w:rPr>
        <w:t> </w:t>
      </w:r>
      <w:r>
        <w:rPr>
          <w:spacing w:val="-1"/>
        </w:rPr>
        <w:t>wandelt</w:t>
      </w:r>
      <w:r>
        <w:rPr>
          <w:spacing w:val="8"/>
        </w:rPr>
        <w:t> </w:t>
      </w:r>
      <w:r>
        <w:rPr>
          <w:spacing w:val="-1"/>
        </w:rPr>
        <w:t>eine</w:t>
      </w:r>
      <w:r>
        <w:rPr>
          <w:spacing w:val="8"/>
        </w:rPr>
        <w:t> </w:t>
      </w:r>
      <w:r>
        <w:rPr>
          <w:spacing w:val="-2"/>
        </w:rPr>
        <w:t>Brennstoffzelle</w:t>
      </w:r>
      <w:r>
        <w:rPr>
          <w:spacing w:val="8"/>
        </w:rPr>
        <w:t> </w:t>
      </w:r>
      <w:r>
        <w:rPr>
          <w:spacing w:val="-1"/>
        </w:rPr>
        <w:t>mit</w:t>
      </w:r>
      <w:r>
        <w:rPr>
          <w:spacing w:val="8"/>
        </w:rPr>
        <w:t> </w:t>
      </w:r>
      <w:r>
        <w:rPr>
          <w:spacing w:val="-1"/>
        </w:rPr>
        <w:t>einem</w:t>
      </w:r>
      <w:r>
        <w:rPr>
          <w:spacing w:val="8"/>
        </w:rPr>
        <w:t> </w:t>
      </w:r>
      <w:r>
        <w:rPr>
          <w:spacing w:val="-1"/>
        </w:rPr>
        <w:t>elektrischen</w:t>
      </w:r>
      <w:r>
        <w:rPr>
          <w:spacing w:val="8"/>
        </w:rPr>
        <w:t> </w:t>
      </w:r>
      <w:r>
        <w:rPr>
          <w:spacing w:val="-2"/>
        </w:rPr>
        <w:t>Wirkungsgrad</w:t>
      </w:r>
      <w:r>
        <w:rPr>
          <w:spacing w:val="8"/>
        </w:rPr>
        <w:t> </w:t>
      </w:r>
      <w:r>
        <w:rPr>
          <w:spacing w:val="-1"/>
        </w:rPr>
        <w:t>von</w:t>
      </w:r>
      <w:r>
        <w:rPr>
          <w:spacing w:val="8"/>
        </w:rPr>
        <w:t> </w:t>
      </w:r>
      <w:r>
        <w:rPr>
          <w:spacing w:val="-1"/>
        </w:rPr>
        <w:t>rund</w:t>
      </w:r>
      <w:r>
        <w:rPr>
          <w:spacing w:val="8"/>
        </w:rPr>
        <w:t> </w:t>
      </w:r>
      <w:r>
        <w:rPr>
          <w:spacing w:val="-1"/>
        </w:rPr>
        <w:t>18%</w:t>
      </w:r>
      <w:r>
        <w:rPr>
          <w:spacing w:val="8"/>
        </w:rPr>
        <w:t> </w:t>
      </w:r>
      <w:r>
        <w:rPr>
          <w:spacing w:val="-1"/>
        </w:rPr>
        <w:t>den</w:t>
      </w:r>
      <w:r>
        <w:rPr>
          <w:spacing w:val="8"/>
        </w:rPr>
        <w:t> </w:t>
      </w:r>
      <w:r>
        <w:rPr>
          <w:spacing w:val="-1"/>
        </w:rPr>
        <w:t>Wasser-</w:t>
      </w:r>
      <w:r>
        <w:rPr>
          <w:spacing w:val="77"/>
        </w:rPr>
        <w:t> </w:t>
      </w:r>
      <w:r>
        <w:rPr>
          <w:spacing w:val="-2"/>
        </w:rPr>
        <w:t>stoff</w:t>
      </w:r>
      <w:r>
        <w:rPr>
          <w:spacing w:val="10"/>
        </w:rPr>
        <w:t> </w:t>
      </w:r>
      <w:r>
        <w:rPr>
          <w:spacing w:val="-1"/>
        </w:rPr>
        <w:t>wieder</w:t>
      </w:r>
      <w:r>
        <w:rPr>
          <w:spacing w:val="10"/>
        </w:rPr>
        <w:t> </w:t>
      </w:r>
      <w:r>
        <w:rPr>
          <w:spacing w:val="-1"/>
        </w:rPr>
        <w:t>in</w:t>
      </w:r>
      <w:r>
        <w:rPr>
          <w:spacing w:val="10"/>
        </w:rPr>
        <w:t> </w:t>
      </w:r>
      <w:r>
        <w:rPr>
          <w:spacing w:val="-1"/>
        </w:rPr>
        <w:t>Strom</w:t>
      </w:r>
      <w:r>
        <w:rPr>
          <w:spacing w:val="10"/>
        </w:rPr>
        <w:t> </w:t>
      </w:r>
      <w:r>
        <w:rPr>
          <w:spacing w:val="-1"/>
        </w:rPr>
        <w:t>um.</w:t>
      </w:r>
      <w:r>
        <w:rPr>
          <w:spacing w:val="3"/>
        </w:rPr>
        <w:t> </w:t>
      </w:r>
      <w:r>
        <w:rPr>
          <w:spacing w:val="-1"/>
        </w:rPr>
        <w:t>Die</w:t>
      </w:r>
      <w:r>
        <w:rPr>
          <w:spacing w:val="10"/>
        </w:rPr>
        <w:t> </w:t>
      </w:r>
      <w:r>
        <w:rPr>
          <w:spacing w:val="-2"/>
        </w:rPr>
        <w:t>kurzfristige</w:t>
      </w:r>
      <w:r>
        <w:rPr>
          <w:spacing w:val="10"/>
        </w:rPr>
        <w:t> </w:t>
      </w:r>
      <w:r>
        <w:rPr>
          <w:spacing w:val="-1"/>
        </w:rPr>
        <w:t>Speicherung</w:t>
      </w:r>
      <w:r>
        <w:rPr>
          <w:spacing w:val="10"/>
        </w:rPr>
        <w:t> </w:t>
      </w:r>
      <w:r>
        <w:rPr>
          <w:spacing w:val="-1"/>
        </w:rPr>
        <w:t>übernehmen</w:t>
      </w:r>
      <w:r>
        <w:rPr>
          <w:spacing w:val="10"/>
        </w:rPr>
        <w:t> </w:t>
      </w:r>
      <w:r>
        <w:rPr>
          <w:spacing w:val="-1"/>
        </w:rPr>
        <w:t>Batterien.</w:t>
      </w:r>
      <w:r>
        <w:rPr>
          <w:spacing w:val="3"/>
        </w:rPr>
        <w:t> </w:t>
      </w:r>
      <w:r>
        <w:rPr>
          <w:spacing w:val="-1"/>
        </w:rPr>
        <w:t>Energiemonito-</w:t>
      </w:r>
      <w:r>
        <w:rPr>
          <w:spacing w:val="67"/>
        </w:rPr>
        <w:t> </w:t>
      </w:r>
      <w:r>
        <w:rPr>
          <w:spacing w:val="-1"/>
        </w:rPr>
        <w:t>ring</w:t>
      </w:r>
      <w:r>
        <w:rPr>
          <w:spacing w:val="8"/>
        </w:rPr>
        <w:t> </w:t>
      </w:r>
      <w:r>
        <w:rPr>
          <w:spacing w:val="-1"/>
        </w:rPr>
        <w:t>und</w:t>
      </w:r>
      <w:r>
        <w:rPr>
          <w:spacing w:val="9"/>
        </w:rPr>
        <w:t> </w:t>
      </w:r>
      <w:r>
        <w:rPr>
          <w:spacing w:val="-1"/>
        </w:rPr>
        <w:t>Effizienzmassnahmen</w:t>
      </w:r>
      <w:r>
        <w:rPr>
          <w:spacing w:val="9"/>
        </w:rPr>
        <w:t> </w:t>
      </w:r>
      <w:r>
        <w:rPr>
          <w:spacing w:val="-1"/>
        </w:rPr>
        <w:t>wie</w:t>
      </w:r>
      <w:r>
        <w:rPr>
          <w:spacing w:val="9"/>
        </w:rPr>
        <w:t> </w:t>
      </w:r>
      <w:r>
        <w:rPr>
          <w:spacing w:val="-1"/>
        </w:rPr>
        <w:t>die</w:t>
      </w:r>
      <w:r>
        <w:rPr>
          <w:spacing w:val="9"/>
        </w:rPr>
        <w:t> </w:t>
      </w:r>
      <w:r>
        <w:rPr>
          <w:spacing w:val="-1"/>
        </w:rPr>
        <w:t>LED-Beleuchtung,</w:t>
      </w:r>
      <w:r>
        <w:rPr>
          <w:spacing w:val="2"/>
        </w:rPr>
        <w:t> </w:t>
      </w:r>
      <w:r>
        <w:rPr>
          <w:spacing w:val="-1"/>
        </w:rPr>
        <w:t>eine</w:t>
      </w:r>
      <w:r>
        <w:rPr>
          <w:spacing w:val="8"/>
        </w:rPr>
        <w:t> </w:t>
      </w:r>
      <w:r>
        <w:rPr>
          <w:spacing w:val="-1"/>
        </w:rPr>
        <w:t>Wärmepumpe,</w:t>
      </w:r>
      <w:r>
        <w:rPr>
          <w:spacing w:val="2"/>
        </w:rPr>
        <w:t> </w:t>
      </w:r>
      <w:r>
        <w:rPr>
          <w:spacing w:val="-1"/>
        </w:rPr>
        <w:t>energieeffiziente</w:t>
      </w:r>
      <w:r>
        <w:rPr>
          <w:spacing w:val="28"/>
        </w:rPr>
        <w:t> </w:t>
      </w:r>
      <w:r>
        <w:rPr>
          <w:spacing w:val="-1"/>
        </w:rPr>
        <w:t>Geräte</w:t>
      </w:r>
      <w:r>
        <w:rPr>
          <w:spacing w:val="-2"/>
        </w:rPr>
        <w:t> </w:t>
      </w:r>
      <w:r>
        <w:rPr>
          <w:spacing w:val="-1"/>
        </w:rPr>
        <w:t>und</w:t>
      </w:r>
      <w:r>
        <w:rPr>
          <w:spacing w:val="-2"/>
        </w:rPr>
        <w:t> </w:t>
      </w:r>
      <w:r>
        <w:rPr>
          <w:spacing w:val="-1"/>
        </w:rPr>
        <w:t>eine</w:t>
      </w:r>
      <w:r>
        <w:rPr>
          <w:spacing w:val="-2"/>
        </w:rPr>
        <w:t> </w:t>
      </w:r>
      <w:r>
        <w:rPr>
          <w:spacing w:val="-1"/>
        </w:rPr>
        <w:t>gute</w:t>
      </w:r>
      <w:r>
        <w:rPr>
          <w:spacing w:val="-2"/>
        </w:rPr>
        <w:t> </w:t>
      </w:r>
      <w:r>
        <w:rPr>
          <w:spacing w:val="-1"/>
        </w:rPr>
        <w:t>Wärmedämmung</w:t>
      </w:r>
      <w:r>
        <w:rPr>
          <w:spacing w:val="-2"/>
        </w:rPr>
        <w:t> </w:t>
      </w:r>
      <w:r>
        <w:rPr>
          <w:spacing w:val="-1"/>
        </w:rPr>
        <w:t>sorgen</w:t>
      </w:r>
      <w:r>
        <w:rPr>
          <w:spacing w:val="-2"/>
        </w:rPr>
        <w:t> </w:t>
      </w:r>
      <w:r>
        <w:rPr>
          <w:spacing w:val="-1"/>
        </w:rPr>
        <w:t>für</w:t>
      </w:r>
      <w:r>
        <w:rPr>
          <w:spacing w:val="-2"/>
        </w:rPr>
        <w:t> </w:t>
      </w:r>
      <w:r>
        <w:rPr>
          <w:spacing w:val="-1"/>
        </w:rPr>
        <w:t>einen</w:t>
      </w:r>
      <w:r>
        <w:rPr>
          <w:spacing w:val="-2"/>
        </w:rPr>
        <w:t> </w:t>
      </w:r>
      <w:r>
        <w:rPr>
          <w:spacing w:val="-1"/>
        </w:rPr>
        <w:t>niedrigen</w:t>
      </w:r>
      <w:r>
        <w:rPr>
          <w:spacing w:val="-9"/>
        </w:rPr>
        <w:t> </w:t>
      </w:r>
      <w:r>
        <w:rPr>
          <w:spacing w:val="-2"/>
        </w:rPr>
        <w:t>Verbrauch.</w:t>
      </w:r>
      <w:r>
        <w:rPr>
          <w:b w:val="0"/>
          <w:bCs w:val="0"/>
        </w:rPr>
      </w:r>
    </w:p>
    <w:p>
      <w:pPr>
        <w:spacing w:after="0" w:line="230" w:lineRule="exact"/>
        <w:jc w:val="both"/>
        <w:sectPr>
          <w:type w:val="continuous"/>
          <w:pgSz w:w="11910" w:h="16840"/>
          <w:pgMar w:top="860" w:bottom="280" w:left="460" w:right="740"/>
          <w:cols w:num="2" w:equalWidth="0">
            <w:col w:w="2547" w:space="132"/>
            <w:col w:w="8031"/>
          </w:cols>
        </w:sect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11"/>
        <w:rPr>
          <w:rFonts w:ascii="Theinhardt Bold" w:hAnsi="Theinhardt Bold" w:cs="Theinhardt Bold" w:eastAsia="Theinhardt Bold"/>
          <w:b/>
          <w:bCs/>
          <w:sz w:val="26"/>
          <w:szCs w:val="26"/>
        </w:rPr>
      </w:pPr>
    </w:p>
    <w:p>
      <w:pPr>
        <w:spacing w:before="5"/>
        <w:ind w:left="115" w:right="0" w:firstLine="0"/>
        <w:jc w:val="left"/>
        <w:rPr>
          <w:rFonts w:ascii="Theinhardt Black" w:hAnsi="Theinhardt Black" w:cs="Theinhardt Black" w:eastAsia="Theinhardt Black"/>
          <w:sz w:val="40"/>
          <w:szCs w:val="40"/>
        </w:rPr>
      </w:pPr>
      <w:r>
        <w:rPr>
          <w:rFonts w:ascii="Theinhardt Black" w:hAnsi="Theinhardt Black"/>
          <w:b/>
          <w:color w:val="0067B1"/>
          <w:spacing w:val="1"/>
          <w:sz w:val="40"/>
        </w:rPr>
        <w:t>Energieautarkes</w:t>
      </w:r>
      <w:r>
        <w:rPr>
          <w:rFonts w:ascii="Theinhardt Black" w:hAnsi="Theinhardt Black"/>
          <w:b/>
          <w:color w:val="0067B1"/>
          <w:spacing w:val="-8"/>
          <w:sz w:val="40"/>
        </w:rPr>
        <w:t> </w:t>
      </w:r>
      <w:r>
        <w:rPr>
          <w:rFonts w:ascii="Theinhardt Black" w:hAnsi="Theinhardt Black"/>
          <w:b/>
          <w:color w:val="0067B1"/>
          <w:spacing w:val="-3"/>
          <w:sz w:val="40"/>
        </w:rPr>
        <w:t>MFH</w:t>
      </w:r>
      <w:r>
        <w:rPr>
          <w:rFonts w:ascii="Theinhardt Black" w:hAnsi="Theinhardt Black"/>
          <w:b/>
          <w:color w:val="0067B1"/>
          <w:spacing w:val="-8"/>
          <w:sz w:val="40"/>
        </w:rPr>
        <w:t> </w:t>
      </w:r>
      <w:r>
        <w:rPr>
          <w:rFonts w:ascii="Theinhardt Black" w:hAnsi="Theinhardt Black"/>
          <w:b/>
          <w:color w:val="0067B1"/>
          <w:spacing w:val="2"/>
          <w:sz w:val="40"/>
        </w:rPr>
        <w:t>U</w:t>
      </w:r>
      <w:r>
        <w:rPr>
          <w:rFonts w:ascii="Theinhardt Black" w:hAnsi="Theinhardt Black"/>
          <w:b/>
          <w:color w:val="0067B1"/>
          <w:spacing w:val="4"/>
          <w:sz w:val="40"/>
        </w:rPr>
        <w:t>n</w:t>
      </w:r>
      <w:r>
        <w:rPr>
          <w:rFonts w:ascii="Theinhardt Black" w:hAnsi="Theinhardt Black"/>
          <w:b/>
          <w:color w:val="0067B1"/>
          <w:sz w:val="40"/>
        </w:rPr>
        <w:t>t</w:t>
      </w:r>
      <w:r>
        <w:rPr>
          <w:rFonts w:ascii="Theinhardt Black" w:hAnsi="Theinhardt Black"/>
          <w:b/>
          <w:color w:val="0067B1"/>
          <w:spacing w:val="-2"/>
          <w:sz w:val="40"/>
        </w:rPr>
        <w:t>e</w:t>
      </w:r>
      <w:r>
        <w:rPr>
          <w:rFonts w:ascii="Theinhardt Black" w:hAnsi="Theinhardt Black"/>
          <w:b/>
          <w:color w:val="0067B1"/>
          <w:spacing w:val="3"/>
          <w:sz w:val="40"/>
        </w:rPr>
        <w:t>r</w:t>
      </w:r>
      <w:r>
        <w:rPr>
          <w:rFonts w:ascii="Theinhardt Black" w:hAnsi="Theinhardt Black"/>
          <w:b/>
          <w:color w:val="0067B1"/>
          <w:spacing w:val="-2"/>
          <w:sz w:val="40"/>
        </w:rPr>
        <w:t>do</w:t>
      </w:r>
      <w:r>
        <w:rPr>
          <w:rFonts w:ascii="Theinhardt Black" w:hAnsi="Theinhardt Black"/>
          <w:b/>
          <w:color w:val="0067B1"/>
          <w:spacing w:val="22"/>
          <w:sz w:val="40"/>
        </w:rPr>
        <w:t>r</w:t>
      </w:r>
      <w:r>
        <w:rPr>
          <w:rFonts w:ascii="Theinhardt Black" w:hAnsi="Theinhardt Black"/>
          <w:b/>
          <w:color w:val="0067B1"/>
          <w:spacing w:val="12"/>
          <w:sz w:val="40"/>
        </w:rPr>
        <w:t>f</w:t>
      </w:r>
      <w:r>
        <w:rPr>
          <w:rFonts w:ascii="Theinhardt Black" w:hAnsi="Theinhardt Black"/>
          <w:b/>
          <w:color w:val="0067B1"/>
          <w:spacing w:val="8"/>
          <w:sz w:val="40"/>
        </w:rPr>
        <w:t>s</w:t>
      </w:r>
      <w:r>
        <w:rPr>
          <w:rFonts w:ascii="Theinhardt Black" w:hAnsi="Theinhardt Black"/>
          <w:b/>
          <w:color w:val="0067B1"/>
          <w:spacing w:val="2"/>
          <w:sz w:val="40"/>
        </w:rPr>
        <w:t>t</w:t>
      </w:r>
      <w:r>
        <w:rPr>
          <w:rFonts w:ascii="Theinhardt Black" w:hAnsi="Theinhardt Black"/>
          <w:b/>
          <w:color w:val="0067B1"/>
          <w:spacing w:val="-28"/>
          <w:sz w:val="40"/>
        </w:rPr>
        <w:t>r</w:t>
      </w:r>
      <w:r>
        <w:rPr>
          <w:rFonts w:ascii="Theinhardt Black" w:hAnsi="Theinhardt Black"/>
          <w:b/>
          <w:color w:val="0067B1"/>
          <w:spacing w:val="-4"/>
          <w:sz w:val="40"/>
        </w:rPr>
        <w:t>.</w:t>
      </w:r>
      <w:r>
        <w:rPr>
          <w:rFonts w:ascii="Theinhardt Black" w:hAnsi="Theinhardt Black"/>
          <w:b/>
          <w:color w:val="0067B1"/>
          <w:sz w:val="40"/>
        </w:rPr>
        <w:t>,</w:t>
      </w:r>
      <w:r>
        <w:rPr>
          <w:rFonts w:ascii="Theinhardt Black" w:hAnsi="Theinhardt Black"/>
          <w:b/>
          <w:color w:val="0067B1"/>
          <w:spacing w:val="-32"/>
          <w:sz w:val="40"/>
        </w:rPr>
        <w:t> </w:t>
      </w:r>
      <w:r>
        <w:rPr>
          <w:rFonts w:ascii="Theinhardt Black" w:hAnsi="Theinhardt Black"/>
          <w:b/>
          <w:color w:val="0067B1"/>
          <w:spacing w:val="-3"/>
          <w:sz w:val="40"/>
        </w:rPr>
        <w:t>8311</w:t>
      </w:r>
      <w:r>
        <w:rPr>
          <w:rFonts w:ascii="Theinhardt Black" w:hAnsi="Theinhardt Black"/>
          <w:b/>
          <w:color w:val="0067B1"/>
          <w:spacing w:val="-8"/>
          <w:sz w:val="40"/>
        </w:rPr>
        <w:t> </w:t>
      </w:r>
      <w:r>
        <w:rPr>
          <w:rFonts w:ascii="Theinhardt Black" w:hAnsi="Theinhardt Black"/>
          <w:b/>
          <w:color w:val="0067B1"/>
          <w:spacing w:val="4"/>
          <w:sz w:val="40"/>
        </w:rPr>
        <w:t>Brütten/ZH</w:t>
      </w:r>
      <w:r>
        <w:rPr>
          <w:rFonts w:ascii="Theinhardt Black" w:hAnsi="Theinhardt Black"/>
          <w:sz w:val="40"/>
        </w:rPr>
      </w:r>
    </w:p>
    <w:p>
      <w:pPr>
        <w:spacing w:line="240" w:lineRule="auto" w:before="11"/>
        <w:rPr>
          <w:rFonts w:ascii="Theinhardt Black" w:hAnsi="Theinhardt Black" w:cs="Theinhardt Black" w:eastAsia="Theinhardt Black"/>
          <w:b/>
          <w:bCs/>
          <w:sz w:val="23"/>
          <w:szCs w:val="23"/>
        </w:rPr>
      </w:pPr>
    </w:p>
    <w:p>
      <w:pPr>
        <w:spacing w:after="0" w:line="240" w:lineRule="auto"/>
        <w:rPr>
          <w:rFonts w:ascii="Theinhardt Black" w:hAnsi="Theinhardt Black" w:cs="Theinhardt Black" w:eastAsia="Theinhardt Black"/>
          <w:sz w:val="23"/>
          <w:szCs w:val="23"/>
        </w:rPr>
        <w:sectPr>
          <w:type w:val="continuous"/>
          <w:pgSz w:w="11910" w:h="16840"/>
          <w:pgMar w:top="860" w:bottom="280" w:left="460" w:right="740"/>
        </w:sectPr>
      </w:pPr>
    </w:p>
    <w:p>
      <w:pPr>
        <w:pStyle w:val="BodyText"/>
        <w:spacing w:line="230" w:lineRule="exact" w:before="52"/>
        <w:ind w:right="0"/>
        <w:jc w:val="both"/>
      </w:pPr>
      <w:r>
        <w:rPr>
          <w:spacing w:val="-2"/>
        </w:rPr>
        <w:t>Ziel</w:t>
      </w:r>
      <w:r>
        <w:rPr>
          <w:spacing w:val="14"/>
        </w:rPr>
        <w:t> </w:t>
      </w:r>
      <w:r>
        <w:rPr>
          <w:spacing w:val="-2"/>
        </w:rPr>
        <w:t>des</w:t>
      </w:r>
      <w:r>
        <w:rPr>
          <w:spacing w:val="14"/>
        </w:rPr>
        <w:t> </w:t>
      </w:r>
      <w:r>
        <w:rPr>
          <w:spacing w:val="-2"/>
        </w:rPr>
        <w:t>Mehrfamilienhauses</w:t>
      </w:r>
      <w:r>
        <w:rPr>
          <w:spacing w:val="14"/>
        </w:rPr>
        <w:t> </w:t>
      </w:r>
      <w:r>
        <w:rPr>
          <w:spacing w:val="-2"/>
        </w:rPr>
        <w:t>(MFH)</w:t>
      </w:r>
      <w:r>
        <w:rPr>
          <w:spacing w:val="14"/>
        </w:rPr>
        <w:t> </w:t>
      </w:r>
      <w:r>
        <w:rPr>
          <w:spacing w:val="-1"/>
        </w:rPr>
        <w:t>in</w:t>
      </w:r>
      <w:r>
        <w:rPr>
          <w:spacing w:val="14"/>
        </w:rPr>
        <w:t> </w:t>
      </w:r>
      <w:r>
        <w:rPr>
          <w:spacing w:val="-2"/>
        </w:rPr>
        <w:t>Brüt-</w:t>
      </w:r>
      <w:r>
        <w:rPr>
          <w:spacing w:val="39"/>
        </w:rPr>
        <w:t> </w:t>
      </w:r>
      <w:r>
        <w:rPr>
          <w:spacing w:val="-2"/>
        </w:rPr>
        <w:t>ten</w:t>
      </w:r>
      <w:r>
        <w:rPr>
          <w:spacing w:val="31"/>
        </w:rPr>
        <w:t> </w:t>
      </w:r>
      <w:r>
        <w:rPr>
          <w:spacing w:val="-2"/>
        </w:rPr>
        <w:t>ist</w:t>
      </w:r>
      <w:r>
        <w:rPr>
          <w:spacing w:val="32"/>
        </w:rPr>
        <w:t> </w:t>
      </w:r>
      <w:r>
        <w:rPr>
          <w:spacing w:val="-2"/>
        </w:rPr>
        <w:t>nicht</w:t>
      </w:r>
      <w:r>
        <w:rPr>
          <w:spacing w:val="31"/>
        </w:rPr>
        <w:t> </w:t>
      </w:r>
      <w:r>
        <w:rPr>
          <w:spacing w:val="-2"/>
        </w:rPr>
        <w:t>eine</w:t>
      </w:r>
      <w:r>
        <w:rPr>
          <w:spacing w:val="32"/>
        </w:rPr>
        <w:t> </w:t>
      </w:r>
      <w:r>
        <w:rPr>
          <w:spacing w:val="-2"/>
        </w:rPr>
        <w:t>möglichst</w:t>
      </w:r>
      <w:r>
        <w:rPr>
          <w:spacing w:val="32"/>
        </w:rPr>
        <w:t> </w:t>
      </w:r>
      <w:r>
        <w:rPr>
          <w:spacing w:val="-2"/>
        </w:rPr>
        <w:t>hohe</w:t>
      </w:r>
      <w:r>
        <w:rPr>
          <w:spacing w:val="31"/>
        </w:rPr>
        <w:t> </w:t>
      </w:r>
      <w:r>
        <w:rPr>
          <w:spacing w:val="-3"/>
        </w:rPr>
        <w:t>Energie-</w:t>
      </w:r>
      <w:r>
        <w:rPr>
          <w:spacing w:val="37"/>
        </w:rPr>
        <w:t> </w:t>
      </w:r>
      <w:r>
        <w:rPr>
          <w:spacing w:val="-3"/>
        </w:rPr>
        <w:t>produktion,</w:t>
      </w:r>
      <w:r>
        <w:rPr>
          <w:spacing w:val="46"/>
        </w:rPr>
        <w:t> </w:t>
      </w:r>
      <w:r>
        <w:rPr>
          <w:spacing w:val="-2"/>
        </w:rPr>
        <w:t>sondern</w:t>
      </w:r>
      <w:r>
        <w:rPr>
          <w:spacing w:val="9"/>
        </w:rPr>
        <w:t> </w:t>
      </w:r>
      <w:r>
        <w:rPr>
          <w:spacing w:val="-1"/>
        </w:rPr>
        <w:t>die</w:t>
      </w:r>
      <w:r>
        <w:rPr>
          <w:spacing w:val="9"/>
        </w:rPr>
        <w:t> </w:t>
      </w:r>
      <w:r>
        <w:rPr>
          <w:spacing w:val="-3"/>
        </w:rPr>
        <w:t>Energieautarkie</w:t>
      </w:r>
      <w:r>
        <w:rPr>
          <w:spacing w:val="43"/>
        </w:rPr>
        <w:t> </w:t>
      </w:r>
      <w:r>
        <w:rPr>
          <w:spacing w:val="-2"/>
        </w:rPr>
        <w:t>und</w:t>
      </w:r>
      <w:r>
        <w:rPr>
          <w:spacing w:val="14"/>
        </w:rPr>
        <w:t> </w:t>
      </w:r>
      <w:r>
        <w:rPr>
          <w:spacing w:val="-2"/>
        </w:rPr>
        <w:t>damit</w:t>
      </w:r>
      <w:r>
        <w:rPr>
          <w:spacing w:val="14"/>
        </w:rPr>
        <w:t> </w:t>
      </w:r>
      <w:r>
        <w:rPr>
          <w:spacing w:val="-1"/>
        </w:rPr>
        <w:t>die</w:t>
      </w:r>
      <w:r>
        <w:rPr>
          <w:spacing w:val="14"/>
        </w:rPr>
        <w:t> </w:t>
      </w:r>
      <w:r>
        <w:rPr>
          <w:spacing w:val="-3"/>
        </w:rPr>
        <w:t>Unabhängigkeit</w:t>
      </w:r>
      <w:r>
        <w:rPr>
          <w:spacing w:val="14"/>
        </w:rPr>
        <w:t> </w:t>
      </w:r>
      <w:r>
        <w:rPr>
          <w:spacing w:val="-2"/>
        </w:rPr>
        <w:t>von</w:t>
      </w:r>
      <w:r>
        <w:rPr>
          <w:spacing w:val="14"/>
        </w:rPr>
        <w:t> </w:t>
      </w:r>
      <w:r>
        <w:rPr>
          <w:spacing w:val="-2"/>
        </w:rPr>
        <w:t>externer</w:t>
      </w:r>
      <w:r>
        <w:rPr>
          <w:spacing w:val="43"/>
        </w:rPr>
        <w:t> </w:t>
      </w:r>
      <w:r>
        <w:rPr>
          <w:spacing w:val="-4"/>
        </w:rPr>
        <w:t>Energiezufuhr.</w:t>
      </w:r>
      <w:r>
        <w:rPr>
          <w:spacing w:val="46"/>
        </w:rPr>
        <w:t> </w:t>
      </w:r>
      <w:r>
        <w:rPr>
          <w:spacing w:val="-3"/>
        </w:rPr>
        <w:t>Dieses</w:t>
      </w:r>
      <w:r>
        <w:rPr>
          <w:spacing w:val="9"/>
        </w:rPr>
        <w:t> </w:t>
      </w:r>
      <w:r>
        <w:rPr>
          <w:spacing w:val="-3"/>
        </w:rPr>
        <w:t>Projekt</w:t>
      </w:r>
      <w:r>
        <w:rPr>
          <w:spacing w:val="9"/>
        </w:rPr>
        <w:t> </w:t>
      </w:r>
      <w:r>
        <w:rPr>
          <w:spacing w:val="-2"/>
        </w:rPr>
        <w:t>der</w:t>
      </w:r>
      <w:r>
        <w:rPr>
          <w:spacing w:val="9"/>
        </w:rPr>
        <w:t> </w:t>
      </w:r>
      <w:r>
        <w:rPr>
          <w:spacing w:val="-3"/>
        </w:rPr>
        <w:t>Umwelt</w:t>
      </w:r>
      <w:r>
        <w:rPr>
          <w:spacing w:val="45"/>
        </w:rPr>
        <w:t> </w:t>
      </w:r>
      <w:r>
        <w:rPr>
          <w:spacing w:val="-3"/>
        </w:rPr>
        <w:t>Arena</w:t>
      </w:r>
      <w:r>
        <w:rPr>
          <w:spacing w:val="5"/>
        </w:rPr>
        <w:t> </w:t>
      </w:r>
      <w:r>
        <w:rPr>
          <w:spacing w:val="-2"/>
        </w:rPr>
        <w:t>Spreitenbach,</w:t>
      </w:r>
      <w:r>
        <w:rPr>
          <w:spacing w:val="43"/>
        </w:rPr>
        <w:t> </w:t>
      </w:r>
      <w:r>
        <w:rPr>
          <w:spacing w:val="-2"/>
        </w:rPr>
        <w:t>welches</w:t>
      </w:r>
      <w:r>
        <w:rPr>
          <w:spacing w:val="5"/>
        </w:rPr>
        <w:t> </w:t>
      </w:r>
      <w:r>
        <w:rPr>
          <w:spacing w:val="-2"/>
        </w:rPr>
        <w:t>sie</w:t>
      </w:r>
      <w:r>
        <w:rPr>
          <w:spacing w:val="5"/>
        </w:rPr>
        <w:t> </w:t>
      </w:r>
      <w:r>
        <w:rPr>
          <w:spacing w:val="-2"/>
        </w:rPr>
        <w:t>gemein-</w:t>
      </w:r>
      <w:r>
        <w:rPr>
          <w:spacing w:val="28"/>
        </w:rPr>
        <w:t> </w:t>
      </w:r>
      <w:r>
        <w:rPr>
          <w:spacing w:val="-2"/>
        </w:rPr>
        <w:t>sam</w:t>
      </w:r>
      <w:r>
        <w:rPr>
          <w:spacing w:val="18"/>
        </w:rPr>
        <w:t> </w:t>
      </w:r>
      <w:r>
        <w:rPr>
          <w:spacing w:val="-1"/>
        </w:rPr>
        <w:t>mit</w:t>
      </w:r>
      <w:r>
        <w:rPr>
          <w:spacing w:val="18"/>
        </w:rPr>
        <w:t> </w:t>
      </w:r>
      <w:r>
        <w:rPr>
          <w:spacing w:val="-2"/>
        </w:rPr>
        <w:t>Ausstellungspartnern</w:t>
      </w:r>
      <w:r>
        <w:rPr>
          <w:spacing w:val="18"/>
        </w:rPr>
        <w:t> </w:t>
      </w:r>
      <w:r>
        <w:rPr>
          <w:spacing w:val="-2"/>
        </w:rPr>
        <w:t>realisiert</w:t>
      </w:r>
      <w:r>
        <w:rPr>
          <w:spacing w:val="18"/>
        </w:rPr>
        <w:t> </w:t>
      </w:r>
      <w:r>
        <w:rPr>
          <w:spacing w:val="-1"/>
        </w:rPr>
        <w:t>hat,</w:t>
      </w:r>
      <w:r>
        <w:rPr>
          <w:spacing w:val="33"/>
        </w:rPr>
        <w:t> </w:t>
      </w:r>
      <w:r>
        <w:rPr>
          <w:spacing w:val="-2"/>
        </w:rPr>
        <w:t>zeigt</w:t>
      </w:r>
      <w:r>
        <w:rPr/>
        <w:t> </w:t>
      </w:r>
      <w:r>
        <w:rPr>
          <w:spacing w:val="-3"/>
        </w:rPr>
        <w:t>auf,</w:t>
      </w:r>
      <w:r>
        <w:rPr>
          <w:spacing w:val="-11"/>
        </w:rPr>
        <w:t> </w:t>
      </w:r>
      <w:r>
        <w:rPr>
          <w:spacing w:val="-2"/>
        </w:rPr>
        <w:t>wie</w:t>
      </w:r>
      <w:r>
        <w:rPr/>
        <w:t> </w:t>
      </w:r>
      <w:r>
        <w:rPr>
          <w:spacing w:val="-2"/>
        </w:rPr>
        <w:t>ein</w:t>
      </w:r>
      <w:r>
        <w:rPr/>
        <w:t> </w:t>
      </w:r>
      <w:r>
        <w:rPr>
          <w:spacing w:val="-2"/>
        </w:rPr>
        <w:t>MFH</w:t>
      </w:r>
      <w:r>
        <w:rPr/>
        <w:t> </w:t>
      </w:r>
      <w:r>
        <w:rPr>
          <w:spacing w:val="-1"/>
        </w:rPr>
        <w:t>mit</w:t>
      </w:r>
      <w:r>
        <w:rPr/>
        <w:t> </w:t>
      </w:r>
      <w:r>
        <w:rPr>
          <w:spacing w:val="-2"/>
        </w:rPr>
        <w:t>neun</w:t>
      </w:r>
      <w:r>
        <w:rPr/>
        <w:t> </w:t>
      </w:r>
      <w:r>
        <w:rPr>
          <w:spacing w:val="-4"/>
        </w:rPr>
        <w:t>Wohnungen</w:t>
      </w:r>
      <w:r>
        <w:rPr>
          <w:spacing w:val="35"/>
        </w:rPr>
        <w:t> </w:t>
      </w:r>
      <w:r>
        <w:rPr>
          <w:spacing w:val="-2"/>
        </w:rPr>
        <w:t>ganzjährig</w:t>
      </w:r>
      <w:r>
        <w:rPr>
          <w:spacing w:val="-12"/>
        </w:rPr>
        <w:t> </w:t>
      </w:r>
      <w:r>
        <w:rPr>
          <w:spacing w:val="-2"/>
        </w:rPr>
        <w:t>ohne</w:t>
      </w:r>
      <w:r>
        <w:rPr>
          <w:spacing w:val="-12"/>
        </w:rPr>
        <w:t> </w:t>
      </w:r>
      <w:r>
        <w:rPr>
          <w:spacing w:val="-2"/>
        </w:rPr>
        <w:t>Netzanschluss</w:t>
      </w:r>
      <w:r>
        <w:rPr>
          <w:spacing w:val="-12"/>
        </w:rPr>
        <w:t> </w:t>
      </w:r>
      <w:r>
        <w:rPr>
          <w:spacing w:val="-3"/>
        </w:rPr>
        <w:t>versorgt</w:t>
      </w:r>
      <w:r>
        <w:rPr>
          <w:spacing w:val="-12"/>
        </w:rPr>
        <w:t> </w:t>
      </w:r>
      <w:r>
        <w:rPr>
          <w:spacing w:val="-2"/>
        </w:rPr>
        <w:t>wer-</w:t>
      </w:r>
      <w:r>
        <w:rPr>
          <w:spacing w:val="31"/>
        </w:rPr>
        <w:t> </w:t>
      </w:r>
      <w:r>
        <w:rPr>
          <w:spacing w:val="-2"/>
        </w:rPr>
        <w:t>den</w:t>
      </w:r>
      <w:r>
        <w:rPr>
          <w:spacing w:val="12"/>
        </w:rPr>
        <w:t> </w:t>
      </w:r>
      <w:r>
        <w:rPr>
          <w:spacing w:val="-2"/>
        </w:rPr>
        <w:t>kann</w:t>
      </w:r>
      <w:r>
        <w:rPr>
          <w:spacing w:val="12"/>
        </w:rPr>
        <w:t> </w:t>
      </w:r>
      <w:r>
        <w:rPr>
          <w:spacing w:val="-2"/>
        </w:rPr>
        <w:t>und</w:t>
      </w:r>
      <w:r>
        <w:rPr>
          <w:spacing w:val="12"/>
        </w:rPr>
        <w:t> </w:t>
      </w:r>
      <w:r>
        <w:rPr>
          <w:spacing w:val="-2"/>
        </w:rPr>
        <w:t>dennoch</w:t>
      </w:r>
      <w:r>
        <w:rPr>
          <w:spacing w:val="12"/>
        </w:rPr>
        <w:t> </w:t>
      </w:r>
      <w:r>
        <w:rPr>
          <w:spacing w:val="-2"/>
        </w:rPr>
        <w:t>hohen</w:t>
      </w:r>
      <w:r>
        <w:rPr>
          <w:spacing w:val="12"/>
        </w:rPr>
        <w:t> </w:t>
      </w:r>
      <w:r>
        <w:rPr>
          <w:spacing w:val="-2"/>
        </w:rPr>
        <w:t>ästhetischen</w:t>
      </w:r>
      <w:r>
        <w:rPr>
          <w:spacing w:val="26"/>
        </w:rPr>
        <w:t> </w:t>
      </w:r>
      <w:r>
        <w:rPr>
          <w:spacing w:val="-3"/>
        </w:rPr>
        <w:t>Ansprüchen</w:t>
      </w:r>
      <w:r>
        <w:rPr>
          <w:spacing w:val="-8"/>
        </w:rPr>
        <w:t> </w:t>
      </w:r>
      <w:r>
        <w:rPr>
          <w:spacing w:val="-2"/>
        </w:rPr>
        <w:t>genügt</w:t>
      </w:r>
      <w:r>
        <w:rPr>
          <w:spacing w:val="-8"/>
        </w:rPr>
        <w:t> </w:t>
      </w:r>
      <w:r>
        <w:rPr>
          <w:spacing w:val="-2"/>
        </w:rPr>
        <w:t>und</w:t>
      </w:r>
      <w:r>
        <w:rPr>
          <w:spacing w:val="-8"/>
        </w:rPr>
        <w:t> </w:t>
      </w:r>
      <w:r>
        <w:rPr>
          <w:spacing w:val="-2"/>
        </w:rPr>
        <w:t>vollen</w:t>
      </w:r>
      <w:r>
        <w:rPr>
          <w:spacing w:val="-8"/>
        </w:rPr>
        <w:t> </w:t>
      </w:r>
      <w:r>
        <w:rPr>
          <w:spacing w:val="-4"/>
        </w:rPr>
        <w:t>Wohnkomfort</w:t>
      </w:r>
    </w:p>
    <w:p>
      <w:pPr>
        <w:spacing w:line="230" w:lineRule="exact" w:before="51"/>
        <w:ind w:left="106" w:right="0" w:firstLine="0"/>
        <w:jc w:val="both"/>
        <w:rPr>
          <w:rFonts w:ascii="Theinhardt Regular Italic" w:hAnsi="Theinhardt Regular Italic" w:cs="Theinhardt Regular Italic" w:eastAsia="Theinhardt Regular Italic"/>
          <w:sz w:val="18"/>
          <w:szCs w:val="18"/>
        </w:rPr>
      </w:pPr>
      <w:r>
        <w:rPr/>
        <w:br w:type="column"/>
      </w:r>
      <w:r>
        <w:rPr>
          <w:rFonts w:ascii="Theinhardt Regular Italic" w:hAnsi="Theinhardt Regular Italic" w:cs="Theinhardt Regular Italic" w:eastAsia="Theinhardt Regular Italic"/>
          <w:i/>
          <w:spacing w:val="-4"/>
          <w:sz w:val="18"/>
          <w:szCs w:val="18"/>
        </w:rPr>
        <w:t>Le</w:t>
      </w:r>
      <w:r>
        <w:rPr>
          <w:rFonts w:ascii="Theinhardt Regular Italic" w:hAnsi="Theinhardt Regular Italic" w:cs="Theinhardt Regular Italic" w:eastAsia="Theinhardt Regular Italic"/>
          <w:i/>
          <w:spacing w:val="31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1"/>
          <w:sz w:val="18"/>
          <w:szCs w:val="18"/>
        </w:rPr>
        <w:t>but</w:t>
      </w:r>
      <w:r>
        <w:rPr>
          <w:rFonts w:ascii="Theinhardt Regular Italic" w:hAnsi="Theinhardt Regular Italic" w:cs="Theinhardt Regular Italic" w:eastAsia="Theinhardt Regular Italic"/>
          <w:i/>
          <w:spacing w:val="32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3"/>
          <w:sz w:val="18"/>
          <w:szCs w:val="18"/>
        </w:rPr>
        <w:t>de</w:t>
      </w:r>
      <w:r>
        <w:rPr>
          <w:rFonts w:ascii="Theinhardt Regular Italic" w:hAnsi="Theinhardt Regular Italic" w:cs="Theinhardt Regular Italic" w:eastAsia="Theinhardt Regular Italic"/>
          <w:i/>
          <w:spacing w:val="31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3"/>
          <w:sz w:val="18"/>
          <w:szCs w:val="18"/>
        </w:rPr>
        <w:t>l’immeuble</w:t>
      </w:r>
      <w:r>
        <w:rPr>
          <w:rFonts w:ascii="Theinhardt Regular Italic" w:hAnsi="Theinhardt Regular Italic" w:cs="Theinhardt Regular Italic" w:eastAsia="Theinhardt Regular Italic"/>
          <w:i/>
          <w:spacing w:val="32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3"/>
          <w:sz w:val="18"/>
          <w:szCs w:val="18"/>
        </w:rPr>
        <w:t>de</w:t>
      </w:r>
      <w:r>
        <w:rPr>
          <w:rFonts w:ascii="Theinhardt Regular Italic" w:hAnsi="Theinhardt Regular Italic" w:cs="Theinhardt Regular Italic" w:eastAsia="Theinhardt Regular Italic"/>
          <w:i/>
          <w:spacing w:val="32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2"/>
          <w:sz w:val="18"/>
          <w:szCs w:val="18"/>
        </w:rPr>
        <w:t>Brütten</w:t>
      </w:r>
      <w:r>
        <w:rPr>
          <w:rFonts w:ascii="Theinhardt Regular Italic" w:hAnsi="Theinhardt Regular Italic" w:cs="Theinhardt Regular Italic" w:eastAsia="Theinhardt Regular Italic"/>
          <w:i/>
          <w:spacing w:val="31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5"/>
          <w:sz w:val="18"/>
          <w:szCs w:val="18"/>
        </w:rPr>
        <w:t>n’est</w:t>
      </w:r>
      <w:r>
        <w:rPr>
          <w:rFonts w:ascii="Theinhardt Regular Italic" w:hAnsi="Theinhardt Regular Italic" w:cs="Theinhardt Regular Italic" w:eastAsia="Theinhardt Regular Italic"/>
          <w:i/>
          <w:spacing w:val="32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2"/>
          <w:sz w:val="18"/>
          <w:szCs w:val="18"/>
        </w:rPr>
        <w:t>pas</w:t>
      </w:r>
      <w:r>
        <w:rPr>
          <w:rFonts w:ascii="Theinhardt Regular Italic" w:hAnsi="Theinhardt Regular Italic" w:cs="Theinhardt Regular Italic" w:eastAsia="Theinhardt Regular Italic"/>
          <w:i/>
          <w:spacing w:val="39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3"/>
          <w:sz w:val="18"/>
          <w:szCs w:val="18"/>
        </w:rPr>
        <w:t>de</w:t>
      </w:r>
      <w:r>
        <w:rPr>
          <w:rFonts w:ascii="Theinhardt Regular Italic" w:hAnsi="Theinhardt Regular Italic" w:cs="Theinhardt Regular Italic" w:eastAsia="Theinhardt Regular Italic"/>
          <w:i/>
          <w:spacing w:val="20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3"/>
          <w:sz w:val="18"/>
          <w:szCs w:val="18"/>
        </w:rPr>
        <w:t>produire</w:t>
      </w:r>
      <w:r>
        <w:rPr>
          <w:rFonts w:ascii="Theinhardt Regular Italic" w:hAnsi="Theinhardt Regular Italic" w:cs="Theinhardt Regular Italic" w:eastAsia="Theinhardt Regular Italic"/>
          <w:i/>
          <w:spacing w:val="20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3"/>
          <w:sz w:val="18"/>
          <w:szCs w:val="18"/>
        </w:rPr>
        <w:t>le</w:t>
      </w:r>
      <w:r>
        <w:rPr>
          <w:rFonts w:ascii="Theinhardt Regular Italic" w:hAnsi="Theinhardt Regular Italic" w:cs="Theinhardt Regular Italic" w:eastAsia="Theinhardt Regular Italic"/>
          <w:i/>
          <w:spacing w:val="20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2"/>
          <w:sz w:val="18"/>
          <w:szCs w:val="18"/>
        </w:rPr>
        <w:t>plus</w:t>
      </w:r>
      <w:r>
        <w:rPr>
          <w:rFonts w:ascii="Theinhardt Regular Italic" w:hAnsi="Theinhardt Regular Italic" w:cs="Theinhardt Regular Italic" w:eastAsia="Theinhardt Regular Italic"/>
          <w:i/>
          <w:spacing w:val="20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4"/>
          <w:sz w:val="18"/>
          <w:szCs w:val="18"/>
        </w:rPr>
        <w:t>d’énergie</w:t>
      </w:r>
      <w:r>
        <w:rPr>
          <w:rFonts w:ascii="Theinhardt Regular Italic" w:hAnsi="Theinhardt Regular Italic" w:cs="Theinhardt Regular Italic" w:eastAsia="Theinhardt Regular Italic"/>
          <w:i/>
          <w:spacing w:val="20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3"/>
          <w:sz w:val="18"/>
          <w:szCs w:val="18"/>
        </w:rPr>
        <w:t>possible,</w:t>
      </w:r>
      <w:r>
        <w:rPr>
          <w:rFonts w:ascii="Theinhardt Regular Italic" w:hAnsi="Theinhardt Regular Italic" w:cs="Theinhardt Regular Italic" w:eastAsia="Theinhardt Regular Italic"/>
          <w:i/>
          <w:spacing w:val="13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2"/>
          <w:sz w:val="18"/>
          <w:szCs w:val="18"/>
        </w:rPr>
        <w:t>mais</w:t>
      </w:r>
      <w:r>
        <w:rPr>
          <w:rFonts w:ascii="Theinhardt Regular Italic" w:hAnsi="Theinhardt Regular Italic" w:cs="Theinhardt Regular Italic" w:eastAsia="Theinhardt Regular Italic"/>
          <w:i/>
          <w:spacing w:val="37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4"/>
          <w:sz w:val="18"/>
          <w:szCs w:val="18"/>
        </w:rPr>
        <w:t>d’être</w:t>
      </w:r>
      <w:r>
        <w:rPr>
          <w:rFonts w:ascii="Theinhardt Regular Italic" w:hAnsi="Theinhardt Regular Italic" w:cs="Theinhardt Regular Italic" w:eastAsia="Theinhardt Regular Italic"/>
          <w:i/>
          <w:spacing w:val="-17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1"/>
          <w:sz w:val="18"/>
          <w:szCs w:val="18"/>
        </w:rPr>
        <w:t>autosuffi</w:t>
      </w:r>
      <w:r>
        <w:rPr>
          <w:rFonts w:ascii="Theinhardt Regular Italic" w:hAnsi="Theinhardt Regular Italic" w:cs="Theinhardt Regular Italic" w:eastAsia="Theinhardt Regular Italic"/>
          <w:i/>
          <w:sz w:val="18"/>
          <w:szCs w:val="18"/>
        </w:rPr>
        <w:t>   </w:t>
      </w:r>
      <w:r>
        <w:rPr>
          <w:rFonts w:ascii="Theinhardt Regular Italic" w:hAnsi="Theinhardt Regular Italic" w:cs="Theinhardt Regular Italic" w:eastAsia="Theinhardt Regular Italic"/>
          <w:i/>
          <w:spacing w:val="18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z w:val="18"/>
          <w:szCs w:val="18"/>
        </w:rPr>
        <w:t>,</w:t>
      </w:r>
      <w:r>
        <w:rPr>
          <w:rFonts w:ascii="Theinhardt Regular Italic" w:hAnsi="Theinhardt Regular Italic" w:cs="Theinhardt Regular Italic" w:eastAsia="Theinhardt Regular Italic"/>
          <w:i/>
          <w:spacing w:val="-24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3"/>
          <w:sz w:val="18"/>
          <w:szCs w:val="18"/>
        </w:rPr>
        <w:t>donc</w:t>
      </w:r>
      <w:r>
        <w:rPr>
          <w:rFonts w:ascii="Theinhardt Regular Italic" w:hAnsi="Theinhardt Regular Italic" w:cs="Theinhardt Regular Italic" w:eastAsia="Theinhardt Regular Italic"/>
          <w:i/>
          <w:spacing w:val="-16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3"/>
          <w:sz w:val="18"/>
          <w:szCs w:val="18"/>
        </w:rPr>
        <w:t>indépendant</w:t>
      </w:r>
      <w:r>
        <w:rPr>
          <w:rFonts w:ascii="Theinhardt Regular Italic" w:hAnsi="Theinhardt Regular Italic" w:cs="Theinhardt Regular Italic" w:eastAsia="Theinhardt Regular Italic"/>
          <w:i/>
          <w:spacing w:val="-16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3"/>
          <w:sz w:val="18"/>
          <w:szCs w:val="18"/>
        </w:rPr>
        <w:t>de</w:t>
      </w:r>
      <w:r>
        <w:rPr>
          <w:rFonts w:ascii="Theinhardt Regular Italic" w:hAnsi="Theinhardt Regular Italic" w:cs="Theinhardt Regular Italic" w:eastAsia="Theinhardt Regular Italic"/>
          <w:i/>
          <w:spacing w:val="-16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3"/>
          <w:sz w:val="18"/>
          <w:szCs w:val="18"/>
        </w:rPr>
        <w:t>tou-</w:t>
      </w:r>
      <w:r>
        <w:rPr>
          <w:rFonts w:ascii="Theinhardt Regular Italic" w:hAnsi="Theinhardt Regular Italic" w:cs="Theinhardt Regular Italic" w:eastAsia="Theinhardt Regular Italic"/>
          <w:i/>
          <w:spacing w:val="29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3"/>
          <w:sz w:val="18"/>
          <w:szCs w:val="18"/>
        </w:rPr>
        <w:t>te</w:t>
      </w:r>
      <w:r>
        <w:rPr>
          <w:rFonts w:ascii="Theinhardt Regular Italic" w:hAnsi="Theinhardt Regular Italic" w:cs="Theinhardt Regular Italic" w:eastAsia="Theinhardt Regular Italic"/>
          <w:i/>
          <w:spacing w:val="1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4"/>
          <w:sz w:val="18"/>
          <w:szCs w:val="18"/>
        </w:rPr>
        <w:t>source</w:t>
      </w:r>
      <w:r>
        <w:rPr>
          <w:rFonts w:ascii="Theinhardt Regular Italic" w:hAnsi="Theinhardt Regular Italic" w:cs="Theinhardt Regular Italic" w:eastAsia="Theinhardt Regular Italic"/>
          <w:i/>
          <w:spacing w:val="1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4"/>
          <w:sz w:val="18"/>
          <w:szCs w:val="18"/>
        </w:rPr>
        <w:t>d’énergie</w:t>
      </w:r>
      <w:r>
        <w:rPr>
          <w:rFonts w:ascii="Theinhardt Regular Italic" w:hAnsi="Theinhardt Regular Italic" w:cs="Theinhardt Regular Italic" w:eastAsia="Theinhardt Regular Italic"/>
          <w:i/>
          <w:spacing w:val="1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4"/>
          <w:sz w:val="18"/>
          <w:szCs w:val="18"/>
        </w:rPr>
        <w:t>externe.</w:t>
      </w:r>
      <w:r>
        <w:rPr>
          <w:rFonts w:ascii="Theinhardt Regular Italic" w:hAnsi="Theinhardt Regular Italic" w:cs="Theinhardt Regular Italic" w:eastAsia="Theinhardt Regular Italic"/>
          <w:i/>
          <w:spacing w:val="-7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3"/>
          <w:sz w:val="18"/>
          <w:szCs w:val="18"/>
        </w:rPr>
        <w:t>Réalisé</w:t>
      </w:r>
      <w:r>
        <w:rPr>
          <w:rFonts w:ascii="Theinhardt Regular Italic" w:hAnsi="Theinhardt Regular Italic" w:cs="Theinhardt Regular Italic" w:eastAsia="Theinhardt Regular Italic"/>
          <w:i/>
          <w:spacing w:val="1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4"/>
          <w:sz w:val="18"/>
          <w:szCs w:val="18"/>
        </w:rPr>
        <w:t>avec</w:t>
      </w:r>
      <w:r>
        <w:rPr>
          <w:rFonts w:ascii="Theinhardt Regular Italic" w:hAnsi="Theinhardt Regular Italic" w:cs="Theinhardt Regular Italic" w:eastAsia="Theinhardt Regular Italic"/>
          <w:i/>
          <w:spacing w:val="1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3"/>
          <w:sz w:val="18"/>
          <w:szCs w:val="18"/>
        </w:rPr>
        <w:t>des</w:t>
      </w:r>
      <w:r>
        <w:rPr>
          <w:rFonts w:ascii="Theinhardt Regular Italic" w:hAnsi="Theinhardt Regular Italic" w:cs="Theinhardt Regular Italic" w:eastAsia="Theinhardt Regular Italic"/>
          <w:i/>
          <w:spacing w:val="43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2"/>
          <w:sz w:val="18"/>
          <w:szCs w:val="18"/>
        </w:rPr>
        <w:t>partenaires</w:t>
      </w:r>
      <w:r>
        <w:rPr>
          <w:rFonts w:ascii="Theinhardt Regular Italic" w:hAnsi="Theinhardt Regular Italic" w:cs="Theinhardt Regular Italic" w:eastAsia="Theinhardt Regular Italic"/>
          <w:i/>
          <w:spacing w:val="-17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3"/>
          <w:sz w:val="18"/>
          <w:szCs w:val="18"/>
        </w:rPr>
        <w:t>d’exposition,</w:t>
      </w:r>
      <w:r>
        <w:rPr>
          <w:rFonts w:ascii="Theinhardt Regular Italic" w:hAnsi="Theinhardt Regular Italic" w:cs="Theinhardt Regular Italic" w:eastAsia="Theinhardt Regular Italic"/>
          <w:i/>
          <w:spacing w:val="-24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3"/>
          <w:sz w:val="18"/>
          <w:szCs w:val="18"/>
        </w:rPr>
        <w:t>le</w:t>
      </w:r>
      <w:r>
        <w:rPr>
          <w:rFonts w:ascii="Theinhardt Regular Italic" w:hAnsi="Theinhardt Regular Italic" w:cs="Theinhardt Regular Italic" w:eastAsia="Theinhardt Regular Italic"/>
          <w:i/>
          <w:spacing w:val="-17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3"/>
          <w:sz w:val="18"/>
          <w:szCs w:val="18"/>
        </w:rPr>
        <w:t>projet</w:t>
      </w:r>
      <w:r>
        <w:rPr>
          <w:rFonts w:ascii="Theinhardt Regular Italic" w:hAnsi="Theinhardt Regular Italic" w:cs="Theinhardt Regular Italic" w:eastAsia="Theinhardt Regular Italic"/>
          <w:i/>
          <w:spacing w:val="-17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3"/>
          <w:sz w:val="18"/>
          <w:szCs w:val="18"/>
        </w:rPr>
        <w:t>de</w:t>
      </w:r>
      <w:r>
        <w:rPr>
          <w:rFonts w:ascii="Theinhardt Regular Italic" w:hAnsi="Theinhardt Regular Italic" w:cs="Theinhardt Regular Italic" w:eastAsia="Theinhardt Regular Italic"/>
          <w:i/>
          <w:spacing w:val="-17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1"/>
          <w:sz w:val="18"/>
          <w:szCs w:val="18"/>
        </w:rPr>
        <w:t>la</w:t>
      </w:r>
      <w:r>
        <w:rPr>
          <w:rFonts w:ascii="Theinhardt Regular Italic" w:hAnsi="Theinhardt Regular Italic" w:cs="Theinhardt Regular Italic" w:eastAsia="Theinhardt Regular Italic"/>
          <w:i/>
          <w:spacing w:val="-17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4"/>
          <w:sz w:val="18"/>
          <w:szCs w:val="18"/>
        </w:rPr>
        <w:t>société</w:t>
      </w:r>
      <w:r>
        <w:rPr>
          <w:rFonts w:ascii="Theinhardt Regular Italic" w:hAnsi="Theinhardt Regular Italic" w:cs="Theinhardt Regular Italic" w:eastAsia="Theinhardt Regular Italic"/>
          <w:i/>
          <w:spacing w:val="29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2"/>
          <w:sz w:val="18"/>
          <w:szCs w:val="18"/>
        </w:rPr>
        <w:t>Umwelt</w:t>
      </w:r>
      <w:r>
        <w:rPr>
          <w:rFonts w:ascii="Theinhardt Regular Italic" w:hAnsi="Theinhardt Regular Italic" w:cs="Theinhardt Regular Italic" w:eastAsia="Theinhardt Regular Italic"/>
          <w:i/>
          <w:spacing w:val="-10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2"/>
          <w:sz w:val="18"/>
          <w:szCs w:val="18"/>
        </w:rPr>
        <w:t>Arena</w:t>
      </w:r>
      <w:r>
        <w:rPr>
          <w:rFonts w:ascii="Theinhardt Regular Italic" w:hAnsi="Theinhardt Regular Italic" w:cs="Theinhardt Regular Italic" w:eastAsia="Theinhardt Regular Italic"/>
          <w:i/>
          <w:spacing w:val="-10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3"/>
          <w:sz w:val="18"/>
          <w:szCs w:val="18"/>
        </w:rPr>
        <w:t>Spreitenbach</w:t>
      </w:r>
      <w:r>
        <w:rPr>
          <w:rFonts w:ascii="Theinhardt Regular Italic" w:hAnsi="Theinhardt Regular Italic" w:cs="Theinhardt Regular Italic" w:eastAsia="Theinhardt Regular Italic"/>
          <w:i/>
          <w:spacing w:val="-10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3"/>
          <w:sz w:val="18"/>
          <w:szCs w:val="18"/>
        </w:rPr>
        <w:t>montre</w:t>
      </w:r>
      <w:r>
        <w:rPr>
          <w:rFonts w:ascii="Theinhardt Regular Italic" w:hAnsi="Theinhardt Regular Italic" w:cs="Theinhardt Regular Italic" w:eastAsia="Theinhardt Regular Italic"/>
          <w:i/>
          <w:spacing w:val="-10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3"/>
          <w:sz w:val="18"/>
          <w:szCs w:val="18"/>
        </w:rPr>
        <w:t>comment</w:t>
      </w:r>
      <w:r>
        <w:rPr>
          <w:rFonts w:ascii="Theinhardt Regular Italic" w:hAnsi="Theinhardt Regular Italic" w:cs="Theinhardt Regular Italic" w:eastAsia="Theinhardt Regular Italic"/>
          <w:i/>
          <w:spacing w:val="28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3"/>
          <w:sz w:val="18"/>
          <w:szCs w:val="18"/>
        </w:rPr>
        <w:t>alimenter</w:t>
      </w:r>
      <w:r>
        <w:rPr>
          <w:rFonts w:ascii="Theinhardt Regular Italic" w:hAnsi="Theinhardt Regular Italic" w:cs="Theinhardt Regular Italic" w:eastAsia="Theinhardt Regular Italic"/>
          <w:i/>
          <w:spacing w:val="4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3"/>
          <w:sz w:val="18"/>
          <w:szCs w:val="18"/>
        </w:rPr>
        <w:t>toute</w:t>
      </w:r>
      <w:r>
        <w:rPr>
          <w:rFonts w:ascii="Theinhardt Regular Italic" w:hAnsi="Theinhardt Regular Italic" w:cs="Theinhardt Regular Italic" w:eastAsia="Theinhardt Regular Italic"/>
          <w:i/>
          <w:spacing w:val="4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3"/>
          <w:sz w:val="18"/>
          <w:szCs w:val="18"/>
        </w:rPr>
        <w:t>l’année</w:t>
      </w:r>
      <w:r>
        <w:rPr>
          <w:rFonts w:ascii="Theinhardt Regular Italic" w:hAnsi="Theinhardt Regular Italic" w:cs="Theinhardt Regular Italic" w:eastAsia="Theinhardt Regular Italic"/>
          <w:i/>
          <w:spacing w:val="4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1"/>
          <w:sz w:val="18"/>
          <w:szCs w:val="18"/>
        </w:rPr>
        <w:t>un</w:t>
      </w:r>
      <w:r>
        <w:rPr>
          <w:rFonts w:ascii="Theinhardt Regular Italic" w:hAnsi="Theinhardt Regular Italic" w:cs="Theinhardt Regular Italic" w:eastAsia="Theinhardt Regular Italic"/>
          <w:i/>
          <w:spacing w:val="4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3"/>
          <w:sz w:val="18"/>
          <w:szCs w:val="18"/>
        </w:rPr>
        <w:t>immeuble</w:t>
      </w:r>
      <w:r>
        <w:rPr>
          <w:rFonts w:ascii="Theinhardt Regular Italic" w:hAnsi="Theinhardt Regular Italic" w:cs="Theinhardt Regular Italic" w:eastAsia="Theinhardt Regular Italic"/>
          <w:i/>
          <w:spacing w:val="4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3"/>
          <w:sz w:val="18"/>
          <w:szCs w:val="18"/>
        </w:rPr>
        <w:t>de</w:t>
      </w:r>
      <w:r>
        <w:rPr>
          <w:rFonts w:ascii="Theinhardt Regular Italic" w:hAnsi="Theinhardt Regular Italic" w:cs="Theinhardt Regular Italic" w:eastAsia="Theinhardt Regular Italic"/>
          <w:i/>
          <w:spacing w:val="4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2"/>
          <w:sz w:val="18"/>
          <w:szCs w:val="18"/>
        </w:rPr>
        <w:t>neuf</w:t>
      </w:r>
      <w:r>
        <w:rPr>
          <w:rFonts w:ascii="Theinhardt Regular Italic" w:hAnsi="Theinhardt Regular Italic" w:cs="Theinhardt Regular Italic" w:eastAsia="Theinhardt Regular Italic"/>
          <w:i/>
          <w:spacing w:val="27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2"/>
          <w:sz w:val="18"/>
          <w:szCs w:val="18"/>
        </w:rPr>
        <w:t>appartements</w:t>
      </w:r>
      <w:r>
        <w:rPr>
          <w:rFonts w:ascii="Theinhardt Regular Italic" w:hAnsi="Theinhardt Regular Italic" w:cs="Theinhardt Regular Italic" w:eastAsia="Theinhardt Regular Italic"/>
          <w:i/>
          <w:spacing w:val="-8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2"/>
          <w:sz w:val="18"/>
          <w:szCs w:val="18"/>
        </w:rPr>
        <w:t>sans</w:t>
      </w:r>
      <w:r>
        <w:rPr>
          <w:rFonts w:ascii="Theinhardt Regular Italic" w:hAnsi="Theinhardt Regular Italic" w:cs="Theinhardt Regular Italic" w:eastAsia="Theinhardt Regular Italic"/>
          <w:i/>
          <w:spacing w:val="-8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4"/>
          <w:sz w:val="18"/>
          <w:szCs w:val="18"/>
        </w:rPr>
        <w:t>connexion</w:t>
      </w:r>
      <w:r>
        <w:rPr>
          <w:rFonts w:ascii="Theinhardt Regular Italic" w:hAnsi="Theinhardt Regular Italic" w:cs="Theinhardt Regular Italic" w:eastAsia="Theinhardt Regular Italic"/>
          <w:i/>
          <w:spacing w:val="-8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z w:val="18"/>
          <w:szCs w:val="18"/>
        </w:rPr>
        <w:t>au</w:t>
      </w:r>
      <w:r>
        <w:rPr>
          <w:rFonts w:ascii="Theinhardt Regular Italic" w:hAnsi="Theinhardt Regular Italic" w:cs="Theinhardt Regular Italic" w:eastAsia="Theinhardt Regular Italic"/>
          <w:i/>
          <w:spacing w:val="-8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5"/>
          <w:sz w:val="18"/>
          <w:szCs w:val="18"/>
        </w:rPr>
        <w:t>secteur,</w:t>
      </w:r>
      <w:r>
        <w:rPr>
          <w:rFonts w:ascii="Theinhardt Regular Italic" w:hAnsi="Theinhardt Regular Italic" w:cs="Theinhardt Regular Italic" w:eastAsia="Theinhardt Regular Italic"/>
          <w:i/>
          <w:spacing w:val="-15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2"/>
          <w:sz w:val="18"/>
          <w:szCs w:val="18"/>
        </w:rPr>
        <w:t>tout</w:t>
      </w:r>
      <w:r>
        <w:rPr>
          <w:rFonts w:ascii="Theinhardt Regular Italic" w:hAnsi="Theinhardt Regular Italic" w:cs="Theinhardt Regular Italic" w:eastAsia="Theinhardt Regular Italic"/>
          <w:i/>
          <w:spacing w:val="25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2"/>
          <w:sz w:val="18"/>
          <w:szCs w:val="18"/>
        </w:rPr>
        <w:t>en</w:t>
      </w:r>
      <w:r>
        <w:rPr>
          <w:rFonts w:ascii="Theinhardt Regular Italic" w:hAnsi="Theinhardt Regular Italic" w:cs="Theinhardt Regular Italic" w:eastAsia="Theinhardt Regular Italic"/>
          <w:i/>
          <w:spacing w:val="-7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3"/>
          <w:sz w:val="18"/>
          <w:szCs w:val="18"/>
        </w:rPr>
        <w:t>répondant</w:t>
      </w:r>
      <w:r>
        <w:rPr>
          <w:rFonts w:ascii="Theinhardt Regular Italic" w:hAnsi="Theinhardt Regular Italic" w:cs="Theinhardt Regular Italic" w:eastAsia="Theinhardt Regular Italic"/>
          <w:i/>
          <w:spacing w:val="-7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z w:val="18"/>
          <w:szCs w:val="18"/>
        </w:rPr>
        <w:t>à</w:t>
      </w:r>
      <w:r>
        <w:rPr>
          <w:rFonts w:ascii="Theinhardt Regular Italic" w:hAnsi="Theinhardt Regular Italic" w:cs="Theinhardt Regular Italic" w:eastAsia="Theinhardt Regular Italic"/>
          <w:i/>
          <w:spacing w:val="-7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3"/>
          <w:sz w:val="18"/>
          <w:szCs w:val="18"/>
        </w:rPr>
        <w:t>des</w:t>
      </w:r>
      <w:r>
        <w:rPr>
          <w:rFonts w:ascii="Theinhardt Regular Italic" w:hAnsi="Theinhardt Regular Italic" w:cs="Theinhardt Regular Italic" w:eastAsia="Theinhardt Regular Italic"/>
          <w:i/>
          <w:spacing w:val="-7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4"/>
          <w:sz w:val="18"/>
          <w:szCs w:val="18"/>
        </w:rPr>
        <w:t>exigences</w:t>
      </w:r>
      <w:r>
        <w:rPr>
          <w:rFonts w:ascii="Theinhardt Regular Italic" w:hAnsi="Theinhardt Regular Italic" w:cs="Theinhardt Regular Italic" w:eastAsia="Theinhardt Regular Italic"/>
          <w:i/>
          <w:spacing w:val="-7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4"/>
          <w:sz w:val="18"/>
          <w:szCs w:val="18"/>
        </w:rPr>
        <w:t>élevées</w:t>
      </w:r>
      <w:r>
        <w:rPr>
          <w:rFonts w:ascii="Theinhardt Regular Italic" w:hAnsi="Theinhardt Regular Italic" w:cs="Theinhardt Regular Italic" w:eastAsia="Theinhardt Regular Italic"/>
          <w:i/>
          <w:spacing w:val="-7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2"/>
          <w:sz w:val="18"/>
          <w:szCs w:val="18"/>
        </w:rPr>
        <w:t>en</w:t>
      </w:r>
      <w:r>
        <w:rPr>
          <w:rFonts w:ascii="Theinhardt Regular Italic" w:hAnsi="Theinhardt Regular Italic" w:cs="Theinhardt Regular Italic" w:eastAsia="Theinhardt Regular Italic"/>
          <w:i/>
          <w:spacing w:val="-7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2"/>
          <w:sz w:val="18"/>
          <w:szCs w:val="18"/>
        </w:rPr>
        <w:t>ma-</w:t>
      </w:r>
      <w:r>
        <w:rPr>
          <w:rFonts w:ascii="Theinhardt Regular Italic" w:hAnsi="Theinhardt Regular Italic" w:cs="Theinhardt Regular Italic" w:eastAsia="Theinhardt Regular Italic"/>
          <w:i/>
          <w:spacing w:val="37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4"/>
          <w:sz w:val="18"/>
          <w:szCs w:val="18"/>
        </w:rPr>
        <w:t>tière d’esthétique </w:t>
      </w:r>
      <w:r>
        <w:rPr>
          <w:rFonts w:ascii="Theinhardt Regular Italic" w:hAnsi="Theinhardt Regular Italic" w:cs="Theinhardt Regular Italic" w:eastAsia="Theinhardt Regular Italic"/>
          <w:i/>
          <w:spacing w:val="-1"/>
          <w:sz w:val="18"/>
          <w:szCs w:val="18"/>
        </w:rPr>
        <w:t>et</w:t>
      </w:r>
      <w:r>
        <w:rPr>
          <w:rFonts w:ascii="Theinhardt Regular Italic" w:hAnsi="Theinhardt Regular Italic" w:cs="Theinhardt Regular Italic" w:eastAsia="Theinhardt Regular Italic"/>
          <w:i/>
          <w:spacing w:val="-4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3"/>
          <w:sz w:val="18"/>
          <w:szCs w:val="18"/>
        </w:rPr>
        <w:t>de</w:t>
      </w:r>
      <w:r>
        <w:rPr>
          <w:rFonts w:ascii="Theinhardt Regular Italic" w:hAnsi="Theinhardt Regular Italic" w:cs="Theinhardt Regular Italic" w:eastAsia="Theinhardt Regular Italic"/>
          <w:i/>
          <w:spacing w:val="-4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2"/>
          <w:sz w:val="18"/>
          <w:szCs w:val="18"/>
        </w:rPr>
        <w:t>confort</w:t>
      </w:r>
      <w:r>
        <w:rPr>
          <w:rFonts w:ascii="Theinhardt Regular Italic" w:hAnsi="Theinhardt Regular Italic" w:cs="Theinhardt Regular Italic" w:eastAsia="Theinhardt Regular Italic"/>
          <w:i/>
          <w:spacing w:val="-4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3"/>
          <w:sz w:val="18"/>
          <w:szCs w:val="18"/>
        </w:rPr>
        <w:t>de</w:t>
      </w:r>
      <w:r>
        <w:rPr>
          <w:rFonts w:ascii="Theinhardt Regular Italic" w:hAnsi="Theinhardt Regular Italic" w:cs="Theinhardt Regular Italic" w:eastAsia="Theinhardt Regular Italic"/>
          <w:i/>
          <w:spacing w:val="-4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3"/>
          <w:sz w:val="18"/>
          <w:szCs w:val="18"/>
        </w:rPr>
        <w:t>vie.</w:t>
      </w:r>
      <w:r>
        <w:rPr>
          <w:rFonts w:ascii="Theinhardt Regular Italic" w:hAnsi="Theinhardt Regular Italic" w:cs="Theinhardt Regular Italic" w:eastAsia="Theinhardt Regular Italic"/>
          <w:sz w:val="18"/>
          <w:szCs w:val="18"/>
        </w:rPr>
      </w:r>
    </w:p>
    <w:p>
      <w:pPr>
        <w:spacing w:line="209" w:lineRule="exact" w:before="9"/>
        <w:ind w:left="333" w:right="0" w:firstLine="0"/>
        <w:jc w:val="left"/>
        <w:rPr>
          <w:rFonts w:ascii="Theinhardt Regular Italic" w:hAnsi="Theinhardt Regular Italic" w:cs="Theinhardt Regular Italic" w:eastAsia="Theinhardt Regular Italic"/>
          <w:sz w:val="18"/>
          <w:szCs w:val="18"/>
        </w:rPr>
      </w:pPr>
      <w:r>
        <w:rPr>
          <w:rFonts w:ascii="Theinhardt Regular Italic" w:hAnsi="Theinhardt Regular Italic"/>
          <w:i/>
          <w:spacing w:val="-3"/>
          <w:sz w:val="18"/>
        </w:rPr>
        <w:t>La</w:t>
      </w:r>
      <w:r>
        <w:rPr>
          <w:rFonts w:ascii="Theinhardt Regular Italic" w:hAnsi="Theinhardt Regular Italic"/>
          <w:i/>
          <w:spacing w:val="14"/>
          <w:sz w:val="18"/>
        </w:rPr>
        <w:t> </w:t>
      </w:r>
      <w:r>
        <w:rPr>
          <w:rFonts w:ascii="Theinhardt Regular Italic" w:hAnsi="Theinhardt Regular Italic"/>
          <w:i/>
          <w:spacing w:val="-2"/>
          <w:sz w:val="18"/>
        </w:rPr>
        <w:t>façade</w:t>
      </w:r>
      <w:r>
        <w:rPr>
          <w:rFonts w:ascii="Theinhardt Regular Italic" w:hAnsi="Theinhardt Regular Italic"/>
          <w:i/>
          <w:spacing w:val="14"/>
          <w:sz w:val="18"/>
        </w:rPr>
        <w:t> </w:t>
      </w:r>
      <w:r>
        <w:rPr>
          <w:rFonts w:ascii="Theinhardt Regular Italic" w:hAnsi="Theinhardt Regular Italic"/>
          <w:i/>
          <w:spacing w:val="-2"/>
          <w:sz w:val="18"/>
        </w:rPr>
        <w:t>se</w:t>
      </w:r>
      <w:r>
        <w:rPr>
          <w:rFonts w:ascii="Theinhardt Regular Italic" w:hAnsi="Theinhardt Regular Italic"/>
          <w:i/>
          <w:spacing w:val="14"/>
          <w:sz w:val="18"/>
        </w:rPr>
        <w:t> </w:t>
      </w:r>
      <w:r>
        <w:rPr>
          <w:rFonts w:ascii="Theinhardt Regular Italic" w:hAnsi="Theinhardt Regular Italic"/>
          <w:i/>
          <w:spacing w:val="-3"/>
          <w:sz w:val="18"/>
        </w:rPr>
        <w:t>compose</w:t>
      </w:r>
      <w:r>
        <w:rPr>
          <w:rFonts w:ascii="Theinhardt Regular Italic" w:hAnsi="Theinhardt Regular Italic"/>
          <w:i/>
          <w:spacing w:val="14"/>
          <w:sz w:val="18"/>
        </w:rPr>
        <w:t> </w:t>
      </w:r>
      <w:r>
        <w:rPr>
          <w:rFonts w:ascii="Theinhardt Regular Italic" w:hAnsi="Theinhardt Regular Italic"/>
          <w:i/>
          <w:spacing w:val="-3"/>
          <w:sz w:val="18"/>
        </w:rPr>
        <w:t>de</w:t>
      </w:r>
      <w:r>
        <w:rPr>
          <w:rFonts w:ascii="Theinhardt Regular Italic" w:hAnsi="Theinhardt Regular Italic"/>
          <w:i/>
          <w:spacing w:val="14"/>
          <w:sz w:val="18"/>
        </w:rPr>
        <w:t> </w:t>
      </w:r>
      <w:r>
        <w:rPr>
          <w:rFonts w:ascii="Theinhardt Regular Italic" w:hAnsi="Theinhardt Regular Italic"/>
          <w:i/>
          <w:spacing w:val="-3"/>
          <w:sz w:val="18"/>
        </w:rPr>
        <w:t>cellules</w:t>
      </w:r>
      <w:r>
        <w:rPr>
          <w:rFonts w:ascii="Theinhardt Regular Italic" w:hAnsi="Theinhardt Regular Italic"/>
          <w:i/>
          <w:spacing w:val="14"/>
          <w:sz w:val="18"/>
        </w:rPr>
        <w:t> </w:t>
      </w:r>
      <w:r>
        <w:rPr>
          <w:rFonts w:ascii="Theinhardt Regular Italic" w:hAnsi="Theinhardt Regular Italic"/>
          <w:i/>
          <w:sz w:val="18"/>
        </w:rPr>
        <w:t>à</w:t>
      </w:r>
      <w:r>
        <w:rPr>
          <w:rFonts w:ascii="Theinhardt Regular Italic" w:hAnsi="Theinhardt Regular Italic"/>
          <w:i/>
          <w:spacing w:val="14"/>
          <w:sz w:val="18"/>
        </w:rPr>
        <w:t> </w:t>
      </w:r>
      <w:r>
        <w:rPr>
          <w:rFonts w:ascii="Theinhardt Regular Italic" w:hAnsi="Theinhardt Regular Italic"/>
          <w:i/>
          <w:spacing w:val="-3"/>
          <w:sz w:val="18"/>
        </w:rPr>
        <w:t>cou-</w:t>
      </w:r>
      <w:r>
        <w:rPr>
          <w:rFonts w:ascii="Theinhardt Regular Italic" w:hAnsi="Theinhardt Regular Italic"/>
          <w:sz w:val="18"/>
        </w:rPr>
      </w:r>
    </w:p>
    <w:p>
      <w:pPr>
        <w:spacing w:before="76"/>
        <w:ind w:left="106" w:right="0" w:firstLine="0"/>
        <w:jc w:val="left"/>
        <w:rPr>
          <w:rFonts w:ascii="Theinhardt Black" w:hAnsi="Theinhardt Black" w:cs="Theinhardt Black" w:eastAsia="Theinhardt Black"/>
          <w:sz w:val="14"/>
          <w:szCs w:val="14"/>
        </w:rPr>
      </w:pPr>
      <w:r>
        <w:rPr/>
        <w:br w:type="column"/>
      </w:r>
      <w:r>
        <w:rPr>
          <w:rFonts w:ascii="Theinhardt Black"/>
          <w:b/>
          <w:sz w:val="14"/>
        </w:rPr>
        <w:t>Technische </w:t>
      </w:r>
      <w:r>
        <w:rPr>
          <w:rFonts w:ascii="Theinhardt Black"/>
          <w:b/>
          <w:spacing w:val="1"/>
          <w:sz w:val="14"/>
        </w:rPr>
        <w:t>Daten</w:t>
      </w:r>
      <w:r>
        <w:rPr>
          <w:rFonts w:ascii="Theinhardt Black"/>
          <w:sz w:val="14"/>
        </w:rPr>
      </w:r>
    </w:p>
    <w:p>
      <w:pPr>
        <w:spacing w:line="240" w:lineRule="auto" w:before="10"/>
        <w:rPr>
          <w:rFonts w:ascii="Theinhardt Black" w:hAnsi="Theinhardt Black" w:cs="Theinhardt Black" w:eastAsia="Theinhardt Black"/>
          <w:b/>
          <w:bCs/>
          <w:sz w:val="2"/>
          <w:szCs w:val="2"/>
        </w:rPr>
      </w:pPr>
    </w:p>
    <w:p>
      <w:pPr>
        <w:spacing w:line="20" w:lineRule="atLeast"/>
        <w:ind w:left="106" w:right="0" w:firstLine="0"/>
        <w:rPr>
          <w:rFonts w:ascii="Theinhardt Black" w:hAnsi="Theinhardt Black" w:cs="Theinhardt Black" w:eastAsia="Theinhardt Black"/>
          <w:sz w:val="2"/>
          <w:szCs w:val="2"/>
        </w:rPr>
      </w:pPr>
      <w:r>
        <w:rPr>
          <w:rFonts w:ascii="Theinhardt Black" w:hAnsi="Theinhardt Black" w:cs="Theinhardt Black" w:eastAsia="Theinhardt Black"/>
          <w:sz w:val="2"/>
          <w:szCs w:val="2"/>
        </w:rPr>
        <w:pict>
          <v:group style="width:167.25pt;height:.45pt;mso-position-horizontal-relative:char;mso-position-vertical-relative:line" coordorigin="0,0" coordsize="3345,9">
            <v:group style="position:absolute;left:21;top:4;width:3311;height:2" coordorigin="21,4" coordsize="3311,2">
              <v:shape style="position:absolute;left:21;top:4;width:3311;height:2" coordorigin="21,4" coordsize="3311,0" path="m21,4l3332,4e" filled="false" stroked="true" strokeweight=".425pt" strokecolor="#000000">
                <v:path arrowok="t"/>
                <v:stroke dashstyle="dash"/>
              </v:shape>
            </v:group>
            <v:group style="position:absolute;left:4;top:4;width:2;height:2" coordorigin="4,4" coordsize="2,2">
              <v:shape style="position:absolute;left:4;top:4;width:2;height:2" coordorigin="4,4" coordsize="0,0" path="m4,4l4,4e" filled="false" stroked="true" strokeweight=".425pt" strokecolor="#000000">
                <v:path arrowok="t"/>
              </v:shape>
            </v:group>
            <v:group style="position:absolute;left:3341;top:4;width:2;height:2" coordorigin="3341,4" coordsize="2,2">
              <v:shape style="position:absolute;left:3341;top:4;width:2;height:2" coordorigin="3341,4" coordsize="0,0" path="m3341,4l3341,4e" filled="false" stroked="true" strokeweight=".425pt" strokecolor="#000000">
                <v:path arrowok="t"/>
              </v:shape>
            </v:group>
          </v:group>
        </w:pict>
      </w:r>
      <w:r>
        <w:rPr>
          <w:rFonts w:ascii="Theinhardt Black" w:hAnsi="Theinhardt Black" w:cs="Theinhardt Black" w:eastAsia="Theinhardt Black"/>
          <w:sz w:val="2"/>
          <w:szCs w:val="2"/>
        </w:rPr>
      </w:r>
    </w:p>
    <w:p>
      <w:pPr>
        <w:spacing w:line="172" w:lineRule="exact" w:before="20"/>
        <w:ind w:left="106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/>
          <w:b/>
          <w:spacing w:val="1"/>
          <w:sz w:val="14"/>
        </w:rPr>
        <w:t>Wärmedämmung</w:t>
      </w:r>
      <w:r>
        <w:rPr>
          <w:rFonts w:ascii="Theinhardt Bold" w:hAnsi="Theinhardt Bold"/>
          <w:sz w:val="14"/>
        </w:rPr>
      </w:r>
    </w:p>
    <w:p>
      <w:pPr>
        <w:tabs>
          <w:tab w:pos="1319" w:val="left" w:leader="none"/>
        </w:tabs>
        <w:spacing w:line="160" w:lineRule="exact" w:before="0"/>
        <w:ind w:left="106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z w:val="14"/>
        </w:rPr>
        <w:t>Wand:</w:t>
        <w:tab/>
      </w:r>
      <w:r>
        <w:rPr>
          <w:rFonts w:ascii="Theinhardt Regular"/>
          <w:spacing w:val="-1"/>
          <w:sz w:val="14"/>
        </w:rPr>
        <w:t>28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cm</w:t>
      </w:r>
      <w:r>
        <w:rPr>
          <w:rFonts w:ascii="Theinhardt Regular"/>
          <w:sz w:val="14"/>
        </w:rPr>
        <w:t>   </w:t>
      </w:r>
      <w:r>
        <w:rPr>
          <w:rFonts w:ascii="Theinhardt Regular"/>
          <w:spacing w:val="36"/>
          <w:sz w:val="14"/>
        </w:rPr>
        <w:t> </w:t>
      </w:r>
      <w:r>
        <w:rPr>
          <w:rFonts w:ascii="Theinhardt Regular"/>
          <w:spacing w:val="1"/>
          <w:sz w:val="14"/>
        </w:rPr>
        <w:t>U-Wert:</w:t>
      </w:r>
      <w:r>
        <w:rPr>
          <w:rFonts w:ascii="Theinhardt Regular"/>
          <w:sz w:val="14"/>
        </w:rPr>
        <w:t>   </w:t>
      </w:r>
      <w:r>
        <w:rPr>
          <w:rFonts w:ascii="Theinhardt Regular"/>
          <w:spacing w:val="22"/>
          <w:sz w:val="14"/>
        </w:rPr>
        <w:t> </w:t>
      </w:r>
      <w:r>
        <w:rPr>
          <w:rFonts w:ascii="Theinhardt Regular"/>
          <w:spacing w:val="-7"/>
          <w:sz w:val="14"/>
        </w:rPr>
        <w:t>0.11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2"/>
          <w:sz w:val="14"/>
        </w:rPr>
        <w:t>W/m</w:t>
      </w:r>
      <w:r>
        <w:rPr>
          <w:rFonts w:ascii="Theinhardt Regular"/>
          <w:spacing w:val="-2"/>
          <w:position w:val="5"/>
          <w:sz w:val="8"/>
        </w:rPr>
        <w:t>2</w:t>
      </w:r>
      <w:r>
        <w:rPr>
          <w:rFonts w:ascii="Theinhardt Regular"/>
          <w:spacing w:val="-2"/>
          <w:sz w:val="14"/>
        </w:rPr>
        <w:t>K</w:t>
      </w:r>
    </w:p>
    <w:p>
      <w:pPr>
        <w:tabs>
          <w:tab w:pos="1322" w:val="left" w:leader="none"/>
        </w:tabs>
        <w:spacing w:line="160" w:lineRule="exact" w:before="0"/>
        <w:ind w:left="106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pacing w:val="1"/>
          <w:sz w:val="14"/>
        </w:rPr>
        <w:t>Dach:</w:t>
        <w:tab/>
      </w:r>
      <w:r>
        <w:rPr>
          <w:rFonts w:ascii="Theinhardt Regular"/>
          <w:spacing w:val="-3"/>
          <w:sz w:val="14"/>
        </w:rPr>
        <w:t>31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cm</w:t>
      </w:r>
      <w:r>
        <w:rPr>
          <w:rFonts w:ascii="Theinhardt Regular"/>
          <w:sz w:val="14"/>
        </w:rPr>
        <w:t>   </w:t>
      </w:r>
      <w:r>
        <w:rPr>
          <w:rFonts w:ascii="Theinhardt Regular"/>
          <w:spacing w:val="36"/>
          <w:sz w:val="14"/>
        </w:rPr>
        <w:t> </w:t>
      </w:r>
      <w:r>
        <w:rPr>
          <w:rFonts w:ascii="Theinhardt Regular"/>
          <w:spacing w:val="1"/>
          <w:sz w:val="14"/>
        </w:rPr>
        <w:t>U-Wert:</w:t>
      </w:r>
      <w:r>
        <w:rPr>
          <w:rFonts w:ascii="Theinhardt Regular"/>
          <w:sz w:val="14"/>
        </w:rPr>
        <w:t>   </w:t>
      </w:r>
      <w:r>
        <w:rPr>
          <w:rFonts w:ascii="Theinhardt Regular"/>
          <w:spacing w:val="16"/>
          <w:sz w:val="14"/>
        </w:rPr>
        <w:t> </w:t>
      </w:r>
      <w:r>
        <w:rPr>
          <w:rFonts w:ascii="Theinhardt Regular"/>
          <w:spacing w:val="-5"/>
          <w:sz w:val="14"/>
        </w:rPr>
        <w:t>0.15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2"/>
          <w:sz w:val="14"/>
        </w:rPr>
        <w:t>W/m</w:t>
      </w:r>
      <w:r>
        <w:rPr>
          <w:rFonts w:ascii="Theinhardt Regular"/>
          <w:spacing w:val="-2"/>
          <w:position w:val="5"/>
          <w:sz w:val="8"/>
        </w:rPr>
        <w:t>2</w:t>
      </w:r>
      <w:r>
        <w:rPr>
          <w:rFonts w:ascii="Theinhardt Regular"/>
          <w:spacing w:val="-2"/>
          <w:sz w:val="14"/>
        </w:rPr>
        <w:t>K</w:t>
      </w:r>
    </w:p>
    <w:p>
      <w:pPr>
        <w:tabs>
          <w:tab w:pos="1201" w:val="left" w:leader="none"/>
        </w:tabs>
        <w:spacing w:line="207" w:lineRule="auto" w:before="5"/>
        <w:ind w:left="106" w:right="293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pacing w:val="1"/>
          <w:sz w:val="14"/>
        </w:rPr>
        <w:t>Boden:</w:t>
        <w:tab/>
      </w:r>
      <w:r>
        <w:rPr>
          <w:rFonts w:ascii="Theinhardt Regular"/>
          <w:spacing w:val="-4"/>
          <w:sz w:val="14"/>
        </w:rPr>
        <w:t>14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cm</w:t>
      </w:r>
      <w:r>
        <w:rPr>
          <w:rFonts w:ascii="Theinhardt Regular"/>
          <w:sz w:val="14"/>
        </w:rPr>
        <w:t>   </w:t>
      </w:r>
      <w:r>
        <w:rPr>
          <w:rFonts w:ascii="Theinhardt Regular"/>
          <w:spacing w:val="36"/>
          <w:sz w:val="14"/>
        </w:rPr>
        <w:t> </w:t>
      </w:r>
      <w:r>
        <w:rPr>
          <w:rFonts w:ascii="Theinhardt Regular"/>
          <w:spacing w:val="1"/>
          <w:sz w:val="14"/>
        </w:rPr>
        <w:t>U-Wert:</w:t>
      </w:r>
      <w:r>
        <w:rPr>
          <w:rFonts w:ascii="Theinhardt Regular"/>
          <w:sz w:val="14"/>
        </w:rPr>
        <w:t>    </w:t>
      </w:r>
      <w:r>
        <w:rPr>
          <w:rFonts w:ascii="Theinhardt Regular"/>
          <w:spacing w:val="-1"/>
          <w:sz w:val="14"/>
        </w:rPr>
        <w:t>0.24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2"/>
          <w:sz w:val="14"/>
        </w:rPr>
        <w:t>W/m</w:t>
      </w:r>
      <w:r>
        <w:rPr>
          <w:rFonts w:ascii="Theinhardt Regular"/>
          <w:spacing w:val="-2"/>
          <w:position w:val="5"/>
          <w:sz w:val="8"/>
        </w:rPr>
        <w:t>2</w:t>
      </w:r>
      <w:r>
        <w:rPr>
          <w:rFonts w:ascii="Theinhardt Regular"/>
          <w:spacing w:val="-2"/>
          <w:sz w:val="14"/>
        </w:rPr>
        <w:t>K</w:t>
      </w:r>
      <w:r>
        <w:rPr>
          <w:rFonts w:ascii="Theinhardt Regular"/>
          <w:spacing w:val="22"/>
          <w:sz w:val="14"/>
        </w:rPr>
        <w:t> </w:t>
      </w:r>
      <w:r>
        <w:rPr>
          <w:rFonts w:ascii="Theinhardt Regular"/>
          <w:spacing w:val="1"/>
          <w:sz w:val="14"/>
        </w:rPr>
        <w:t>Fenster:</w:t>
        <w:tab/>
        <w:t>dreifach</w:t>
      </w:r>
      <w:r>
        <w:rPr>
          <w:rFonts w:ascii="Theinhardt Regular"/>
          <w:sz w:val="14"/>
        </w:rPr>
        <w:t>   </w:t>
      </w:r>
      <w:r>
        <w:rPr>
          <w:rFonts w:ascii="Theinhardt Regular"/>
          <w:spacing w:val="36"/>
          <w:sz w:val="14"/>
        </w:rPr>
        <w:t> </w:t>
      </w:r>
      <w:r>
        <w:rPr>
          <w:rFonts w:ascii="Theinhardt Regular"/>
          <w:spacing w:val="1"/>
          <w:sz w:val="14"/>
        </w:rPr>
        <w:t>U-Wert:</w:t>
      </w:r>
      <w:r>
        <w:rPr>
          <w:rFonts w:ascii="Theinhardt Regular"/>
          <w:sz w:val="14"/>
        </w:rPr>
        <w:t>    </w:t>
      </w:r>
      <w:r>
        <w:rPr>
          <w:rFonts w:ascii="Theinhardt Regular"/>
          <w:spacing w:val="-1"/>
          <w:sz w:val="14"/>
        </w:rPr>
        <w:t>0.81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2"/>
          <w:sz w:val="14"/>
        </w:rPr>
        <w:t>W/m</w:t>
      </w:r>
      <w:r>
        <w:rPr>
          <w:rFonts w:ascii="Theinhardt Regular"/>
          <w:spacing w:val="-2"/>
          <w:position w:val="5"/>
          <w:sz w:val="8"/>
        </w:rPr>
        <w:t>2</w:t>
      </w:r>
      <w:r>
        <w:rPr>
          <w:rFonts w:ascii="Theinhardt Regular"/>
          <w:spacing w:val="-2"/>
          <w:sz w:val="14"/>
        </w:rPr>
        <w:t>K</w:t>
      </w:r>
    </w:p>
    <w:p>
      <w:pPr>
        <w:spacing w:line="172" w:lineRule="exact" w:before="38"/>
        <w:ind w:left="106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Bold"/>
          <w:b/>
          <w:spacing w:val="2"/>
          <w:sz w:val="14"/>
        </w:rPr>
        <w:t>Energiebedarf</w:t>
      </w:r>
      <w:r>
        <w:rPr>
          <w:rFonts w:ascii="Theinhardt Bold"/>
          <w:b/>
          <w:sz w:val="14"/>
        </w:rPr>
        <w:t> </w:t>
      </w:r>
      <w:r>
        <w:rPr>
          <w:rFonts w:ascii="Theinhardt Regular"/>
          <w:spacing w:val="1"/>
          <w:sz w:val="14"/>
        </w:rPr>
        <w:t>(Nutzenergie)</w:t>
      </w:r>
    </w:p>
    <w:p>
      <w:pPr>
        <w:tabs>
          <w:tab w:pos="1519" w:val="left" w:leader="none"/>
          <w:tab w:pos="1817" w:val="left" w:leader="none"/>
          <w:tab w:pos="2388" w:val="left" w:leader="none"/>
          <w:tab w:pos="2418" w:val="left" w:leader="none"/>
          <w:tab w:pos="2775" w:val="left" w:leader="none"/>
          <w:tab w:pos="2824" w:val="left" w:leader="none"/>
        </w:tabs>
        <w:spacing w:line="207" w:lineRule="auto" w:before="6"/>
        <w:ind w:left="106" w:right="333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EBF: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-2"/>
          <w:sz w:val="14"/>
          <w:szCs w:val="14"/>
        </w:rPr>
        <w:t>1’328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-1"/>
          <w:sz w:val="14"/>
          <w:szCs w:val="14"/>
        </w:rPr>
        <w:t>m</w:t>
      </w:r>
      <w:r>
        <w:rPr>
          <w:rFonts w:ascii="Theinhardt Regular" w:hAnsi="Theinhardt Regular" w:cs="Theinhardt Regular" w:eastAsia="Theinhardt Regular"/>
          <w:spacing w:val="-1"/>
          <w:position w:val="5"/>
          <w:sz w:val="8"/>
          <w:szCs w:val="8"/>
        </w:rPr>
        <w:t>2</w:t>
        <w:tab/>
      </w:r>
      <w:r>
        <w:rPr>
          <w:rFonts w:ascii="Theinhardt Regular" w:hAnsi="Theinhardt Regular" w:cs="Theinhardt Regular" w:eastAsia="Theinhardt Regular"/>
          <w:sz w:val="14"/>
          <w:szCs w:val="14"/>
        </w:rPr>
        <w:t>kWh/m</w:t>
      </w:r>
      <w:r>
        <w:rPr>
          <w:rFonts w:ascii="Theinhardt Regular" w:hAnsi="Theinhardt Regular" w:cs="Theinhardt Regular" w:eastAsia="Theinhardt Regular"/>
          <w:position w:val="5"/>
          <w:sz w:val="8"/>
          <w:szCs w:val="8"/>
        </w:rPr>
        <w:t>2</w:t>
      </w:r>
      <w:r>
        <w:rPr>
          <w:rFonts w:ascii="Theinhardt Regular" w:hAnsi="Theinhardt Regular" w:cs="Theinhardt Regular" w:eastAsia="Theinhardt Regular"/>
          <w:sz w:val="14"/>
          <w:szCs w:val="14"/>
        </w:rPr>
        <w:t>a</w:t>
        <w:tab/>
        <w:tab/>
        <w:t>%</w:t>
        <w:tab/>
        <w:tab/>
        <w:t>kWh/a</w:t>
      </w:r>
      <w:r>
        <w:rPr>
          <w:rFonts w:ascii="Theinhardt Regular" w:hAnsi="Theinhardt Regular" w:cs="Theinhardt Regular" w:eastAsia="Theinhardt Regular"/>
          <w:spacing w:val="30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w w:val="95"/>
          <w:sz w:val="14"/>
          <w:szCs w:val="14"/>
        </w:rPr>
        <w:t>Heizung:</w:t>
        <w:tab/>
        <w:tab/>
      </w:r>
      <w:r>
        <w:rPr>
          <w:rFonts w:ascii="Theinhardt Regular" w:hAnsi="Theinhardt Regular" w:cs="Theinhardt Regular" w:eastAsia="Theinhardt Regular"/>
          <w:spacing w:val="-5"/>
          <w:sz w:val="14"/>
          <w:szCs w:val="14"/>
        </w:rPr>
        <w:t>14.7</w:t>
        <w:tab/>
      </w:r>
      <w:r>
        <w:rPr>
          <w:rFonts w:ascii="Theinhardt Regular" w:hAnsi="Theinhardt Regular" w:cs="Theinhardt Regular" w:eastAsia="Theinhardt Regular"/>
          <w:spacing w:val="-4"/>
          <w:sz w:val="14"/>
          <w:szCs w:val="14"/>
        </w:rPr>
        <w:t>16</w:t>
        <w:tab/>
      </w:r>
      <w:r>
        <w:rPr>
          <w:rFonts w:ascii="Theinhardt Regular" w:hAnsi="Theinhardt Regular" w:cs="Theinhardt Regular" w:eastAsia="Theinhardt Regular"/>
          <w:spacing w:val="-1"/>
          <w:sz w:val="14"/>
          <w:szCs w:val="14"/>
        </w:rPr>
        <w:t>19’500</w:t>
      </w:r>
    </w:p>
    <w:p>
      <w:pPr>
        <w:tabs>
          <w:tab w:pos="1819" w:val="left" w:leader="none"/>
          <w:tab w:pos="2387" w:val="left" w:leader="none"/>
          <w:tab w:pos="2766" w:val="left" w:leader="none"/>
        </w:tabs>
        <w:spacing w:line="154" w:lineRule="exact" w:before="0"/>
        <w:ind w:left="106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Warmwasser:</w:t>
        <w:tab/>
      </w:r>
      <w:r>
        <w:rPr>
          <w:rFonts w:ascii="Theinhardt Regular" w:hAnsi="Theinhardt Regular" w:cs="Theinhardt Regular" w:eastAsia="Theinhardt Regular"/>
          <w:spacing w:val="-5"/>
          <w:sz w:val="14"/>
          <w:szCs w:val="14"/>
        </w:rPr>
        <w:t>17.3</w:t>
        <w:tab/>
      </w:r>
      <w:r>
        <w:rPr>
          <w:rFonts w:ascii="Theinhardt Regular" w:hAnsi="Theinhardt Regular" w:cs="Theinhardt Regular" w:eastAsia="Theinhardt Regular"/>
          <w:spacing w:val="-4"/>
          <w:sz w:val="14"/>
          <w:szCs w:val="14"/>
        </w:rPr>
        <w:t>19</w:t>
        <w:tab/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23’000</w:t>
      </w:r>
    </w:p>
    <w:p>
      <w:pPr>
        <w:tabs>
          <w:tab w:pos="1805" w:val="left" w:leader="none"/>
          <w:tab w:pos="2382" w:val="left" w:leader="none"/>
          <w:tab w:pos="2778" w:val="left" w:leader="none"/>
        </w:tabs>
        <w:spacing w:line="160" w:lineRule="exact" w:before="0"/>
        <w:ind w:left="106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 w:cs="Theinhardt Regular" w:eastAsia="Theinhardt Regular"/>
          <w:spacing w:val="2"/>
          <w:sz w:val="14"/>
          <w:szCs w:val="14"/>
        </w:rPr>
        <w:t>Elektrizität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WP:</w:t>
        <w:tab/>
      </w:r>
      <w:r>
        <w:rPr>
          <w:rFonts w:ascii="Theinhardt Regular" w:hAnsi="Theinhardt Regular" w:cs="Theinhardt Regular" w:eastAsia="Theinhardt Regular"/>
          <w:spacing w:val="-1"/>
          <w:sz w:val="14"/>
          <w:szCs w:val="14"/>
        </w:rPr>
        <w:t>24.4</w:t>
        <w:tab/>
      </w:r>
      <w:r>
        <w:rPr>
          <w:rFonts w:ascii="Theinhardt Regular" w:hAnsi="Theinhardt Regular" w:cs="Theinhardt Regular" w:eastAsia="Theinhardt Regular"/>
          <w:spacing w:val="-1"/>
          <w:w w:val="95"/>
          <w:sz w:val="14"/>
          <w:szCs w:val="14"/>
        </w:rPr>
        <w:t>27</w:t>
        <w:tab/>
      </w:r>
      <w:r>
        <w:rPr>
          <w:rFonts w:ascii="Theinhardt Regular" w:hAnsi="Theinhardt Regular" w:cs="Theinhardt Regular" w:eastAsia="Theinhardt Regular"/>
          <w:spacing w:val="-1"/>
          <w:sz w:val="14"/>
          <w:szCs w:val="14"/>
        </w:rPr>
        <w:t>32’400</w:t>
      </w:r>
    </w:p>
    <w:p>
      <w:pPr>
        <w:tabs>
          <w:tab w:pos="1801" w:val="left" w:leader="none"/>
          <w:tab w:pos="2380" w:val="left" w:leader="none"/>
          <w:tab w:pos="2773" w:val="left" w:leader="none"/>
        </w:tabs>
        <w:spacing w:line="160" w:lineRule="exact" w:before="0"/>
        <w:ind w:left="10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 w:cs="Theinhardt Regular" w:eastAsia="Theinhardt Regular"/>
          <w:spacing w:val="2"/>
          <w:sz w:val="14"/>
          <w:szCs w:val="14"/>
        </w:rPr>
        <w:t>Elektrizität:</w:t>
        <w:tab/>
      </w:r>
      <w:r>
        <w:rPr>
          <w:rFonts w:ascii="Theinhardt Regular" w:hAnsi="Theinhardt Regular" w:cs="Theinhardt Regular" w:eastAsia="Theinhardt Regular"/>
          <w:sz w:val="14"/>
          <w:szCs w:val="14"/>
        </w:rPr>
        <w:t>33.6</w:t>
        <w:tab/>
        <w:t>38</w:t>
        <w:tab/>
        <w:t>44’560</w:t>
      </w:r>
    </w:p>
    <w:p>
      <w:pPr>
        <w:tabs>
          <w:tab w:pos="1792" w:val="left" w:leader="none"/>
          <w:tab w:pos="2299" w:val="left" w:leader="none"/>
        </w:tabs>
        <w:spacing w:line="172" w:lineRule="exact" w:before="0"/>
        <w:ind w:left="107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 w:cs="Theinhardt Bold" w:eastAsia="Theinhardt Bold"/>
          <w:b/>
          <w:bCs/>
          <w:spacing w:val="1"/>
          <w:sz w:val="14"/>
          <w:szCs w:val="14"/>
        </w:rPr>
        <w:t>Gesamt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pacing w:val="2"/>
          <w:sz w:val="14"/>
          <w:szCs w:val="14"/>
        </w:rPr>
        <w:t>EB:</w:t>
        <w:tab/>
      </w:r>
      <w:r>
        <w:rPr>
          <w:rFonts w:ascii="Theinhardt Bold" w:hAnsi="Theinhardt Bold" w:cs="Theinhardt Bold" w:eastAsia="Theinhardt Bold"/>
          <w:b/>
          <w:bCs/>
          <w:w w:val="95"/>
          <w:sz w:val="14"/>
          <w:szCs w:val="14"/>
        </w:rPr>
        <w:t>90.0</w:t>
        <w:tab/>
      </w:r>
      <w:r>
        <w:rPr>
          <w:rFonts w:ascii="Theinhardt Regular" w:hAnsi="Theinhardt Regular" w:cs="Theinhardt Regular" w:eastAsia="Theinhardt Regular"/>
          <w:spacing w:val="-1"/>
          <w:sz w:val="14"/>
          <w:szCs w:val="14"/>
        </w:rPr>
        <w:t>100</w:t>
      </w:r>
      <w:r>
        <w:rPr>
          <w:rFonts w:ascii="Theinhardt Regular" w:hAnsi="Theinhardt Regular" w:cs="Theinhardt Regular" w:eastAsia="Theinhardt Regular"/>
          <w:sz w:val="14"/>
          <w:szCs w:val="14"/>
        </w:rPr>
        <w:t>    </w:t>
      </w:r>
      <w:r>
        <w:rPr>
          <w:rFonts w:ascii="Theinhardt Bold" w:hAnsi="Theinhardt Bold" w:cs="Theinhardt Bold" w:eastAsia="Theinhardt Bold"/>
          <w:b/>
          <w:bCs/>
          <w:spacing w:val="-2"/>
          <w:sz w:val="14"/>
          <w:szCs w:val="14"/>
        </w:rPr>
        <w:t>119’460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spacing w:before="32"/>
        <w:ind w:left="107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spacing w:val="1"/>
          <w:sz w:val="14"/>
        </w:rPr>
        <w:t>Energieversorgung</w:t>
      </w:r>
      <w:r>
        <w:rPr>
          <w:rFonts w:ascii="Theinhardt Bold"/>
          <w:sz w:val="14"/>
        </w:rPr>
      </w:r>
    </w:p>
    <w:p>
      <w:pPr>
        <w:spacing w:after="0"/>
        <w:jc w:val="left"/>
        <w:rPr>
          <w:rFonts w:ascii="Theinhardt Bold" w:hAnsi="Theinhardt Bold" w:cs="Theinhardt Bold" w:eastAsia="Theinhardt Bold"/>
          <w:sz w:val="14"/>
          <w:szCs w:val="14"/>
        </w:rPr>
        <w:sectPr>
          <w:type w:val="continuous"/>
          <w:pgSz w:w="11910" w:h="16840"/>
          <w:pgMar w:top="860" w:bottom="280" w:left="460" w:right="740"/>
          <w:cols w:num="3" w:equalWidth="0">
            <w:col w:w="3463" w:space="109"/>
            <w:col w:w="3453" w:space="119"/>
            <w:col w:w="3566"/>
          </w:cols>
        </w:sectPr>
      </w:pPr>
    </w:p>
    <w:p>
      <w:pPr>
        <w:pStyle w:val="BodyText"/>
        <w:spacing w:line="142" w:lineRule="exact" w:before="9"/>
        <w:ind w:right="0"/>
        <w:jc w:val="left"/>
      </w:pPr>
      <w:r>
        <w:rPr>
          <w:spacing w:val="-2"/>
        </w:rPr>
        <w:t>garantiert.</w:t>
      </w:r>
    </w:p>
    <w:p>
      <w:pPr>
        <w:spacing w:line="142" w:lineRule="exact" w:before="9"/>
        <w:ind w:left="106" w:right="0" w:firstLine="0"/>
        <w:jc w:val="left"/>
        <w:rPr>
          <w:rFonts w:ascii="Theinhardt Regular Italic" w:hAnsi="Theinhardt Regular Italic" w:cs="Theinhardt Regular Italic" w:eastAsia="Theinhardt Regular Italic"/>
          <w:sz w:val="18"/>
          <w:szCs w:val="18"/>
        </w:rPr>
      </w:pPr>
      <w:r>
        <w:rPr/>
        <w:br w:type="column"/>
      </w:r>
      <w:r>
        <w:rPr>
          <w:rFonts w:ascii="Theinhardt Regular Italic" w:hAnsi="Theinhardt Regular Italic"/>
          <w:i/>
          <w:spacing w:val="-3"/>
          <w:sz w:val="18"/>
        </w:rPr>
        <w:t>che</w:t>
      </w:r>
      <w:r>
        <w:rPr>
          <w:rFonts w:ascii="Theinhardt Regular Italic" w:hAnsi="Theinhardt Regular Italic"/>
          <w:i/>
          <w:sz w:val="18"/>
        </w:rPr>
        <w:t> </w:t>
      </w:r>
      <w:r>
        <w:rPr>
          <w:rFonts w:ascii="Theinhardt Regular Italic" w:hAnsi="Theinhardt Regular Italic"/>
          <w:i/>
          <w:spacing w:val="2"/>
          <w:sz w:val="18"/>
        </w:rPr>
        <w:t> </w:t>
      </w:r>
      <w:r>
        <w:rPr>
          <w:rFonts w:ascii="Theinhardt Regular Italic" w:hAnsi="Theinhardt Regular Italic"/>
          <w:i/>
          <w:spacing w:val="-3"/>
          <w:sz w:val="18"/>
        </w:rPr>
        <w:t>mince,</w:t>
      </w:r>
      <w:r>
        <w:rPr>
          <w:rFonts w:ascii="Theinhardt Regular Italic" w:hAnsi="Theinhardt Regular Italic"/>
          <w:i/>
          <w:spacing w:val="43"/>
          <w:sz w:val="18"/>
        </w:rPr>
        <w:t> </w:t>
      </w:r>
      <w:r>
        <w:rPr>
          <w:rFonts w:ascii="Theinhardt Regular Italic" w:hAnsi="Theinhardt Regular Italic"/>
          <w:i/>
          <w:spacing w:val="-3"/>
          <w:sz w:val="18"/>
        </w:rPr>
        <w:t>dont</w:t>
      </w:r>
      <w:r>
        <w:rPr>
          <w:rFonts w:ascii="Theinhardt Regular Italic" w:hAnsi="Theinhardt Regular Italic"/>
          <w:i/>
          <w:sz w:val="18"/>
        </w:rPr>
        <w:t> </w:t>
      </w:r>
      <w:r>
        <w:rPr>
          <w:rFonts w:ascii="Theinhardt Regular Italic" w:hAnsi="Theinhardt Regular Italic"/>
          <w:i/>
          <w:spacing w:val="2"/>
          <w:sz w:val="18"/>
        </w:rPr>
        <w:t> </w:t>
      </w:r>
      <w:r>
        <w:rPr>
          <w:rFonts w:ascii="Theinhardt Regular Italic" w:hAnsi="Theinhardt Regular Italic"/>
          <w:i/>
          <w:spacing w:val="-1"/>
          <w:sz w:val="18"/>
        </w:rPr>
        <w:t>la</w:t>
      </w:r>
      <w:r>
        <w:rPr>
          <w:rFonts w:ascii="Theinhardt Regular Italic" w:hAnsi="Theinhardt Regular Italic"/>
          <w:i/>
          <w:sz w:val="18"/>
        </w:rPr>
        <w:t> </w:t>
      </w:r>
      <w:r>
        <w:rPr>
          <w:rFonts w:ascii="Theinhardt Regular Italic" w:hAnsi="Theinhardt Regular Italic"/>
          <w:i/>
          <w:spacing w:val="2"/>
          <w:sz w:val="18"/>
        </w:rPr>
        <w:t> </w:t>
      </w:r>
      <w:r>
        <w:rPr>
          <w:rFonts w:ascii="Theinhardt Regular Italic" w:hAnsi="Theinhardt Regular Italic"/>
          <w:i/>
          <w:spacing w:val="-3"/>
          <w:sz w:val="18"/>
        </w:rPr>
        <w:t>couleur</w:t>
      </w:r>
      <w:r>
        <w:rPr>
          <w:rFonts w:ascii="Theinhardt Regular Italic" w:hAnsi="Theinhardt Regular Italic"/>
          <w:i/>
          <w:sz w:val="18"/>
        </w:rPr>
        <w:t> </w:t>
      </w:r>
      <w:r>
        <w:rPr>
          <w:rFonts w:ascii="Theinhardt Regular Italic" w:hAnsi="Theinhardt Regular Italic"/>
          <w:i/>
          <w:spacing w:val="2"/>
          <w:sz w:val="18"/>
        </w:rPr>
        <w:t> </w:t>
      </w:r>
      <w:r>
        <w:rPr>
          <w:rFonts w:ascii="Theinhardt Regular Italic" w:hAnsi="Theinhardt Regular Italic"/>
          <w:i/>
          <w:spacing w:val="-2"/>
          <w:sz w:val="18"/>
        </w:rPr>
        <w:t>est</w:t>
      </w:r>
      <w:r>
        <w:rPr>
          <w:rFonts w:ascii="Theinhardt Regular Italic" w:hAnsi="Theinhardt Regular Italic"/>
          <w:i/>
          <w:sz w:val="18"/>
        </w:rPr>
        <w:t> </w:t>
      </w:r>
      <w:r>
        <w:rPr>
          <w:rFonts w:ascii="Theinhardt Regular Italic" w:hAnsi="Theinhardt Regular Italic"/>
          <w:i/>
          <w:spacing w:val="2"/>
          <w:sz w:val="18"/>
        </w:rPr>
        <w:t> </w:t>
      </w:r>
      <w:r>
        <w:rPr>
          <w:rFonts w:ascii="Theinhardt Regular Italic" w:hAnsi="Theinhardt Regular Italic"/>
          <w:i/>
          <w:spacing w:val="-2"/>
          <w:sz w:val="18"/>
        </w:rPr>
        <w:t>assortie</w:t>
      </w:r>
      <w:r>
        <w:rPr>
          <w:rFonts w:ascii="Theinhardt Regular Italic" w:hAnsi="Theinhardt Regular Italic"/>
          <w:i/>
          <w:sz w:val="18"/>
        </w:rPr>
        <w:t> </w:t>
      </w:r>
      <w:r>
        <w:rPr>
          <w:rFonts w:ascii="Theinhardt Regular Italic" w:hAnsi="Theinhardt Regular Italic"/>
          <w:i/>
          <w:spacing w:val="2"/>
          <w:sz w:val="18"/>
        </w:rPr>
        <w:t> </w:t>
      </w:r>
      <w:r>
        <w:rPr>
          <w:rFonts w:ascii="Theinhardt Regular Italic" w:hAnsi="Theinhardt Regular Italic"/>
          <w:i/>
          <w:sz w:val="18"/>
        </w:rPr>
        <w:t>à</w:t>
      </w:r>
      <w:r>
        <w:rPr>
          <w:rFonts w:ascii="Theinhardt Regular Italic" w:hAnsi="Theinhardt Regular Italic"/>
          <w:sz w:val="18"/>
        </w:rPr>
      </w:r>
    </w:p>
    <w:p>
      <w:pPr>
        <w:spacing w:line="146" w:lineRule="exact" w:before="0"/>
        <w:ind w:left="106" w:right="0" w:firstLine="0"/>
        <w:jc w:val="left"/>
        <w:rPr>
          <w:rFonts w:ascii="Theinhardt Regular" w:hAnsi="Theinhardt Regular" w:cs="Theinhardt Regular" w:eastAsia="Theinhardt Regular"/>
          <w:sz w:val="8"/>
          <w:szCs w:val="8"/>
        </w:rPr>
      </w:pPr>
      <w:r>
        <w:rPr/>
        <w:br w:type="column"/>
      </w:r>
      <w:r>
        <w:rPr>
          <w:rFonts w:ascii="Theinhardt Regular"/>
          <w:spacing w:val="1"/>
          <w:sz w:val="14"/>
        </w:rPr>
        <w:t>Eigen-EV: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33"/>
          <w:sz w:val="14"/>
        </w:rPr>
        <w:t> </w:t>
      </w:r>
      <w:r>
        <w:rPr>
          <w:rFonts w:ascii="Theinhardt Regular"/>
          <w:spacing w:val="-1"/>
          <w:sz w:val="14"/>
        </w:rPr>
        <w:t>m</w:t>
      </w:r>
      <w:r>
        <w:rPr>
          <w:rFonts w:ascii="Theinhardt Regular"/>
          <w:spacing w:val="-1"/>
          <w:position w:val="5"/>
          <w:sz w:val="8"/>
        </w:rPr>
        <w:t>2</w:t>
      </w:r>
      <w:r>
        <w:rPr>
          <w:rFonts w:ascii="Theinhardt Regular"/>
          <w:sz w:val="8"/>
        </w:rPr>
      </w:r>
    </w:p>
    <w:p>
      <w:pPr>
        <w:tabs>
          <w:tab w:pos="1387" w:val="left" w:leader="none"/>
          <w:tab w:pos="1793" w:val="left" w:leader="none"/>
        </w:tabs>
        <w:spacing w:line="146" w:lineRule="exact" w:before="0"/>
        <w:ind w:left="106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/>
        <w:br w:type="column"/>
      </w:r>
      <w:r>
        <w:rPr>
          <w:rFonts w:ascii="Theinhardt Regular"/>
          <w:sz w:val="14"/>
        </w:rPr>
        <w:t>kWp </w:t>
      </w:r>
      <w:r>
        <w:rPr>
          <w:rFonts w:ascii="Theinhardt Regular"/>
          <w:spacing w:val="37"/>
          <w:sz w:val="14"/>
        </w:rPr>
        <w:t> </w:t>
      </w:r>
      <w:r>
        <w:rPr>
          <w:rFonts w:ascii="Theinhardt Regular"/>
          <w:sz w:val="14"/>
        </w:rPr>
        <w:t>kWh/m</w:t>
      </w:r>
      <w:r>
        <w:rPr>
          <w:rFonts w:ascii="Theinhardt Regular"/>
          <w:position w:val="5"/>
          <w:sz w:val="8"/>
        </w:rPr>
        <w:t>2</w:t>
      </w:r>
      <w:r>
        <w:rPr>
          <w:rFonts w:ascii="Theinhardt Regular"/>
          <w:sz w:val="14"/>
        </w:rPr>
        <w:t>a</w:t>
        <w:tab/>
        <w:t>%</w:t>
        <w:tab/>
        <w:t>kWh/a</w:t>
      </w:r>
    </w:p>
    <w:p>
      <w:pPr>
        <w:spacing w:after="0" w:line="146" w:lineRule="exact"/>
        <w:jc w:val="left"/>
        <w:rPr>
          <w:rFonts w:ascii="Theinhardt Regular" w:hAnsi="Theinhardt Regular" w:cs="Theinhardt Regular" w:eastAsia="Theinhardt Regular"/>
          <w:sz w:val="14"/>
          <w:szCs w:val="14"/>
        </w:rPr>
        <w:sectPr>
          <w:type w:val="continuous"/>
          <w:pgSz w:w="11910" w:h="16840"/>
          <w:pgMar w:top="860" w:bottom="280" w:left="460" w:right="740"/>
          <w:cols w:num="4" w:equalWidth="0">
            <w:col w:w="884" w:space="2688"/>
            <w:col w:w="3453" w:space="119"/>
            <w:col w:w="987" w:space="43"/>
            <w:col w:w="2536"/>
          </w:cols>
        </w:sectPr>
      </w:pPr>
    </w:p>
    <w:p>
      <w:pPr>
        <w:pStyle w:val="BodyText"/>
        <w:tabs>
          <w:tab w:pos="1321" w:val="left" w:leader="none"/>
        </w:tabs>
        <w:spacing w:line="230" w:lineRule="exact" w:before="79"/>
        <w:ind w:right="0" w:firstLine="226"/>
        <w:jc w:val="right"/>
      </w:pPr>
      <w:r>
        <w:rPr>
          <w:spacing w:val="-2"/>
        </w:rPr>
        <w:t>Die</w:t>
      </w:r>
      <w:r>
        <w:rPr/>
        <w:t> </w:t>
      </w:r>
      <w:r>
        <w:rPr>
          <w:spacing w:val="5"/>
        </w:rPr>
        <w:t> </w:t>
      </w:r>
      <w:r>
        <w:rPr>
          <w:spacing w:val="-3"/>
        </w:rPr>
        <w:t>Fassade</w:t>
      </w:r>
      <w:r>
        <w:rPr/>
        <w:t> </w:t>
      </w:r>
      <w:r>
        <w:rPr>
          <w:spacing w:val="5"/>
        </w:rPr>
        <w:t> </w:t>
      </w:r>
      <w:r>
        <w:rPr>
          <w:spacing w:val="-2"/>
        </w:rPr>
        <w:t>besteht</w:t>
      </w:r>
      <w:r>
        <w:rPr/>
        <w:t> </w:t>
      </w:r>
      <w:r>
        <w:rPr>
          <w:spacing w:val="5"/>
        </w:rPr>
        <w:t> </w:t>
      </w:r>
      <w:r>
        <w:rPr>
          <w:spacing w:val="-2"/>
        </w:rPr>
        <w:t>aus</w:t>
      </w:r>
      <w:r>
        <w:rPr/>
        <w:t> </w:t>
      </w:r>
      <w:r>
        <w:rPr>
          <w:spacing w:val="5"/>
        </w:rPr>
        <w:t> </w:t>
      </w:r>
      <w:r>
        <w:rPr>
          <w:spacing w:val="-2"/>
        </w:rPr>
        <w:t>Dünnschicht-</w:t>
      </w:r>
      <w:r>
        <w:rPr>
          <w:spacing w:val="30"/>
        </w:rPr>
        <w:t> </w:t>
      </w:r>
      <w:r>
        <w:rPr>
          <w:spacing w:val="-2"/>
        </w:rPr>
        <w:t>modulen,</w:t>
      </w:r>
      <w:r>
        <w:rPr>
          <w:spacing w:val="8"/>
        </w:rPr>
        <w:t> </w:t>
      </w:r>
      <w:r>
        <w:rPr>
          <w:spacing w:val="-1"/>
        </w:rPr>
        <w:t>die</w:t>
      </w:r>
      <w:r>
        <w:rPr>
          <w:spacing w:val="19"/>
        </w:rPr>
        <w:t> </w:t>
      </w:r>
      <w:r>
        <w:rPr>
          <w:spacing w:val="-2"/>
        </w:rPr>
        <w:t>farblich</w:t>
      </w:r>
      <w:r>
        <w:rPr>
          <w:spacing w:val="19"/>
        </w:rPr>
        <w:t> </w:t>
      </w:r>
      <w:r>
        <w:rPr>
          <w:spacing w:val="-2"/>
        </w:rPr>
        <w:t>auf</w:t>
      </w:r>
      <w:r>
        <w:rPr>
          <w:spacing w:val="19"/>
        </w:rPr>
        <w:t> </w:t>
      </w:r>
      <w:r>
        <w:rPr>
          <w:spacing w:val="-1"/>
        </w:rPr>
        <w:t>die</w:t>
      </w:r>
      <w:r>
        <w:rPr>
          <w:spacing w:val="19"/>
        </w:rPr>
        <w:t> </w:t>
      </w:r>
      <w:r>
        <w:rPr>
          <w:spacing w:val="-3"/>
        </w:rPr>
        <w:t>Holzinnenver-</w:t>
      </w:r>
      <w:r>
        <w:rPr>
          <w:spacing w:val="41"/>
        </w:rPr>
        <w:t> </w:t>
      </w:r>
      <w:r>
        <w:rPr>
          <w:spacing w:val="-2"/>
        </w:rPr>
        <w:t>kleidung</w:t>
      </w:r>
      <w:r>
        <w:rPr>
          <w:spacing w:val="43"/>
        </w:rPr>
        <w:t> </w:t>
      </w:r>
      <w:r>
        <w:rPr>
          <w:spacing w:val="-2"/>
        </w:rPr>
        <w:t>abgestimmt</w:t>
      </w:r>
      <w:r>
        <w:rPr>
          <w:spacing w:val="44"/>
        </w:rPr>
        <w:t> </w:t>
      </w:r>
      <w:r>
        <w:rPr>
          <w:spacing w:val="-2"/>
        </w:rPr>
        <w:t>sind.</w:t>
      </w:r>
      <w:r>
        <w:rPr>
          <w:spacing w:val="33"/>
        </w:rPr>
        <w:t> </w:t>
      </w:r>
      <w:r>
        <w:rPr>
          <w:spacing w:val="-2"/>
        </w:rPr>
        <w:t>Hinzu</w:t>
      </w:r>
      <w:r>
        <w:rPr>
          <w:spacing w:val="44"/>
        </w:rPr>
        <w:t> </w:t>
      </w:r>
      <w:r>
        <w:rPr>
          <w:spacing w:val="-4"/>
        </w:rPr>
        <w:t>kommen</w:t>
      </w:r>
      <w:r>
        <w:rPr>
          <w:spacing w:val="25"/>
        </w:rPr>
        <w:t> </w:t>
      </w:r>
      <w:r>
        <w:rPr>
          <w:spacing w:val="-2"/>
        </w:rPr>
        <w:t>hocheffi</w:t>
        <w:tab/>
        <w:t>monokristalline</w:t>
      </w:r>
      <w:r>
        <w:rPr/>
        <w:t>  </w:t>
      </w:r>
      <w:r>
        <w:rPr>
          <w:spacing w:val="9"/>
        </w:rPr>
        <w:t> </w:t>
      </w:r>
      <w:r>
        <w:rPr>
          <w:spacing w:val="-3"/>
        </w:rPr>
        <w:t>PV-Module</w:t>
      </w:r>
      <w:r>
        <w:rPr>
          <w:spacing w:val="43"/>
        </w:rPr>
        <w:t> </w:t>
      </w:r>
      <w:r>
        <w:rPr>
          <w:spacing w:val="-2"/>
        </w:rPr>
        <w:t>auf</w:t>
      </w:r>
      <w:r>
        <w:rPr>
          <w:spacing w:val="3"/>
        </w:rPr>
        <w:t> </w:t>
      </w:r>
      <w:r>
        <w:rPr>
          <w:spacing w:val="-2"/>
        </w:rPr>
        <w:t>dem</w:t>
      </w:r>
      <w:r>
        <w:rPr>
          <w:spacing w:val="3"/>
        </w:rPr>
        <w:t> </w:t>
      </w:r>
      <w:r>
        <w:rPr>
          <w:spacing w:val="-2"/>
        </w:rPr>
        <w:t>Dach.</w:t>
      </w:r>
      <w:r>
        <w:rPr>
          <w:spacing w:val="-7"/>
        </w:rPr>
        <w:t> </w:t>
      </w:r>
      <w:r>
        <w:rPr>
          <w:spacing w:val="-2"/>
        </w:rPr>
        <w:t>Insgesamt</w:t>
      </w:r>
      <w:r>
        <w:rPr>
          <w:spacing w:val="3"/>
        </w:rPr>
        <w:t> </w:t>
      </w:r>
      <w:r>
        <w:rPr>
          <w:spacing w:val="-2"/>
        </w:rPr>
        <w:t>soll</w:t>
      </w:r>
      <w:r>
        <w:rPr>
          <w:spacing w:val="3"/>
        </w:rPr>
        <w:t> </w:t>
      </w:r>
      <w:r>
        <w:rPr>
          <w:spacing w:val="-1"/>
        </w:rPr>
        <w:t>die</w:t>
      </w:r>
      <w:r>
        <w:rPr>
          <w:spacing w:val="3"/>
        </w:rPr>
        <w:t> </w:t>
      </w:r>
      <w:r>
        <w:rPr>
          <w:spacing w:val="-2"/>
        </w:rPr>
        <w:t>126.5</w:t>
      </w:r>
      <w:r>
        <w:rPr>
          <w:spacing w:val="3"/>
        </w:rPr>
        <w:t> </w:t>
      </w:r>
      <w:r>
        <w:rPr>
          <w:spacing w:val="-2"/>
        </w:rPr>
        <w:t>kW</w:t>
      </w:r>
      <w:r>
        <w:rPr>
          <w:spacing w:val="29"/>
        </w:rPr>
        <w:t> </w:t>
      </w:r>
      <w:r>
        <w:rPr>
          <w:spacing w:val="-3"/>
        </w:rPr>
        <w:t>starke</w:t>
      </w:r>
      <w:r>
        <w:rPr>
          <w:spacing w:val="-18"/>
        </w:rPr>
        <w:t> </w:t>
      </w:r>
      <w:r>
        <w:rPr>
          <w:spacing w:val="-3"/>
        </w:rPr>
        <w:t>PV-Anlage</w:t>
      </w:r>
      <w:r>
        <w:rPr>
          <w:spacing w:val="-18"/>
        </w:rPr>
        <w:t> </w:t>
      </w:r>
      <w:r>
        <w:rPr>
          <w:spacing w:val="-2"/>
        </w:rPr>
        <w:t>92’000</w:t>
      </w:r>
      <w:r>
        <w:rPr>
          <w:spacing w:val="-18"/>
        </w:rPr>
        <w:t> </w:t>
      </w:r>
      <w:r>
        <w:rPr>
          <w:spacing w:val="-4"/>
        </w:rPr>
        <w:t>kWh/a</w:t>
      </w:r>
      <w:r>
        <w:rPr>
          <w:spacing w:val="-18"/>
        </w:rPr>
        <w:t> </w:t>
      </w:r>
      <w:r>
        <w:rPr>
          <w:spacing w:val="-3"/>
        </w:rPr>
        <w:t>produzieren.</w:t>
      </w:r>
      <w:r>
        <w:rPr>
          <w:spacing w:val="19"/>
        </w:rPr>
        <w:t> </w:t>
      </w:r>
      <w:r>
        <w:rPr>
          <w:spacing w:val="-1"/>
        </w:rPr>
        <w:t>Mit</w:t>
      </w:r>
      <w:r>
        <w:rPr>
          <w:spacing w:val="-12"/>
        </w:rPr>
        <w:t> </w:t>
      </w:r>
      <w:r>
        <w:rPr>
          <w:spacing w:val="-2"/>
        </w:rPr>
        <w:t>dem</w:t>
      </w:r>
      <w:r>
        <w:rPr>
          <w:spacing w:val="-12"/>
        </w:rPr>
        <w:t> </w:t>
      </w:r>
      <w:r>
        <w:rPr>
          <w:spacing w:val="-3"/>
        </w:rPr>
        <w:t>Überschuss</w:t>
      </w:r>
      <w:r>
        <w:rPr>
          <w:spacing w:val="-12"/>
        </w:rPr>
        <w:t> </w:t>
      </w:r>
      <w:r>
        <w:rPr>
          <w:spacing w:val="-2"/>
        </w:rPr>
        <w:t>kann</w:t>
      </w:r>
      <w:r>
        <w:rPr>
          <w:spacing w:val="-12"/>
        </w:rPr>
        <w:t> </w:t>
      </w:r>
      <w:r>
        <w:rPr>
          <w:spacing w:val="-2"/>
        </w:rPr>
        <w:t>ein</w:t>
      </w:r>
      <w:r>
        <w:rPr>
          <w:spacing w:val="-12"/>
        </w:rPr>
        <w:t> </w:t>
      </w:r>
      <w:r>
        <w:rPr>
          <w:spacing w:val="-2"/>
        </w:rPr>
        <w:t>gemeinsam</w:t>
      </w:r>
      <w:r>
        <w:rPr>
          <w:spacing w:val="35"/>
        </w:rPr>
        <w:t> </w:t>
      </w:r>
      <w:r>
        <w:rPr>
          <w:spacing w:val="-1"/>
        </w:rPr>
        <w:t>genutztes</w:t>
      </w:r>
      <w:r>
        <w:rPr>
          <w:spacing w:val="-15"/>
        </w:rPr>
        <w:t> </w:t>
      </w:r>
      <w:r>
        <w:rPr>
          <w:spacing w:val="-3"/>
        </w:rPr>
        <w:t>Elektrofahrzeug</w:t>
      </w:r>
      <w:r>
        <w:rPr>
          <w:spacing w:val="-15"/>
        </w:rPr>
        <w:t> </w:t>
      </w:r>
      <w:r>
        <w:rPr>
          <w:spacing w:val="-2"/>
        </w:rPr>
        <w:t>betrieben</w:t>
      </w:r>
      <w:r>
        <w:rPr>
          <w:spacing w:val="-15"/>
        </w:rPr>
        <w:t> </w:t>
      </w:r>
      <w:r>
        <w:rPr>
          <w:spacing w:val="-3"/>
        </w:rPr>
        <w:t>werden.</w:t>
      </w:r>
      <w:r>
        <w:rPr>
          <w:spacing w:val="39"/>
        </w:rPr>
        <w:t> </w:t>
      </w:r>
      <w:r>
        <w:rPr>
          <w:spacing w:val="-2"/>
        </w:rPr>
        <w:t>Zum</w:t>
      </w:r>
      <w:r>
        <w:rPr>
          <w:spacing w:val="32"/>
        </w:rPr>
        <w:t> </w:t>
      </w:r>
      <w:r>
        <w:rPr>
          <w:spacing w:val="-3"/>
        </w:rPr>
        <w:t>Konzept</w:t>
      </w:r>
      <w:r>
        <w:rPr>
          <w:spacing w:val="33"/>
        </w:rPr>
        <w:t> </w:t>
      </w:r>
      <w:r>
        <w:rPr>
          <w:spacing w:val="-1"/>
        </w:rPr>
        <w:t>gehört</w:t>
      </w:r>
      <w:r>
        <w:rPr>
          <w:spacing w:val="32"/>
        </w:rPr>
        <w:t> </w:t>
      </w:r>
      <w:r>
        <w:rPr>
          <w:spacing w:val="-2"/>
        </w:rPr>
        <w:t>auch</w:t>
      </w:r>
      <w:r>
        <w:rPr>
          <w:spacing w:val="33"/>
        </w:rPr>
        <w:t> </w:t>
      </w:r>
      <w:r>
        <w:rPr>
          <w:spacing w:val="-2"/>
        </w:rPr>
        <w:t>ein</w:t>
      </w:r>
      <w:r>
        <w:rPr>
          <w:spacing w:val="33"/>
        </w:rPr>
        <w:t> </w:t>
      </w:r>
      <w:r>
        <w:rPr>
          <w:spacing w:val="-2"/>
        </w:rPr>
        <w:t>Biogasauto,</w:t>
      </w:r>
      <w:r>
        <w:rPr>
          <w:spacing w:val="35"/>
        </w:rPr>
        <w:t> </w:t>
      </w:r>
      <w:r>
        <w:rPr>
          <w:spacing w:val="-2"/>
        </w:rPr>
        <w:t>welches</w:t>
      </w:r>
      <w:r>
        <w:rPr>
          <w:spacing w:val="32"/>
        </w:rPr>
        <w:t> </w:t>
      </w:r>
      <w:r>
        <w:rPr>
          <w:spacing w:val="-1"/>
        </w:rPr>
        <w:t>mit</w:t>
      </w:r>
      <w:r>
        <w:rPr>
          <w:spacing w:val="33"/>
        </w:rPr>
        <w:t> </w:t>
      </w:r>
      <w:r>
        <w:rPr>
          <w:spacing w:val="-2"/>
        </w:rPr>
        <w:t>vergärten</w:t>
      </w:r>
      <w:r>
        <w:rPr>
          <w:spacing w:val="32"/>
        </w:rPr>
        <w:t> </w:t>
      </w:r>
      <w:r>
        <w:rPr>
          <w:spacing w:val="-3"/>
        </w:rPr>
        <w:t>Küchenabfällen</w:t>
      </w:r>
      <w:r>
        <w:rPr>
          <w:spacing w:val="33"/>
        </w:rPr>
        <w:t> </w:t>
      </w:r>
      <w:r>
        <w:rPr>
          <w:spacing w:val="-2"/>
        </w:rPr>
        <w:t>des</w:t>
      </w:r>
      <w:r>
        <w:rPr/>
      </w:r>
    </w:p>
    <w:p>
      <w:pPr>
        <w:pStyle w:val="BodyText"/>
        <w:spacing w:line="234" w:lineRule="exact" w:before="9"/>
        <w:ind w:right="0"/>
        <w:jc w:val="both"/>
      </w:pPr>
      <w:r>
        <w:rPr>
          <w:spacing w:val="-2"/>
        </w:rPr>
        <w:t>MFH</w:t>
      </w:r>
      <w:r>
        <w:rPr>
          <w:spacing w:val="-4"/>
        </w:rPr>
        <w:t> </w:t>
      </w:r>
      <w:r>
        <w:rPr>
          <w:spacing w:val="-2"/>
        </w:rPr>
        <w:t>betrieben</w:t>
      </w:r>
      <w:r>
        <w:rPr>
          <w:spacing w:val="-4"/>
        </w:rPr>
        <w:t> wird.</w:t>
      </w:r>
      <w:r>
        <w:rPr/>
      </w:r>
    </w:p>
    <w:p>
      <w:pPr>
        <w:pStyle w:val="BodyText"/>
        <w:spacing w:line="232" w:lineRule="auto" w:before="2"/>
        <w:ind w:right="0" w:firstLine="226"/>
        <w:jc w:val="both"/>
      </w:pPr>
      <w:r>
        <w:rPr>
          <w:spacing w:val="-1"/>
        </w:rPr>
        <w:t>Um</w:t>
      </w:r>
      <w:r>
        <w:rPr>
          <w:spacing w:val="-3"/>
        </w:rPr>
        <w:t> </w:t>
      </w:r>
      <w:r>
        <w:rPr>
          <w:spacing w:val="-1"/>
        </w:rPr>
        <w:t>die</w:t>
      </w:r>
      <w:r>
        <w:rPr>
          <w:spacing w:val="-3"/>
        </w:rPr>
        <w:t> Energieautarkie </w:t>
      </w:r>
      <w:r>
        <w:rPr>
          <w:spacing w:val="-1"/>
        </w:rPr>
        <w:t>zu</w:t>
      </w:r>
      <w:r>
        <w:rPr>
          <w:spacing w:val="-3"/>
        </w:rPr>
        <w:t> gewährleisten,</w:t>
      </w:r>
      <w:r>
        <w:rPr>
          <w:spacing w:val="45"/>
        </w:rPr>
        <w:t> </w:t>
      </w:r>
      <w:r>
        <w:rPr>
          <w:spacing w:val="-2"/>
        </w:rPr>
        <w:t>ist</w:t>
      </w:r>
      <w:r>
        <w:rPr>
          <w:spacing w:val="15"/>
        </w:rPr>
        <w:t> </w:t>
      </w:r>
      <w:r>
        <w:rPr>
          <w:spacing w:val="-2"/>
        </w:rPr>
        <w:t>ein</w:t>
      </w:r>
      <w:r>
        <w:rPr>
          <w:spacing w:val="15"/>
        </w:rPr>
        <w:t> </w:t>
      </w:r>
      <w:r>
        <w:rPr>
          <w:spacing w:val="-2"/>
        </w:rPr>
        <w:t>ausgeklügeltes</w:t>
      </w:r>
      <w:r>
        <w:rPr>
          <w:spacing w:val="15"/>
        </w:rPr>
        <w:t> </w:t>
      </w:r>
      <w:r>
        <w:rPr>
          <w:spacing w:val="-3"/>
        </w:rPr>
        <w:t>Stromspeichersystem</w:t>
      </w:r>
      <w:r>
        <w:rPr>
          <w:spacing w:val="37"/>
        </w:rPr>
        <w:t> </w:t>
      </w:r>
      <w:r>
        <w:rPr>
          <w:spacing w:val="-2"/>
        </w:rPr>
        <w:t>nötig.</w:t>
      </w:r>
      <w:r>
        <w:rPr>
          <w:spacing w:val="16"/>
        </w:rPr>
        <w:t> </w:t>
      </w:r>
      <w:r>
        <w:rPr>
          <w:spacing w:val="-2"/>
        </w:rPr>
        <w:t>Kurzfristig</w:t>
      </w:r>
      <w:r>
        <w:rPr>
          <w:spacing w:val="27"/>
        </w:rPr>
        <w:t> </w:t>
      </w:r>
      <w:r>
        <w:rPr>
          <w:spacing w:val="-2"/>
        </w:rPr>
        <w:t>sollen</w:t>
      </w:r>
      <w:r>
        <w:rPr>
          <w:spacing w:val="28"/>
        </w:rPr>
        <w:t> </w:t>
      </w:r>
      <w:r>
        <w:rPr>
          <w:spacing w:val="-1"/>
        </w:rPr>
        <w:t>Batterien</w:t>
      </w:r>
      <w:r>
        <w:rPr>
          <w:spacing w:val="27"/>
        </w:rPr>
        <w:t> </w:t>
      </w:r>
      <w:r>
        <w:rPr>
          <w:spacing w:val="-1"/>
        </w:rPr>
        <w:t>die</w:t>
      </w:r>
      <w:r>
        <w:rPr>
          <w:spacing w:val="28"/>
        </w:rPr>
        <w:t> </w:t>
      </w:r>
      <w:r>
        <w:rPr>
          <w:spacing w:val="-2"/>
        </w:rPr>
        <w:t>Ener-</w:t>
      </w:r>
      <w:r>
        <w:rPr>
          <w:spacing w:val="21"/>
        </w:rPr>
        <w:t> </w:t>
      </w:r>
      <w:r>
        <w:rPr>
          <w:spacing w:val="-3"/>
        </w:rPr>
        <w:t>gieversorgung</w:t>
      </w:r>
      <w:r>
        <w:rPr>
          <w:spacing w:val="4"/>
        </w:rPr>
        <w:t> </w:t>
      </w:r>
      <w:r>
        <w:rPr>
          <w:spacing w:val="-2"/>
        </w:rPr>
        <w:t>des</w:t>
      </w:r>
      <w:r>
        <w:rPr>
          <w:spacing w:val="4"/>
        </w:rPr>
        <w:t> </w:t>
      </w:r>
      <w:r>
        <w:rPr>
          <w:spacing w:val="-2"/>
        </w:rPr>
        <w:t>MFH</w:t>
      </w:r>
      <w:r>
        <w:rPr>
          <w:spacing w:val="4"/>
        </w:rPr>
        <w:t> </w:t>
      </w:r>
      <w:r>
        <w:rPr>
          <w:spacing w:val="-2"/>
        </w:rPr>
        <w:t>sicherstellen.</w:t>
      </w:r>
      <w:r>
        <w:rPr>
          <w:spacing w:val="41"/>
        </w:rPr>
        <w:t> </w:t>
      </w:r>
      <w:r>
        <w:rPr>
          <w:spacing w:val="-4"/>
        </w:rPr>
        <w:t>Für</w:t>
      </w:r>
      <w:r>
        <w:rPr>
          <w:spacing w:val="21"/>
        </w:rPr>
        <w:t> </w:t>
      </w:r>
      <w:r>
        <w:rPr>
          <w:spacing w:val="-1"/>
        </w:rPr>
        <w:t>die</w:t>
      </w:r>
      <w:r>
        <w:rPr>
          <w:spacing w:val="3"/>
        </w:rPr>
        <w:t> </w:t>
      </w:r>
      <w:r>
        <w:rPr>
          <w:spacing w:val="-2"/>
        </w:rPr>
        <w:t>längerfristige</w:t>
      </w:r>
      <w:r>
        <w:rPr>
          <w:spacing w:val="3"/>
        </w:rPr>
        <w:t> </w:t>
      </w:r>
      <w:r>
        <w:rPr>
          <w:spacing w:val="-2"/>
        </w:rPr>
        <w:t>Speicherung</w:t>
      </w:r>
      <w:r>
        <w:rPr>
          <w:spacing w:val="3"/>
        </w:rPr>
        <w:t> </w:t>
      </w:r>
      <w:r>
        <w:rPr>
          <w:spacing w:val="-3"/>
        </w:rPr>
        <w:t>kommt</w:t>
      </w:r>
      <w:r>
        <w:rPr>
          <w:spacing w:val="3"/>
        </w:rPr>
        <w:t> </w:t>
      </w:r>
      <w:r>
        <w:rPr>
          <w:spacing w:val="-2"/>
        </w:rPr>
        <w:t>die</w:t>
      </w:r>
      <w:r>
        <w:rPr>
          <w:spacing w:val="27"/>
        </w:rPr>
        <w:t> </w:t>
      </w:r>
      <w:r>
        <w:rPr>
          <w:spacing w:val="-4"/>
        </w:rPr>
        <w:t>Power-to-Gas-Technologie</w:t>
      </w:r>
      <w:r>
        <w:rPr>
          <w:spacing w:val="44"/>
        </w:rPr>
        <w:t> </w:t>
      </w:r>
      <w:r>
        <w:rPr>
          <w:spacing w:val="-2"/>
        </w:rPr>
        <w:t>zur</w:t>
      </w:r>
      <w:r>
        <w:rPr>
          <w:spacing w:val="45"/>
        </w:rPr>
        <w:t> </w:t>
      </w:r>
      <w:r>
        <w:rPr>
          <w:spacing w:val="-3"/>
        </w:rPr>
        <w:t>Anwendung,</w:t>
      </w:r>
      <w:r>
        <w:rPr>
          <w:spacing w:val="43"/>
        </w:rPr>
        <w:t> </w:t>
      </w:r>
      <w:r>
        <w:rPr>
          <w:spacing w:val="-1"/>
        </w:rPr>
        <w:t>die</w:t>
      </w:r>
      <w:r>
        <w:rPr>
          <w:spacing w:val="-6"/>
        </w:rPr>
        <w:t> </w:t>
      </w:r>
      <w:r>
        <w:rPr>
          <w:spacing w:val="-3"/>
        </w:rPr>
        <w:t>Überschussstrom</w:t>
      </w:r>
      <w:r>
        <w:rPr>
          <w:spacing w:val="-6"/>
        </w:rPr>
        <w:t> </w:t>
      </w:r>
      <w:r>
        <w:rPr>
          <w:spacing w:val="-1"/>
        </w:rPr>
        <w:t>in</w:t>
      </w:r>
      <w:r>
        <w:rPr>
          <w:spacing w:val="-6"/>
        </w:rPr>
        <w:t> </w:t>
      </w:r>
      <w:r>
        <w:rPr>
          <w:spacing w:val="-3"/>
        </w:rPr>
        <w:t>Wasserstoff</w:t>
      </w:r>
      <w:r>
        <w:rPr>
          <w:spacing w:val="-6"/>
        </w:rPr>
        <w:t> </w:t>
      </w:r>
      <w:r>
        <w:rPr>
          <w:spacing w:val="-3"/>
        </w:rPr>
        <w:t>umwan-</w:t>
      </w:r>
      <w:r>
        <w:rPr>
          <w:spacing w:val="43"/>
        </w:rPr>
        <w:t> </w:t>
      </w:r>
      <w:r>
        <w:rPr>
          <w:spacing w:val="-1"/>
        </w:rPr>
        <w:t>delt</w:t>
      </w:r>
      <w:r>
        <w:rPr>
          <w:spacing w:val="-6"/>
        </w:rPr>
        <w:t> </w:t>
      </w:r>
      <w:r>
        <w:rPr>
          <w:spacing w:val="-2"/>
        </w:rPr>
        <w:t>und</w:t>
      </w:r>
      <w:r>
        <w:rPr>
          <w:spacing w:val="-6"/>
        </w:rPr>
        <w:t> </w:t>
      </w:r>
      <w:r>
        <w:rPr>
          <w:spacing w:val="-2"/>
        </w:rPr>
        <w:t>damit</w:t>
      </w:r>
      <w:r>
        <w:rPr>
          <w:spacing w:val="-6"/>
        </w:rPr>
        <w:t> </w:t>
      </w:r>
      <w:r>
        <w:rPr>
          <w:spacing w:val="-2"/>
        </w:rPr>
        <w:t>über</w:t>
      </w:r>
      <w:r>
        <w:rPr>
          <w:spacing w:val="-6"/>
        </w:rPr>
        <w:t> </w:t>
      </w:r>
      <w:r>
        <w:rPr>
          <w:spacing w:val="-3"/>
        </w:rPr>
        <w:t>längere</w:t>
      </w:r>
      <w:r>
        <w:rPr>
          <w:spacing w:val="-6"/>
        </w:rPr>
        <w:t> </w:t>
      </w:r>
      <w:r>
        <w:rPr>
          <w:spacing w:val="-2"/>
        </w:rPr>
        <w:t>Zeit</w:t>
      </w:r>
      <w:r>
        <w:rPr>
          <w:spacing w:val="-6"/>
        </w:rPr>
        <w:t> </w:t>
      </w:r>
      <w:r>
        <w:rPr>
          <w:spacing w:val="-3"/>
        </w:rPr>
        <w:t>speicherbar</w:t>
      </w:r>
      <w:r>
        <w:rPr>
          <w:spacing w:val="45"/>
        </w:rPr>
        <w:t> </w:t>
      </w:r>
      <w:r>
        <w:rPr>
          <w:spacing w:val="-2"/>
        </w:rPr>
        <w:t>macht.</w:t>
      </w:r>
      <w:r>
        <w:rPr>
          <w:spacing w:val="5"/>
        </w:rPr>
        <w:t> </w:t>
      </w:r>
      <w:r>
        <w:rPr>
          <w:spacing w:val="-2"/>
        </w:rPr>
        <w:t>Sie</w:t>
      </w:r>
      <w:r>
        <w:rPr>
          <w:spacing w:val="16"/>
        </w:rPr>
        <w:t> </w:t>
      </w:r>
      <w:r>
        <w:rPr>
          <w:spacing w:val="-2"/>
        </w:rPr>
        <w:t>weist</w:t>
      </w:r>
      <w:r>
        <w:rPr>
          <w:spacing w:val="16"/>
        </w:rPr>
        <w:t> </w:t>
      </w:r>
      <w:r>
        <w:rPr>
          <w:spacing w:val="-2"/>
        </w:rPr>
        <w:t>einen</w:t>
      </w:r>
      <w:r>
        <w:rPr>
          <w:spacing w:val="16"/>
        </w:rPr>
        <w:t> </w:t>
      </w:r>
      <w:r>
        <w:rPr>
          <w:spacing w:val="-2"/>
        </w:rPr>
        <w:t>elektrischen</w:t>
      </w:r>
      <w:r>
        <w:rPr>
          <w:spacing w:val="16"/>
        </w:rPr>
        <w:t> </w:t>
      </w:r>
      <w:r>
        <w:rPr>
          <w:spacing w:val="-2"/>
        </w:rPr>
        <w:t>Wir-</w:t>
      </w:r>
      <w:r>
        <w:rPr>
          <w:spacing w:val="31"/>
        </w:rPr>
        <w:t> </w:t>
      </w:r>
      <w:r>
        <w:rPr>
          <w:spacing w:val="-3"/>
        </w:rPr>
        <w:t>kungsgrad</w:t>
      </w:r>
      <w:r>
        <w:rPr>
          <w:spacing w:val="-4"/>
        </w:rPr>
        <w:t> </w:t>
      </w:r>
      <w:r>
        <w:rPr>
          <w:spacing w:val="-2"/>
        </w:rPr>
        <w:t>von</w:t>
      </w:r>
      <w:r>
        <w:rPr>
          <w:spacing w:val="-4"/>
        </w:rPr>
        <w:t> </w:t>
      </w:r>
      <w:r>
        <w:rPr>
          <w:spacing w:val="-2"/>
        </w:rPr>
        <w:t>rund</w:t>
      </w:r>
      <w:r>
        <w:rPr>
          <w:spacing w:val="-4"/>
        </w:rPr>
        <w:t> </w:t>
      </w:r>
      <w:r>
        <w:rPr>
          <w:spacing w:val="-2"/>
        </w:rPr>
        <w:t>18.5%</w:t>
      </w:r>
      <w:r>
        <w:rPr>
          <w:spacing w:val="-4"/>
        </w:rPr>
        <w:t> </w:t>
      </w:r>
      <w:r>
        <w:rPr>
          <w:spacing w:val="-3"/>
        </w:rPr>
        <w:t>auf.</w:t>
      </w:r>
    </w:p>
    <w:p>
      <w:pPr>
        <w:pStyle w:val="BodyText"/>
        <w:spacing w:line="228" w:lineRule="exact"/>
        <w:ind w:left="0" w:right="9"/>
        <w:jc w:val="right"/>
      </w:pPr>
      <w:r>
        <w:rPr>
          <w:spacing w:val="-1"/>
        </w:rPr>
        <w:t>Um</w:t>
      </w:r>
      <w:r>
        <w:rPr>
          <w:spacing w:val="20"/>
        </w:rPr>
        <w:t> </w:t>
      </w:r>
      <w:r>
        <w:rPr>
          <w:spacing w:val="-2"/>
        </w:rPr>
        <w:t>den</w:t>
      </w:r>
      <w:r>
        <w:rPr/>
        <w:t> </w:t>
      </w:r>
      <w:r>
        <w:rPr>
          <w:spacing w:val="31"/>
        </w:rPr>
        <w:t> </w:t>
      </w:r>
      <w:r>
        <w:rPr>
          <w:spacing w:val="-4"/>
        </w:rPr>
        <w:t>Verbrauch</w:t>
      </w:r>
      <w:r>
        <w:rPr>
          <w:spacing w:val="20"/>
        </w:rPr>
        <w:t> </w:t>
      </w:r>
      <w:r>
        <w:rPr>
          <w:spacing w:val="-2"/>
        </w:rPr>
        <w:t>trotz</w:t>
      </w:r>
      <w:r>
        <w:rPr>
          <w:spacing w:val="20"/>
        </w:rPr>
        <w:t> </w:t>
      </w:r>
      <w:r>
        <w:rPr>
          <w:spacing w:val="-2"/>
        </w:rPr>
        <w:t>der</w:t>
      </w:r>
      <w:r>
        <w:rPr>
          <w:spacing w:val="20"/>
        </w:rPr>
        <w:t> </w:t>
      </w:r>
      <w:r>
        <w:rPr>
          <w:spacing w:val="-3"/>
        </w:rPr>
        <w:t>Elektrolyse</w:t>
      </w:r>
    </w:p>
    <w:p>
      <w:pPr>
        <w:pStyle w:val="BodyText"/>
        <w:spacing w:line="232" w:lineRule="auto" w:before="2"/>
        <w:ind w:right="0"/>
        <w:jc w:val="both"/>
      </w:pPr>
      <w:r>
        <w:rPr/>
        <w:t>–</w:t>
      </w:r>
      <w:r>
        <w:rPr>
          <w:spacing w:val="16"/>
        </w:rPr>
        <w:t> </w:t>
      </w:r>
      <w:r>
        <w:rPr>
          <w:spacing w:val="-1"/>
        </w:rPr>
        <w:t>mit</w:t>
      </w:r>
      <w:r>
        <w:rPr>
          <w:spacing w:val="14"/>
        </w:rPr>
        <w:t> </w:t>
      </w:r>
      <w:r>
        <w:rPr>
          <w:spacing w:val="-2"/>
        </w:rPr>
        <w:t>14.5</w:t>
      </w:r>
      <w:r>
        <w:rPr>
          <w:spacing w:val="14"/>
        </w:rPr>
        <w:t> </w:t>
      </w:r>
      <w:r>
        <w:rPr>
          <w:spacing w:val="-3"/>
        </w:rPr>
        <w:t>kW-Leistung</w:t>
      </w:r>
      <w:r>
        <w:rPr>
          <w:spacing w:val="14"/>
        </w:rPr>
        <w:t> </w:t>
      </w:r>
      <w:r>
        <w:rPr/>
        <w:t>–</w:t>
      </w:r>
      <w:r>
        <w:rPr>
          <w:spacing w:val="16"/>
        </w:rPr>
        <w:t> </w:t>
      </w:r>
      <w:r>
        <w:rPr>
          <w:spacing w:val="-2"/>
        </w:rPr>
        <w:t>möglichst</w:t>
      </w:r>
      <w:r>
        <w:rPr>
          <w:spacing w:val="14"/>
        </w:rPr>
        <w:t> </w:t>
      </w:r>
      <w:r>
        <w:rPr>
          <w:spacing w:val="-2"/>
        </w:rPr>
        <w:t>tief</w:t>
      </w:r>
      <w:r>
        <w:rPr>
          <w:spacing w:val="14"/>
        </w:rPr>
        <w:t> </w:t>
      </w:r>
      <w:r>
        <w:rPr>
          <w:spacing w:val="-2"/>
        </w:rPr>
        <w:t>zu</w:t>
      </w:r>
      <w:r>
        <w:rPr>
          <w:spacing w:val="23"/>
        </w:rPr>
        <w:t> </w:t>
      </w:r>
      <w:r>
        <w:rPr>
          <w:spacing w:val="-2"/>
        </w:rPr>
        <w:t>halten, </w:t>
      </w:r>
      <w:r>
        <w:rPr>
          <w:spacing w:val="-3"/>
        </w:rPr>
        <w:t>wird</w:t>
      </w:r>
      <w:r>
        <w:rPr>
          <w:spacing w:val="9"/>
        </w:rPr>
        <w:t> </w:t>
      </w:r>
      <w:r>
        <w:rPr>
          <w:spacing w:val="-2"/>
        </w:rPr>
        <w:t>auf</w:t>
      </w:r>
      <w:r>
        <w:rPr>
          <w:spacing w:val="9"/>
        </w:rPr>
        <w:t> </w:t>
      </w:r>
      <w:r>
        <w:rPr>
          <w:spacing w:val="-2"/>
        </w:rPr>
        <w:t>eine</w:t>
      </w:r>
      <w:r>
        <w:rPr>
          <w:spacing w:val="9"/>
        </w:rPr>
        <w:t> </w:t>
      </w:r>
      <w:r>
        <w:rPr>
          <w:spacing w:val="-2"/>
        </w:rPr>
        <w:t>gute</w:t>
      </w:r>
      <w:r>
        <w:rPr>
          <w:spacing w:val="9"/>
        </w:rPr>
        <w:t> </w:t>
      </w:r>
      <w:r>
        <w:rPr>
          <w:spacing w:val="-3"/>
        </w:rPr>
        <w:t>Wärmedämmung,</w:t>
      </w:r>
      <w:r>
        <w:rPr>
          <w:spacing w:val="27"/>
        </w:rPr>
        <w:t> </w:t>
      </w:r>
      <w:r>
        <w:rPr>
          <w:spacing w:val="-3"/>
        </w:rPr>
        <w:t>Wärmepumpen,</w:t>
      </w:r>
      <w:r>
        <w:rPr>
          <w:spacing w:val="-16"/>
        </w:rPr>
        <w:t> </w:t>
      </w:r>
      <w:r>
        <w:rPr>
          <w:spacing w:val="-3"/>
        </w:rPr>
        <w:t>LED-Beleuchtung</w:t>
      </w:r>
      <w:r>
        <w:rPr>
          <w:spacing w:val="-5"/>
        </w:rPr>
        <w:t> </w:t>
      </w:r>
      <w:r>
        <w:rPr>
          <w:spacing w:val="-2"/>
        </w:rPr>
        <w:t>und</w:t>
      </w:r>
      <w:r>
        <w:rPr>
          <w:spacing w:val="-5"/>
        </w:rPr>
        <w:t> </w:t>
      </w:r>
      <w:r>
        <w:rPr>
          <w:spacing w:val="-2"/>
        </w:rPr>
        <w:t>ener-</w:t>
      </w:r>
      <w:r>
        <w:rPr>
          <w:spacing w:val="47"/>
        </w:rPr>
        <w:t> </w:t>
      </w:r>
      <w:r>
        <w:rPr>
          <w:spacing w:val="-2"/>
        </w:rPr>
        <w:t>gieeffi</w:t>
      </w:r>
      <w:r>
        <w:rPr/>
        <w:t>         </w:t>
      </w:r>
      <w:r>
        <w:rPr>
          <w:spacing w:val="3"/>
        </w:rPr>
        <w:t> </w:t>
      </w:r>
      <w:r>
        <w:rPr>
          <w:spacing w:val="-2"/>
        </w:rPr>
        <w:t>Geräte</w:t>
      </w:r>
      <w:r>
        <w:rPr>
          <w:spacing w:val="-4"/>
        </w:rPr>
        <w:t> </w:t>
      </w:r>
      <w:r>
        <w:rPr>
          <w:spacing w:val="-1"/>
        </w:rPr>
        <w:t>gesetzt.</w:t>
      </w:r>
    </w:p>
    <w:p>
      <w:pPr>
        <w:pStyle w:val="BodyText"/>
        <w:spacing w:line="232" w:lineRule="auto"/>
        <w:ind w:right="8" w:firstLine="226"/>
        <w:jc w:val="both"/>
      </w:pPr>
      <w:r>
        <w:rPr/>
        <w:pict>
          <v:group style="position:absolute;margin-left:70.771004pt;margin-top:81.640953pt;width:26.1pt;height:9.7pt;mso-position-horizontal-relative:page;mso-position-vertical-relative:paragraph;z-index:-5224" coordorigin="1415,1633" coordsize="522,194">
            <v:group style="position:absolute;left:1435;top:1654;width:93;height:124" coordorigin="1435,1654" coordsize="93,124">
              <v:shape style="position:absolute;left:1435;top:1654;width:93;height:124" coordorigin="1435,1654" coordsize="93,124" path="m1527,1673l1514,1661,1494,1654,1467,1656,1449,1666,1441,1683,1447,1706,1464,1716,1489,1723,1505,1727,1514,1732,1514,1744,1514,1758,1501,1765,1485,1765,1463,1760,1449,1746,1435,1754,1448,1768,1467,1777,1497,1776,1517,1768,1528,1755,1525,1729,1513,1715,1478,1705,1463,1701,1456,1697,1456,1686,1456,1673,1467,1667,1482,1667,1496,1667,1507,1672,1515,1683,1527,1673xe" filled="false" stroked="true" strokeweight="2pt" strokecolor="#ffd64f">
                <v:path arrowok="t"/>
              </v:shape>
            </v:group>
            <v:group style="position:absolute;left:1552;top:1756;width:18;height:21" coordorigin="1552,1756" coordsize="18,21">
              <v:shape style="position:absolute;left:1552;top:1756;width:18;height:21" coordorigin="1552,1756" coordsize="18,21" path="m1532,1767l1590,1767e" filled="false" stroked="true" strokeweight="3.135pt" strokecolor="#ffd64f">
                <v:path arrowok="t"/>
              </v:shape>
            </v:group>
            <v:group style="position:absolute;left:1628;top:1654;width:84;height:122" coordorigin="1628,1654" coordsize="84,122">
              <v:shape style="position:absolute;left:1628;top:1654;width:84;height:122" coordorigin="1628,1654" coordsize="84,122" path="m1644,1689l1646,1677,1654,1666,1670,1666,1685,1666,1693,1674,1693,1686,1693,1695,1689,1700,1683,1703,1677,1706,1670,1707,1663,1707,1653,1707,1653,1719,1664,1719,1671,1719,1678,1720,1684,1722,1691,1725,1697,1731,1697,1742,1697,1757,1686,1766,1669,1766,1655,1766,1643,1758,1642,1738,1628,1743,1634,1763,1651,1776,1682,1775,1701,1767,1711,1754,1708,1727,1697,1714,1701,1708,1709,1699,1709,1684,1703,1665,1685,1654,1654,1658,1637,1669,1631,1682,1644,1689xe" filled="false" stroked="true" strokeweight="2pt" strokecolor="#ffd64f">
                <v:path arrowok="t"/>
              </v:shape>
            </v:group>
            <v:group style="position:absolute;left:1733;top:1653;width:86;height:125" coordorigin="1733,1653" coordsize="86,125">
              <v:shape style="position:absolute;left:1733;top:1653;width:86;height:125" coordorigin="1733,1653" coordsize="86,125" path="m1735,1748l1742,1765,1760,1778,1785,1775,1802,1765,1813,1748,1818,1725,1815,1693,1808,1671,1795,1658,1779,1653,1754,1658,1739,1672,1733,1692,1737,1716,1751,1731,1781,1733,1796,1728,1795,1751,1783,1764,1757,1758,1750,1745,1735,1748xe" filled="false" stroked="true" strokeweight="2pt" strokecolor="#ffd64f">
                <v:path arrowok="t"/>
              </v:shape>
            </v:group>
            <v:group style="position:absolute;left:1748;top:1666;width:53;height:57" coordorigin="1748,1666" coordsize="53,57">
              <v:shape style="position:absolute;left:1748;top:1666;width:53;height:57" coordorigin="1748,1666" coordsize="53,57" path="m1748,1696l1748,1677,1759,1666,1774,1666,1791,1673,1801,1693,1796,1716,1785,1723,1774,1723,1759,1723,1748,1713,1748,1696xe" filled="false" stroked="true" strokeweight="2pt" strokecolor="#ffd64f">
                <v:path arrowok="t"/>
              </v:shape>
            </v:group>
            <v:group style="position:absolute;left:1829;top:1653;width:35;height:154" coordorigin="1829,1653" coordsize="35,154">
              <v:shape style="position:absolute;left:1829;top:1653;width:35;height:154" coordorigin="1829,1653" coordsize="35,154" path="m1841,1807l1851,1788,1859,1770,1863,1751,1863,1725,1860,1703,1856,1684,1849,1668,1841,1653,1829,1655,1838,1673,1845,1693,1849,1712,1848,1738,1845,1760,1841,1778,1834,1794,1841,1807xe" filled="false" stroked="true" strokeweight="2pt" strokecolor="#ffd64f">
                <v:path arrowok="t"/>
              </v:shape>
            </v:group>
            <v:group style="position:absolute;left:1888;top:1756;width:18;height:21" coordorigin="1888,1756" coordsize="18,21">
              <v:shape style="position:absolute;left:1888;top:1756;width:18;height:21" coordorigin="1888,1756" coordsize="18,21" path="m1868,1767l1926,1767e" filled="false" stroked="true" strokeweight="3.135pt" strokecolor="#ffd64f">
                <v:path arrowok="t"/>
              </v:shape>
            </v:group>
            <w10:wrap type="none"/>
          </v:group>
        </w:pict>
      </w:r>
      <w:r>
        <w:rPr>
          <w:spacing w:val="-2"/>
        </w:rPr>
        <w:t>Nachhaltig</w:t>
      </w:r>
      <w:r>
        <w:rPr>
          <w:spacing w:val="4"/>
        </w:rPr>
        <w:t> </w:t>
      </w:r>
      <w:r>
        <w:rPr>
          <w:spacing w:val="-2"/>
        </w:rPr>
        <w:t>und</w:t>
      </w:r>
      <w:r>
        <w:rPr>
          <w:spacing w:val="4"/>
        </w:rPr>
        <w:t> </w:t>
      </w:r>
      <w:r>
        <w:rPr>
          <w:spacing w:val="-2"/>
        </w:rPr>
        <w:t>zukunftsweisend</w:t>
      </w:r>
      <w:r>
        <w:rPr>
          <w:spacing w:val="4"/>
        </w:rPr>
        <w:t> </w:t>
      </w:r>
      <w:r>
        <w:rPr>
          <w:spacing w:val="-2"/>
        </w:rPr>
        <w:t>ist</w:t>
      </w:r>
      <w:r>
        <w:rPr>
          <w:spacing w:val="4"/>
        </w:rPr>
        <w:t> </w:t>
      </w:r>
      <w:r>
        <w:rPr>
          <w:spacing w:val="-2"/>
        </w:rPr>
        <w:t>auch</w:t>
      </w:r>
      <w:r>
        <w:rPr>
          <w:spacing w:val="21"/>
        </w:rPr>
        <w:t> </w:t>
      </w:r>
      <w:r>
        <w:rPr>
          <w:spacing w:val="-1"/>
        </w:rPr>
        <w:t>das</w:t>
      </w:r>
      <w:r>
        <w:rPr>
          <w:spacing w:val="20"/>
        </w:rPr>
        <w:t> </w:t>
      </w:r>
      <w:r>
        <w:rPr>
          <w:spacing w:val="-1"/>
        </w:rPr>
        <w:t>Nutzerverhalten</w:t>
      </w:r>
      <w:r>
        <w:rPr>
          <w:spacing w:val="20"/>
        </w:rPr>
        <w:t> </w:t>
      </w:r>
      <w:r>
        <w:rPr>
          <w:spacing w:val="-2"/>
        </w:rPr>
        <w:t>und</w:t>
      </w:r>
      <w:r>
        <w:rPr>
          <w:spacing w:val="20"/>
        </w:rPr>
        <w:t> </w:t>
      </w:r>
      <w:r>
        <w:rPr>
          <w:spacing w:val="-3"/>
        </w:rPr>
        <w:t>deren</w:t>
      </w:r>
      <w:r>
        <w:rPr>
          <w:spacing w:val="20"/>
        </w:rPr>
        <w:t> </w:t>
      </w:r>
      <w:r>
        <w:rPr>
          <w:spacing w:val="-3"/>
        </w:rPr>
        <w:t>Energiema-</w:t>
      </w:r>
      <w:r>
        <w:rPr>
          <w:spacing w:val="23"/>
        </w:rPr>
        <w:t> </w:t>
      </w:r>
      <w:r>
        <w:rPr>
          <w:spacing w:val="-2"/>
        </w:rPr>
        <w:t>nagement.</w:t>
      </w:r>
      <w:r>
        <w:rPr>
          <w:spacing w:val="22"/>
        </w:rPr>
        <w:t> </w:t>
      </w:r>
      <w:r>
        <w:rPr>
          <w:spacing w:val="-2"/>
        </w:rPr>
        <w:t>Über</w:t>
      </w:r>
      <w:r>
        <w:rPr>
          <w:spacing w:val="32"/>
        </w:rPr>
        <w:t> </w:t>
      </w:r>
      <w:r>
        <w:rPr>
          <w:spacing w:val="-2"/>
        </w:rPr>
        <w:t>ein</w:t>
      </w:r>
      <w:r>
        <w:rPr>
          <w:spacing w:val="33"/>
        </w:rPr>
        <w:t> </w:t>
      </w:r>
      <w:r>
        <w:rPr>
          <w:spacing w:val="-3"/>
        </w:rPr>
        <w:t>Energieverbrauchsmo-</w:t>
      </w:r>
      <w:r>
        <w:rPr>
          <w:spacing w:val="29"/>
        </w:rPr>
        <w:t> </w:t>
      </w:r>
      <w:r>
        <w:rPr>
          <w:spacing w:val="-2"/>
        </w:rPr>
        <w:t>nitoring</w:t>
      </w:r>
      <w:r>
        <w:rPr>
          <w:spacing w:val="39"/>
        </w:rPr>
        <w:t> </w:t>
      </w:r>
      <w:r>
        <w:rPr>
          <w:spacing w:val="-3"/>
        </w:rPr>
        <w:t>wird</w:t>
      </w:r>
      <w:r>
        <w:rPr>
          <w:spacing w:val="40"/>
        </w:rPr>
        <w:t> </w:t>
      </w:r>
      <w:r>
        <w:rPr>
          <w:spacing w:val="-2"/>
        </w:rPr>
        <w:t>der</w:t>
      </w:r>
      <w:r>
        <w:rPr>
          <w:spacing w:val="39"/>
        </w:rPr>
        <w:t> </w:t>
      </w:r>
      <w:r>
        <w:rPr>
          <w:spacing w:val="-2"/>
        </w:rPr>
        <w:t>eigene</w:t>
      </w:r>
      <w:r>
        <w:rPr>
          <w:spacing w:val="40"/>
        </w:rPr>
        <w:t> </w:t>
      </w:r>
      <w:r>
        <w:rPr>
          <w:spacing w:val="-3"/>
        </w:rPr>
        <w:t>Energieverbrauch</w:t>
      </w:r>
      <w:r>
        <w:rPr>
          <w:spacing w:val="21"/>
        </w:rPr>
        <w:t> </w:t>
      </w:r>
      <w:r>
        <w:rPr>
          <w:spacing w:val="-3"/>
        </w:rPr>
        <w:t>protokolliert</w:t>
      </w:r>
      <w:r>
        <w:rPr>
          <w:spacing w:val="42"/>
        </w:rPr>
        <w:t> </w:t>
      </w:r>
      <w:r>
        <w:rPr>
          <w:spacing w:val="-2"/>
        </w:rPr>
        <w:t>und</w:t>
      </w:r>
      <w:r>
        <w:rPr>
          <w:spacing w:val="43"/>
        </w:rPr>
        <w:t> </w:t>
      </w:r>
      <w:r>
        <w:rPr>
          <w:spacing w:val="-2"/>
        </w:rPr>
        <w:t>sichtbar</w:t>
      </w:r>
      <w:r>
        <w:rPr>
          <w:spacing w:val="42"/>
        </w:rPr>
        <w:t> </w:t>
      </w:r>
      <w:r>
        <w:rPr>
          <w:spacing w:val="-2"/>
        </w:rPr>
        <w:t>gemacht.</w:t>
      </w:r>
      <w:r>
        <w:rPr>
          <w:spacing w:val="32"/>
        </w:rPr>
        <w:t> </w:t>
      </w:r>
      <w:r>
        <w:rPr/>
        <w:t>Das</w:t>
      </w:r>
      <w:r>
        <w:rPr>
          <w:spacing w:val="41"/>
        </w:rPr>
        <w:t> </w:t>
      </w:r>
      <w:r>
        <w:rPr>
          <w:spacing w:val="-3"/>
        </w:rPr>
        <w:t>Leuchtturmprojekt</w:t>
      </w:r>
      <w:r>
        <w:rPr>
          <w:spacing w:val="43"/>
        </w:rPr>
        <w:t> </w:t>
      </w:r>
      <w:r>
        <w:rPr>
          <w:spacing w:val="-2"/>
        </w:rPr>
        <w:t>erhält</w:t>
      </w:r>
      <w:r>
        <w:rPr>
          <w:spacing w:val="44"/>
        </w:rPr>
        <w:t> </w:t>
      </w:r>
      <w:r>
        <w:rPr>
          <w:spacing w:val="-2"/>
        </w:rPr>
        <w:t>den</w:t>
      </w:r>
      <w:r>
        <w:rPr>
          <w:spacing w:val="43"/>
        </w:rPr>
        <w:t> </w:t>
      </w:r>
      <w:r>
        <w:rPr>
          <w:spacing w:val="-1"/>
        </w:rPr>
        <w:t>2.</w:t>
      </w:r>
      <w:r>
        <w:rPr>
          <w:spacing w:val="33"/>
        </w:rPr>
        <w:t> </w:t>
      </w:r>
      <w:r>
        <w:rPr>
          <w:spacing w:val="-1"/>
        </w:rPr>
        <w:t>Platz</w:t>
      </w:r>
      <w:r>
        <w:rPr>
          <w:spacing w:val="44"/>
        </w:rPr>
        <w:t> </w:t>
      </w:r>
      <w:r>
        <w:rPr>
          <w:spacing w:val="-2"/>
        </w:rPr>
        <w:t>des</w:t>
      </w:r>
      <w:r>
        <w:rPr>
          <w:spacing w:val="43"/>
        </w:rPr>
        <w:t> </w:t>
      </w:r>
      <w:r>
        <w:rPr>
          <w:spacing w:val="-2"/>
        </w:rPr>
        <w:t>Norman</w:t>
      </w:r>
      <w:r>
        <w:rPr>
          <w:spacing w:val="-7"/>
        </w:rPr>
        <w:t> </w:t>
      </w:r>
      <w:r>
        <w:rPr>
          <w:spacing w:val="-3"/>
        </w:rPr>
        <w:t>Foster</w:t>
      </w:r>
      <w:r>
        <w:rPr>
          <w:spacing w:val="-7"/>
        </w:rPr>
        <w:t> </w:t>
      </w:r>
      <w:r>
        <w:rPr>
          <w:spacing w:val="-2"/>
        </w:rPr>
        <w:t>Solar</w:t>
      </w:r>
      <w:r>
        <w:rPr>
          <w:spacing w:val="-7"/>
        </w:rPr>
        <w:t> </w:t>
      </w:r>
      <w:r>
        <w:rPr>
          <w:spacing w:val="-4"/>
        </w:rPr>
        <w:t>Award</w:t>
      </w:r>
      <w:r>
        <w:rPr>
          <w:spacing w:val="-7"/>
        </w:rPr>
        <w:t> </w:t>
      </w:r>
      <w:r>
        <w:rPr>
          <w:spacing w:val="-4"/>
        </w:rPr>
        <w:t>(Weitere</w:t>
      </w:r>
      <w:r>
        <w:rPr>
          <w:spacing w:val="-7"/>
        </w:rPr>
        <w:t> </w:t>
      </w:r>
      <w:r>
        <w:rPr>
          <w:spacing w:val="-2"/>
        </w:rPr>
        <w:t>Ausfüh-</w:t>
      </w:r>
      <w:r>
        <w:rPr>
          <w:spacing w:val="35"/>
        </w:rPr>
        <w:t> </w:t>
      </w:r>
      <w:r>
        <w:rPr>
          <w:spacing w:val="-2"/>
        </w:rPr>
        <w:t>rungen</w:t>
      </w:r>
      <w:r>
        <w:rPr>
          <w:spacing w:val="-4"/>
        </w:rPr>
        <w:t> </w:t>
      </w:r>
      <w:r>
        <w:rPr>
          <w:spacing w:val="-2"/>
        </w:rPr>
        <w:t>auf</w:t>
      </w:r>
      <w:r>
        <w:rPr>
          <w:spacing w:val="-4"/>
        </w:rPr>
        <w:t> </w:t>
      </w:r>
      <w:r>
        <w:rPr/>
        <w:t>S.</w:t>
      </w:r>
      <w:r>
        <w:rPr>
          <w:spacing w:val="-15"/>
        </w:rPr>
        <w:t> </w:t>
      </w:r>
      <w:r>
        <w:rPr>
          <w:spacing w:val="-2"/>
        </w:rPr>
        <w:t>39).</w:t>
      </w:r>
      <w:r>
        <w:rPr/>
      </w:r>
    </w:p>
    <w:p>
      <w:pPr>
        <w:spacing w:line="230" w:lineRule="exact" w:before="78"/>
        <w:ind w:left="106" w:right="0" w:firstLine="0"/>
        <w:jc w:val="both"/>
        <w:rPr>
          <w:rFonts w:ascii="Theinhardt Regular Italic" w:hAnsi="Theinhardt Regular Italic" w:cs="Theinhardt Regular Italic" w:eastAsia="Theinhardt Regular Italic"/>
          <w:sz w:val="18"/>
          <w:szCs w:val="18"/>
        </w:rPr>
      </w:pPr>
      <w:r>
        <w:rPr/>
        <w:br w:type="column"/>
      </w:r>
      <w:r>
        <w:rPr>
          <w:rFonts w:ascii="Theinhardt Regular Italic" w:hAnsi="Theinhardt Regular Italic" w:cs="Theinhardt Regular Italic" w:eastAsia="Theinhardt Regular Italic"/>
          <w:i/>
          <w:spacing w:val="-2"/>
          <w:sz w:val="18"/>
          <w:szCs w:val="18"/>
        </w:rPr>
        <w:t>l’habillage</w:t>
      </w:r>
      <w:r>
        <w:rPr>
          <w:rFonts w:ascii="Theinhardt Regular Italic" w:hAnsi="Theinhardt Regular Italic" w:cs="Theinhardt Regular Italic" w:eastAsia="Theinhardt Regular Italic"/>
          <w:i/>
          <w:spacing w:val="4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3"/>
          <w:sz w:val="18"/>
          <w:szCs w:val="18"/>
        </w:rPr>
        <w:t>intérieur</w:t>
      </w:r>
      <w:r>
        <w:rPr>
          <w:rFonts w:ascii="Theinhardt Regular Italic" w:hAnsi="Theinhardt Regular Italic" w:cs="Theinhardt Regular Italic" w:eastAsia="Theinhardt Regular Italic"/>
          <w:i/>
          <w:spacing w:val="4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2"/>
          <w:sz w:val="18"/>
          <w:szCs w:val="18"/>
        </w:rPr>
        <w:t>en</w:t>
      </w:r>
      <w:r>
        <w:rPr>
          <w:rFonts w:ascii="Theinhardt Regular Italic" w:hAnsi="Theinhardt Regular Italic" w:cs="Theinhardt Regular Italic" w:eastAsia="Theinhardt Regular Italic"/>
          <w:i/>
          <w:spacing w:val="4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1"/>
          <w:sz w:val="18"/>
          <w:szCs w:val="18"/>
        </w:rPr>
        <w:t>bois.</w:t>
      </w:r>
      <w:r>
        <w:rPr>
          <w:rFonts w:ascii="Theinhardt Regular Italic" w:hAnsi="Theinhardt Regular Italic" w:cs="Theinhardt Regular Italic" w:eastAsia="Theinhardt Regular Italic"/>
          <w:i/>
          <w:spacing w:val="-4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z w:val="18"/>
          <w:szCs w:val="18"/>
        </w:rPr>
        <w:t>Des</w:t>
      </w:r>
      <w:r>
        <w:rPr>
          <w:rFonts w:ascii="Theinhardt Regular Italic" w:hAnsi="Theinhardt Regular Italic" w:cs="Theinhardt Regular Italic" w:eastAsia="Theinhardt Regular Italic"/>
          <w:i/>
          <w:spacing w:val="4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3"/>
          <w:sz w:val="18"/>
          <w:szCs w:val="18"/>
        </w:rPr>
        <w:t>modules</w:t>
      </w:r>
      <w:r>
        <w:rPr>
          <w:rFonts w:ascii="Theinhardt Regular Italic" w:hAnsi="Theinhardt Regular Italic" w:cs="Theinhardt Regular Italic" w:eastAsia="Theinhardt Regular Italic"/>
          <w:i/>
          <w:spacing w:val="4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z w:val="18"/>
          <w:szCs w:val="18"/>
        </w:rPr>
        <w:t>PV</w:t>
      </w:r>
      <w:r>
        <w:rPr>
          <w:rFonts w:ascii="Theinhardt Regular Italic" w:hAnsi="Theinhardt Regular Italic" w:cs="Theinhardt Regular Italic" w:eastAsia="Theinhardt Regular Italic"/>
          <w:i/>
          <w:spacing w:val="25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3"/>
          <w:sz w:val="18"/>
          <w:szCs w:val="18"/>
        </w:rPr>
        <w:t>monocristallins</w:t>
      </w:r>
      <w:r>
        <w:rPr>
          <w:rFonts w:ascii="Theinhardt Regular Italic" w:hAnsi="Theinhardt Regular Italic" w:cs="Theinhardt Regular Italic" w:eastAsia="Theinhardt Regular Italic"/>
          <w:i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3"/>
          <w:sz w:val="18"/>
          <w:szCs w:val="18"/>
        </w:rPr>
        <w:t>très</w:t>
      </w:r>
      <w:r>
        <w:rPr>
          <w:rFonts w:ascii="Theinhardt Regular Italic" w:hAnsi="Theinhardt Regular Italic" w:cs="Theinhardt Regular Italic" w:eastAsia="Theinhardt Regular Italic"/>
          <w:i/>
          <w:spacing w:val="1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2"/>
          <w:sz w:val="18"/>
          <w:szCs w:val="18"/>
        </w:rPr>
        <w:t>efficaces</w:t>
      </w:r>
      <w:r>
        <w:rPr>
          <w:rFonts w:ascii="Theinhardt Regular Italic" w:hAnsi="Theinhardt Regular Italic" w:cs="Theinhardt Regular Italic" w:eastAsia="Theinhardt Regular Italic"/>
          <w:i/>
          <w:spacing w:val="1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4"/>
          <w:sz w:val="18"/>
          <w:szCs w:val="18"/>
        </w:rPr>
        <w:t>recouvrent</w:t>
      </w:r>
      <w:r>
        <w:rPr>
          <w:rFonts w:ascii="Theinhardt Regular Italic" w:hAnsi="Theinhardt Regular Italic" w:cs="Theinhardt Regular Italic" w:eastAsia="Theinhardt Regular Italic"/>
          <w:i/>
          <w:spacing w:val="1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3"/>
          <w:sz w:val="18"/>
          <w:szCs w:val="18"/>
        </w:rPr>
        <w:t>le</w:t>
      </w:r>
      <w:r>
        <w:rPr>
          <w:rFonts w:ascii="Theinhardt Regular Italic" w:hAnsi="Theinhardt Regular Italic" w:cs="Theinhardt Regular Italic" w:eastAsia="Theinhardt Regular Italic"/>
          <w:i/>
          <w:spacing w:val="53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2"/>
          <w:sz w:val="18"/>
          <w:szCs w:val="18"/>
        </w:rPr>
        <w:t>toit.</w:t>
      </w:r>
      <w:r>
        <w:rPr>
          <w:rFonts w:ascii="Theinhardt Regular Italic" w:hAnsi="Theinhardt Regular Italic" w:cs="Theinhardt Regular Italic" w:eastAsia="Theinhardt Regular Italic"/>
          <w:i/>
          <w:spacing w:val="-18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4"/>
          <w:sz w:val="18"/>
          <w:szCs w:val="18"/>
        </w:rPr>
        <w:t>L’installation</w:t>
      </w:r>
      <w:r>
        <w:rPr>
          <w:rFonts w:ascii="Theinhardt Regular Italic" w:hAnsi="Theinhardt Regular Italic" w:cs="Theinhardt Regular Italic" w:eastAsia="Theinhardt Regular Italic"/>
          <w:i/>
          <w:spacing w:val="-11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z w:val="18"/>
          <w:szCs w:val="18"/>
        </w:rPr>
        <w:t>PV</w:t>
      </w:r>
      <w:r>
        <w:rPr>
          <w:rFonts w:ascii="Theinhardt Regular Italic" w:hAnsi="Theinhardt Regular Italic" w:cs="Theinhardt Regular Italic" w:eastAsia="Theinhardt Regular Italic"/>
          <w:i/>
          <w:spacing w:val="-11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3"/>
          <w:sz w:val="18"/>
          <w:szCs w:val="18"/>
        </w:rPr>
        <w:t>de</w:t>
      </w:r>
      <w:r>
        <w:rPr>
          <w:rFonts w:ascii="Theinhardt Regular Italic" w:hAnsi="Theinhardt Regular Italic" w:cs="Theinhardt Regular Italic" w:eastAsia="Theinhardt Regular Italic"/>
          <w:i/>
          <w:spacing w:val="-11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2"/>
          <w:sz w:val="18"/>
          <w:szCs w:val="18"/>
        </w:rPr>
        <w:t>126,5</w:t>
      </w:r>
      <w:r>
        <w:rPr>
          <w:rFonts w:ascii="Theinhardt Regular Italic" w:hAnsi="Theinhardt Regular Italic" w:cs="Theinhardt Regular Italic" w:eastAsia="Theinhardt Regular Italic"/>
          <w:i/>
          <w:spacing w:val="-11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3"/>
          <w:sz w:val="18"/>
          <w:szCs w:val="18"/>
        </w:rPr>
        <w:t>kWc</w:t>
      </w:r>
      <w:r>
        <w:rPr>
          <w:rFonts w:ascii="Theinhardt Regular Italic" w:hAnsi="Theinhardt Regular Italic" w:cs="Theinhardt Regular Italic" w:eastAsia="Theinhardt Regular Italic"/>
          <w:i/>
          <w:spacing w:val="-11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2"/>
          <w:sz w:val="18"/>
          <w:szCs w:val="18"/>
        </w:rPr>
        <w:t>produit</w:t>
      </w:r>
      <w:r>
        <w:rPr>
          <w:rFonts w:ascii="Theinhardt Regular Italic" w:hAnsi="Theinhardt Regular Italic" w:cs="Theinhardt Regular Italic" w:eastAsia="Theinhardt Regular Italic"/>
          <w:i/>
          <w:spacing w:val="-11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z w:val="18"/>
          <w:szCs w:val="18"/>
        </w:rPr>
        <w:t>au</w:t>
      </w:r>
      <w:r>
        <w:rPr>
          <w:rFonts w:ascii="Theinhardt Regular Italic" w:hAnsi="Theinhardt Regular Italic" w:cs="Theinhardt Regular Italic" w:eastAsia="Theinhardt Regular Italic"/>
          <w:i/>
          <w:spacing w:val="43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3"/>
          <w:sz w:val="18"/>
          <w:szCs w:val="18"/>
        </w:rPr>
        <w:t>total</w:t>
      </w:r>
      <w:r>
        <w:rPr>
          <w:rFonts w:ascii="Theinhardt Regular Italic" w:hAnsi="Theinhardt Regular Italic" w:cs="Theinhardt Regular Italic" w:eastAsia="Theinhardt Regular Italic"/>
          <w:i/>
          <w:spacing w:val="-4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2"/>
          <w:sz w:val="18"/>
          <w:szCs w:val="18"/>
        </w:rPr>
        <w:t>92’000</w:t>
      </w:r>
      <w:r>
        <w:rPr>
          <w:rFonts w:ascii="Theinhardt Regular Italic" w:hAnsi="Theinhardt Regular Italic" w:cs="Theinhardt Regular Italic" w:eastAsia="Theinhardt Regular Italic"/>
          <w:i/>
          <w:spacing w:val="-4"/>
          <w:sz w:val="18"/>
          <w:szCs w:val="18"/>
        </w:rPr>
        <w:t> kWh/a.</w:t>
      </w:r>
      <w:r>
        <w:rPr>
          <w:rFonts w:ascii="Theinhardt Regular Italic" w:hAnsi="Theinhardt Regular Italic" w:cs="Theinhardt Regular Italic" w:eastAsia="Theinhardt Regular Italic"/>
          <w:sz w:val="18"/>
          <w:szCs w:val="18"/>
        </w:rPr>
      </w:r>
    </w:p>
    <w:p>
      <w:pPr>
        <w:spacing w:line="230" w:lineRule="exact" w:before="0"/>
        <w:ind w:left="106" w:right="0" w:firstLine="226"/>
        <w:jc w:val="both"/>
        <w:rPr>
          <w:rFonts w:ascii="Theinhardt Regular Italic" w:hAnsi="Theinhardt Regular Italic" w:cs="Theinhardt Regular Italic" w:eastAsia="Theinhardt Regular Italic"/>
          <w:sz w:val="18"/>
          <w:szCs w:val="18"/>
        </w:rPr>
      </w:pPr>
      <w:r>
        <w:rPr>
          <w:rFonts w:ascii="Theinhardt Regular Italic" w:hAnsi="Theinhardt Regular Italic" w:cs="Theinhardt Regular Italic" w:eastAsia="Theinhardt Regular Italic"/>
          <w:i/>
          <w:spacing w:val="-7"/>
          <w:sz w:val="18"/>
          <w:szCs w:val="18"/>
        </w:rPr>
        <w:t>L’excédent</w:t>
      </w:r>
      <w:r>
        <w:rPr>
          <w:rFonts w:ascii="Theinhardt Regular Italic" w:hAnsi="Theinhardt Regular Italic" w:cs="Theinhardt Regular Italic" w:eastAsia="Theinhardt Regular Italic"/>
          <w:i/>
          <w:spacing w:val="-13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3"/>
          <w:sz w:val="18"/>
          <w:szCs w:val="18"/>
        </w:rPr>
        <w:t>permet</w:t>
      </w:r>
      <w:r>
        <w:rPr>
          <w:rFonts w:ascii="Theinhardt Regular Italic" w:hAnsi="Theinhardt Regular Italic" w:cs="Theinhardt Regular Italic" w:eastAsia="Theinhardt Regular Italic"/>
          <w:i/>
          <w:spacing w:val="-13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3"/>
          <w:sz w:val="18"/>
          <w:szCs w:val="18"/>
        </w:rPr>
        <w:t>de</w:t>
      </w:r>
      <w:r>
        <w:rPr>
          <w:rFonts w:ascii="Theinhardt Regular Italic" w:hAnsi="Theinhardt Regular Italic" w:cs="Theinhardt Regular Italic" w:eastAsia="Theinhardt Regular Italic"/>
          <w:i/>
          <w:spacing w:val="-13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2"/>
          <w:sz w:val="18"/>
          <w:szCs w:val="18"/>
        </w:rPr>
        <w:t>faire</w:t>
      </w:r>
      <w:r>
        <w:rPr>
          <w:rFonts w:ascii="Theinhardt Regular Italic" w:hAnsi="Theinhardt Regular Italic" w:cs="Theinhardt Regular Italic" w:eastAsia="Theinhardt Regular Italic"/>
          <w:i/>
          <w:spacing w:val="-13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4"/>
          <w:sz w:val="18"/>
          <w:szCs w:val="18"/>
        </w:rPr>
        <w:t>circuler</w:t>
      </w:r>
      <w:r>
        <w:rPr>
          <w:rFonts w:ascii="Theinhardt Regular Italic" w:hAnsi="Theinhardt Regular Italic" w:cs="Theinhardt Regular Italic" w:eastAsia="Theinhardt Regular Italic"/>
          <w:i/>
          <w:spacing w:val="-13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1"/>
          <w:sz w:val="18"/>
          <w:szCs w:val="18"/>
        </w:rPr>
        <w:t>un</w:t>
      </w:r>
      <w:r>
        <w:rPr>
          <w:rFonts w:ascii="Theinhardt Regular Italic" w:hAnsi="Theinhardt Regular Italic" w:cs="Theinhardt Regular Italic" w:eastAsia="Theinhardt Regular Italic"/>
          <w:i/>
          <w:spacing w:val="-13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3"/>
          <w:sz w:val="18"/>
          <w:szCs w:val="18"/>
        </w:rPr>
        <w:t>véhi-</w:t>
      </w:r>
      <w:r>
        <w:rPr>
          <w:rFonts w:ascii="Theinhardt Regular Italic" w:hAnsi="Theinhardt Regular Italic" w:cs="Theinhardt Regular Italic" w:eastAsia="Theinhardt Regular Italic"/>
          <w:i/>
          <w:spacing w:val="47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3"/>
          <w:sz w:val="18"/>
          <w:szCs w:val="18"/>
        </w:rPr>
        <w:t>cule</w:t>
      </w:r>
      <w:r>
        <w:rPr>
          <w:rFonts w:ascii="Theinhardt Regular Italic" w:hAnsi="Theinhardt Regular Italic" w:cs="Theinhardt Regular Italic" w:eastAsia="Theinhardt Regular Italic"/>
          <w:i/>
          <w:spacing w:val="6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3"/>
          <w:sz w:val="18"/>
          <w:szCs w:val="18"/>
        </w:rPr>
        <w:t>électrique</w:t>
      </w:r>
      <w:r>
        <w:rPr>
          <w:rFonts w:ascii="Theinhardt Regular Italic" w:hAnsi="Theinhardt Regular Italic" w:cs="Theinhardt Regular Italic" w:eastAsia="Theinhardt Regular Italic"/>
          <w:i/>
          <w:spacing w:val="6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z w:val="18"/>
          <w:szCs w:val="18"/>
        </w:rPr>
        <w:t>à</w:t>
      </w:r>
      <w:r>
        <w:rPr>
          <w:rFonts w:ascii="Theinhardt Regular Italic" w:hAnsi="Theinhardt Regular Italic" w:cs="Theinhardt Regular Italic" w:eastAsia="Theinhardt Regular Italic"/>
          <w:i/>
          <w:spacing w:val="6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3"/>
          <w:sz w:val="18"/>
          <w:szCs w:val="18"/>
        </w:rPr>
        <w:t>usage</w:t>
      </w:r>
      <w:r>
        <w:rPr>
          <w:rFonts w:ascii="Theinhardt Regular Italic" w:hAnsi="Theinhardt Regular Italic" w:cs="Theinhardt Regular Italic" w:eastAsia="Theinhardt Regular Italic"/>
          <w:i/>
          <w:spacing w:val="6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3"/>
          <w:sz w:val="18"/>
          <w:szCs w:val="18"/>
        </w:rPr>
        <w:t>commun.</w:t>
      </w:r>
      <w:r>
        <w:rPr>
          <w:rFonts w:ascii="Theinhardt Regular Italic" w:hAnsi="Theinhardt Regular Italic" w:cs="Theinhardt Regular Italic" w:eastAsia="Theinhardt Regular Italic"/>
          <w:i/>
          <w:spacing w:val="-1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6"/>
          <w:sz w:val="18"/>
          <w:szCs w:val="18"/>
        </w:rPr>
        <w:t>Le</w:t>
      </w:r>
      <w:r>
        <w:rPr>
          <w:rFonts w:ascii="Theinhardt Regular Italic" w:hAnsi="Theinhardt Regular Italic" w:cs="Theinhardt Regular Italic" w:eastAsia="Theinhardt Regular Italic"/>
          <w:i/>
          <w:spacing w:val="6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4"/>
          <w:sz w:val="18"/>
          <w:szCs w:val="18"/>
        </w:rPr>
        <w:t>concept</w:t>
      </w:r>
      <w:r>
        <w:rPr>
          <w:rFonts w:ascii="Theinhardt Regular Italic" w:hAnsi="Theinhardt Regular Italic" w:cs="Theinhardt Regular Italic" w:eastAsia="Theinhardt Regular Italic"/>
          <w:i/>
          <w:spacing w:val="37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3"/>
          <w:sz w:val="18"/>
          <w:szCs w:val="18"/>
        </w:rPr>
        <w:t>intègre</w:t>
      </w:r>
      <w:r>
        <w:rPr>
          <w:rFonts w:ascii="Theinhardt Regular Italic" w:hAnsi="Theinhardt Regular Italic" w:cs="Theinhardt Regular Italic" w:eastAsia="Theinhardt Regular Italic"/>
          <w:i/>
          <w:spacing w:val="-6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2"/>
          <w:sz w:val="18"/>
          <w:szCs w:val="18"/>
        </w:rPr>
        <w:t>aussi</w:t>
      </w:r>
      <w:r>
        <w:rPr>
          <w:rFonts w:ascii="Theinhardt Regular Italic" w:hAnsi="Theinhardt Regular Italic" w:cs="Theinhardt Regular Italic" w:eastAsia="Theinhardt Regular Italic"/>
          <w:i/>
          <w:spacing w:val="-6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3"/>
          <w:sz w:val="18"/>
          <w:szCs w:val="18"/>
        </w:rPr>
        <w:t>une</w:t>
      </w:r>
      <w:r>
        <w:rPr>
          <w:rFonts w:ascii="Theinhardt Regular Italic" w:hAnsi="Theinhardt Regular Italic" w:cs="Theinhardt Regular Italic" w:eastAsia="Theinhardt Regular Italic"/>
          <w:i/>
          <w:spacing w:val="-6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3"/>
          <w:sz w:val="18"/>
          <w:szCs w:val="18"/>
        </w:rPr>
        <w:t>voiture</w:t>
      </w:r>
      <w:r>
        <w:rPr>
          <w:rFonts w:ascii="Theinhardt Regular Italic" w:hAnsi="Theinhardt Regular Italic" w:cs="Theinhardt Regular Italic" w:eastAsia="Theinhardt Regular Italic"/>
          <w:i/>
          <w:spacing w:val="-6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z w:val="18"/>
          <w:szCs w:val="18"/>
        </w:rPr>
        <w:t>au</w:t>
      </w:r>
      <w:r>
        <w:rPr>
          <w:rFonts w:ascii="Theinhardt Regular Italic" w:hAnsi="Theinhardt Regular Italic" w:cs="Theinhardt Regular Italic" w:eastAsia="Theinhardt Regular Italic"/>
          <w:i/>
          <w:spacing w:val="-6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2"/>
          <w:sz w:val="18"/>
          <w:szCs w:val="18"/>
        </w:rPr>
        <w:t>biogaz,</w:t>
      </w:r>
      <w:r>
        <w:rPr>
          <w:rFonts w:ascii="Theinhardt Regular Italic" w:hAnsi="Theinhardt Regular Italic" w:cs="Theinhardt Regular Italic" w:eastAsia="Theinhardt Regular Italic"/>
          <w:i/>
          <w:spacing w:val="-13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3"/>
          <w:sz w:val="18"/>
          <w:szCs w:val="18"/>
        </w:rPr>
        <w:t>alimentée</w:t>
      </w:r>
      <w:r>
        <w:rPr>
          <w:rFonts w:ascii="Theinhardt Regular Italic" w:hAnsi="Theinhardt Regular Italic" w:cs="Theinhardt Regular Italic" w:eastAsia="Theinhardt Regular Italic"/>
          <w:i/>
          <w:spacing w:val="33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2"/>
          <w:sz w:val="18"/>
          <w:szCs w:val="18"/>
        </w:rPr>
        <w:t>par</w:t>
      </w:r>
      <w:r>
        <w:rPr>
          <w:rFonts w:ascii="Theinhardt Regular Italic" w:hAnsi="Theinhardt Regular Italic" w:cs="Theinhardt Regular Italic" w:eastAsia="Theinhardt Regular Italic"/>
          <w:i/>
          <w:spacing w:val="-9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3"/>
          <w:sz w:val="18"/>
          <w:szCs w:val="18"/>
        </w:rPr>
        <w:t>les</w:t>
      </w:r>
      <w:r>
        <w:rPr>
          <w:rFonts w:ascii="Theinhardt Regular Italic" w:hAnsi="Theinhardt Regular Italic" w:cs="Theinhardt Regular Italic" w:eastAsia="Theinhardt Regular Italic"/>
          <w:i/>
          <w:spacing w:val="-9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4"/>
          <w:sz w:val="18"/>
          <w:szCs w:val="18"/>
        </w:rPr>
        <w:t>déchets</w:t>
      </w:r>
      <w:r>
        <w:rPr>
          <w:rFonts w:ascii="Theinhardt Regular Italic" w:hAnsi="Theinhardt Regular Italic" w:cs="Theinhardt Regular Italic" w:eastAsia="Theinhardt Regular Italic"/>
          <w:i/>
          <w:spacing w:val="-9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3"/>
          <w:sz w:val="18"/>
          <w:szCs w:val="18"/>
        </w:rPr>
        <w:t>de</w:t>
      </w:r>
      <w:r>
        <w:rPr>
          <w:rFonts w:ascii="Theinhardt Regular Italic" w:hAnsi="Theinhardt Regular Italic" w:cs="Theinhardt Regular Italic" w:eastAsia="Theinhardt Regular Italic"/>
          <w:i/>
          <w:spacing w:val="-9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3"/>
          <w:sz w:val="18"/>
          <w:szCs w:val="18"/>
        </w:rPr>
        <w:t>cuisine</w:t>
      </w:r>
      <w:r>
        <w:rPr>
          <w:rFonts w:ascii="Theinhardt Regular Italic" w:hAnsi="Theinhardt Regular Italic" w:cs="Theinhardt Regular Italic" w:eastAsia="Theinhardt Regular Italic"/>
          <w:i/>
          <w:spacing w:val="-9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3"/>
          <w:sz w:val="18"/>
          <w:szCs w:val="18"/>
        </w:rPr>
        <w:t>fermentés</w:t>
      </w:r>
      <w:r>
        <w:rPr>
          <w:rFonts w:ascii="Theinhardt Regular Italic" w:hAnsi="Theinhardt Regular Italic" w:cs="Theinhardt Regular Italic" w:eastAsia="Theinhardt Regular Italic"/>
          <w:i/>
          <w:spacing w:val="-9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3"/>
          <w:sz w:val="18"/>
          <w:szCs w:val="18"/>
        </w:rPr>
        <w:t>des</w:t>
      </w:r>
      <w:r>
        <w:rPr>
          <w:rFonts w:ascii="Theinhardt Regular Italic" w:hAnsi="Theinhardt Regular Italic" w:cs="Theinhardt Regular Italic" w:eastAsia="Theinhardt Regular Italic"/>
          <w:i/>
          <w:spacing w:val="-9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3"/>
          <w:sz w:val="18"/>
          <w:szCs w:val="18"/>
        </w:rPr>
        <w:t>rési-</w:t>
      </w:r>
      <w:r>
        <w:rPr>
          <w:rFonts w:ascii="Theinhardt Regular Italic" w:hAnsi="Theinhardt Regular Italic" w:cs="Theinhardt Regular Italic" w:eastAsia="Theinhardt Regular Italic"/>
          <w:i/>
          <w:spacing w:val="43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2"/>
          <w:sz w:val="18"/>
          <w:szCs w:val="18"/>
        </w:rPr>
        <w:t>dents.</w:t>
      </w:r>
      <w:r>
        <w:rPr>
          <w:rFonts w:ascii="Theinhardt Regular Italic" w:hAnsi="Theinhardt Regular Italic" w:cs="Theinhardt Regular Italic" w:eastAsia="Theinhardt Regular Italic"/>
          <w:sz w:val="18"/>
          <w:szCs w:val="18"/>
        </w:rPr>
      </w:r>
    </w:p>
    <w:p>
      <w:pPr>
        <w:spacing w:line="230" w:lineRule="exact" w:before="0"/>
        <w:ind w:left="106" w:right="0" w:firstLine="226"/>
        <w:jc w:val="both"/>
        <w:rPr>
          <w:rFonts w:ascii="Theinhardt Regular Italic" w:hAnsi="Theinhardt Regular Italic" w:cs="Theinhardt Regular Italic" w:eastAsia="Theinhardt Regular Italic"/>
          <w:sz w:val="18"/>
          <w:szCs w:val="18"/>
        </w:rPr>
      </w:pPr>
      <w:r>
        <w:rPr>
          <w:rFonts w:ascii="Theinhardt Regular Italic" w:hAnsi="Theinhardt Regular Italic" w:cs="Theinhardt Regular Italic" w:eastAsia="Theinhardt Regular Italic"/>
          <w:i/>
          <w:sz w:val="18"/>
          <w:szCs w:val="18"/>
        </w:rPr>
        <w:t>Un</w:t>
      </w:r>
      <w:r>
        <w:rPr>
          <w:rFonts w:ascii="Theinhardt Regular Italic" w:hAnsi="Theinhardt Regular Italic" w:cs="Theinhardt Regular Italic" w:eastAsia="Theinhardt Regular Italic"/>
          <w:i/>
          <w:spacing w:val="29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4"/>
          <w:sz w:val="18"/>
          <w:szCs w:val="18"/>
        </w:rPr>
        <w:t>système</w:t>
      </w:r>
      <w:r>
        <w:rPr>
          <w:rFonts w:ascii="Theinhardt Regular Italic" w:hAnsi="Theinhardt Regular Italic" w:cs="Theinhardt Regular Italic" w:eastAsia="Theinhardt Regular Italic"/>
          <w:i/>
          <w:spacing w:val="30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3"/>
          <w:sz w:val="18"/>
          <w:szCs w:val="18"/>
        </w:rPr>
        <w:t>de</w:t>
      </w:r>
      <w:r>
        <w:rPr>
          <w:rFonts w:ascii="Theinhardt Regular Italic" w:hAnsi="Theinhardt Regular Italic" w:cs="Theinhardt Regular Italic" w:eastAsia="Theinhardt Regular Italic"/>
          <w:i/>
          <w:spacing w:val="29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4"/>
          <w:sz w:val="18"/>
          <w:szCs w:val="18"/>
        </w:rPr>
        <w:t>stockage</w:t>
      </w:r>
      <w:r>
        <w:rPr>
          <w:rFonts w:ascii="Theinhardt Regular Italic" w:hAnsi="Theinhardt Regular Italic" w:cs="Theinhardt Regular Italic" w:eastAsia="Theinhardt Regular Italic"/>
          <w:i/>
          <w:spacing w:val="30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3"/>
          <w:sz w:val="18"/>
          <w:szCs w:val="18"/>
        </w:rPr>
        <w:t>de</w:t>
      </w:r>
      <w:r>
        <w:rPr>
          <w:rFonts w:ascii="Theinhardt Regular Italic" w:hAnsi="Theinhardt Regular Italic" w:cs="Theinhardt Regular Italic" w:eastAsia="Theinhardt Regular Italic"/>
          <w:i/>
          <w:spacing w:val="30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4"/>
          <w:sz w:val="18"/>
          <w:szCs w:val="18"/>
        </w:rPr>
        <w:t>l’énergie</w:t>
      </w:r>
      <w:r>
        <w:rPr>
          <w:rFonts w:ascii="Theinhardt Regular Italic" w:hAnsi="Theinhardt Regular Italic" w:cs="Theinhardt Regular Italic" w:eastAsia="Theinhardt Regular Italic"/>
          <w:i/>
          <w:spacing w:val="29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3"/>
          <w:sz w:val="18"/>
          <w:szCs w:val="18"/>
        </w:rPr>
        <w:t>élaboré</w:t>
      </w:r>
      <w:r>
        <w:rPr>
          <w:rFonts w:ascii="Theinhardt Regular Italic" w:hAnsi="Theinhardt Regular Italic" w:cs="Theinhardt Regular Italic" w:eastAsia="Theinhardt Regular Italic"/>
          <w:i/>
          <w:spacing w:val="15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2"/>
          <w:sz w:val="18"/>
          <w:szCs w:val="18"/>
        </w:rPr>
        <w:t>est</w:t>
      </w:r>
      <w:r>
        <w:rPr>
          <w:rFonts w:ascii="Theinhardt Regular Italic" w:hAnsi="Theinhardt Regular Italic" w:cs="Theinhardt Regular Italic" w:eastAsia="Theinhardt Regular Italic"/>
          <w:i/>
          <w:spacing w:val="15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3"/>
          <w:sz w:val="18"/>
          <w:szCs w:val="18"/>
        </w:rPr>
        <w:t>indispensable</w:t>
      </w:r>
      <w:r>
        <w:rPr>
          <w:rFonts w:ascii="Theinhardt Regular Italic" w:hAnsi="Theinhardt Regular Italic" w:cs="Theinhardt Regular Italic" w:eastAsia="Theinhardt Regular Italic"/>
          <w:i/>
          <w:spacing w:val="15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2"/>
          <w:sz w:val="18"/>
          <w:szCs w:val="18"/>
        </w:rPr>
        <w:t>pour</w:t>
      </w:r>
      <w:r>
        <w:rPr>
          <w:rFonts w:ascii="Theinhardt Regular Italic" w:hAnsi="Theinhardt Regular Italic" w:cs="Theinhardt Regular Italic" w:eastAsia="Theinhardt Regular Italic"/>
          <w:i/>
          <w:spacing w:val="15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2"/>
          <w:sz w:val="18"/>
          <w:szCs w:val="18"/>
        </w:rPr>
        <w:t>garantir</w:t>
      </w:r>
      <w:r>
        <w:rPr>
          <w:rFonts w:ascii="Theinhardt Regular Italic" w:hAnsi="Theinhardt Regular Italic" w:cs="Theinhardt Regular Italic" w:eastAsia="Theinhardt Regular Italic"/>
          <w:i/>
          <w:spacing w:val="49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1"/>
          <w:sz w:val="18"/>
          <w:szCs w:val="18"/>
        </w:rPr>
        <w:t>l’autosuffi</w:t>
      </w:r>
      <w:r>
        <w:rPr>
          <w:rFonts w:ascii="Theinhardt Regular Italic" w:hAnsi="Theinhardt Regular Italic" w:cs="Theinhardt Regular Italic" w:eastAsia="Theinhardt Regular Italic"/>
          <w:i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7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3"/>
          <w:sz w:val="18"/>
          <w:szCs w:val="18"/>
        </w:rPr>
        <w:t>ce.</w:t>
      </w:r>
      <w:r>
        <w:rPr>
          <w:rFonts w:ascii="Theinhardt Regular Italic" w:hAnsi="Theinhardt Regular Italic" w:cs="Theinhardt Regular Italic" w:eastAsia="Theinhardt Regular Italic"/>
          <w:i/>
          <w:spacing w:val="15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z w:val="18"/>
          <w:szCs w:val="18"/>
        </w:rPr>
        <w:t>Des</w:t>
      </w:r>
      <w:r>
        <w:rPr>
          <w:rFonts w:ascii="Theinhardt Regular Italic" w:hAnsi="Theinhardt Regular Italic" w:cs="Theinhardt Regular Italic" w:eastAsia="Theinhardt Regular Italic"/>
          <w:i/>
          <w:spacing w:val="22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3"/>
          <w:sz w:val="18"/>
          <w:szCs w:val="18"/>
        </w:rPr>
        <w:t>batteries</w:t>
      </w:r>
      <w:r>
        <w:rPr>
          <w:rFonts w:ascii="Theinhardt Regular Italic" w:hAnsi="Theinhardt Regular Italic" w:cs="Theinhardt Regular Italic" w:eastAsia="Theinhardt Regular Italic"/>
          <w:i/>
          <w:spacing w:val="22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3"/>
          <w:sz w:val="18"/>
          <w:szCs w:val="18"/>
        </w:rPr>
        <w:t>doivent</w:t>
      </w:r>
      <w:r>
        <w:rPr>
          <w:rFonts w:ascii="Theinhardt Regular Italic" w:hAnsi="Theinhardt Regular Italic" w:cs="Theinhardt Regular Italic" w:eastAsia="Theinhardt Regular Italic"/>
          <w:i/>
          <w:spacing w:val="22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2"/>
          <w:sz w:val="18"/>
          <w:szCs w:val="18"/>
        </w:rPr>
        <w:t>assu-</w:t>
      </w:r>
      <w:r>
        <w:rPr>
          <w:rFonts w:ascii="Theinhardt Regular Italic" w:hAnsi="Theinhardt Regular Italic" w:cs="Theinhardt Regular Italic" w:eastAsia="Theinhardt Regular Italic"/>
          <w:i/>
          <w:spacing w:val="31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3"/>
          <w:sz w:val="18"/>
          <w:szCs w:val="18"/>
        </w:rPr>
        <w:t>rer</w:t>
      </w:r>
      <w:r>
        <w:rPr>
          <w:rFonts w:ascii="Theinhardt Regular Italic" w:hAnsi="Theinhardt Regular Italic" w:cs="Theinhardt Regular Italic" w:eastAsia="Theinhardt Regular Italic"/>
          <w:i/>
          <w:spacing w:val="-12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3"/>
          <w:sz w:val="18"/>
          <w:szCs w:val="18"/>
        </w:rPr>
        <w:t>l’approvisionnement</w:t>
      </w:r>
      <w:r>
        <w:rPr>
          <w:rFonts w:ascii="Theinhardt Regular Italic" w:hAnsi="Theinhardt Regular Italic" w:cs="Theinhardt Regular Italic" w:eastAsia="Theinhardt Regular Italic"/>
          <w:i/>
          <w:spacing w:val="-12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z w:val="18"/>
          <w:szCs w:val="18"/>
        </w:rPr>
        <w:t>à</w:t>
      </w:r>
      <w:r>
        <w:rPr>
          <w:rFonts w:ascii="Theinhardt Regular Italic" w:hAnsi="Theinhardt Regular Italic" w:cs="Theinhardt Regular Italic" w:eastAsia="Theinhardt Regular Italic"/>
          <w:i/>
          <w:spacing w:val="-12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1"/>
          <w:sz w:val="18"/>
          <w:szCs w:val="18"/>
        </w:rPr>
        <w:t>court</w:t>
      </w:r>
      <w:r>
        <w:rPr>
          <w:rFonts w:ascii="Theinhardt Regular Italic" w:hAnsi="Theinhardt Regular Italic" w:cs="Theinhardt Regular Italic" w:eastAsia="Theinhardt Regular Italic"/>
          <w:i/>
          <w:spacing w:val="-12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3"/>
          <w:sz w:val="18"/>
          <w:szCs w:val="18"/>
        </w:rPr>
        <w:t>terme.</w:t>
      </w:r>
      <w:r>
        <w:rPr>
          <w:rFonts w:ascii="Theinhardt Regular Italic" w:hAnsi="Theinhardt Regular Italic" w:cs="Theinhardt Regular Italic" w:eastAsia="Theinhardt Regular Italic"/>
          <w:i/>
          <w:spacing w:val="-19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z w:val="18"/>
          <w:szCs w:val="18"/>
        </w:rPr>
        <w:t>Et</w:t>
      </w:r>
      <w:r>
        <w:rPr>
          <w:rFonts w:ascii="Theinhardt Regular Italic" w:hAnsi="Theinhardt Regular Italic" w:cs="Theinhardt Regular Italic" w:eastAsia="Theinhardt Regular Italic"/>
          <w:i/>
          <w:spacing w:val="-12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2"/>
          <w:sz w:val="18"/>
          <w:szCs w:val="18"/>
        </w:rPr>
        <w:t>pour</w:t>
      </w:r>
      <w:r>
        <w:rPr>
          <w:rFonts w:ascii="Theinhardt Regular Italic" w:hAnsi="Theinhardt Regular Italic" w:cs="Theinhardt Regular Italic" w:eastAsia="Theinhardt Regular Italic"/>
          <w:i/>
          <w:spacing w:val="23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3"/>
          <w:sz w:val="18"/>
          <w:szCs w:val="18"/>
        </w:rPr>
        <w:t>le</w:t>
      </w:r>
      <w:r>
        <w:rPr>
          <w:rFonts w:ascii="Theinhardt Regular Italic" w:hAnsi="Theinhardt Regular Italic" w:cs="Theinhardt Regular Italic" w:eastAsia="Theinhardt Regular Italic"/>
          <w:i/>
          <w:spacing w:val="22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4"/>
          <w:sz w:val="18"/>
          <w:szCs w:val="18"/>
        </w:rPr>
        <w:t>stockage</w:t>
      </w:r>
      <w:r>
        <w:rPr>
          <w:rFonts w:ascii="Theinhardt Regular Italic" w:hAnsi="Theinhardt Regular Italic" w:cs="Theinhardt Regular Italic" w:eastAsia="Theinhardt Regular Italic"/>
          <w:i/>
          <w:spacing w:val="22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z w:val="18"/>
          <w:szCs w:val="18"/>
        </w:rPr>
        <w:t>à</w:t>
      </w:r>
      <w:r>
        <w:rPr>
          <w:rFonts w:ascii="Theinhardt Regular Italic" w:hAnsi="Theinhardt Regular Italic" w:cs="Theinhardt Regular Italic" w:eastAsia="Theinhardt Regular Italic"/>
          <w:i/>
          <w:spacing w:val="22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3"/>
          <w:sz w:val="18"/>
          <w:szCs w:val="18"/>
        </w:rPr>
        <w:t>long</w:t>
      </w:r>
      <w:r>
        <w:rPr>
          <w:rFonts w:ascii="Theinhardt Regular Italic" w:hAnsi="Theinhardt Regular Italic" w:cs="Theinhardt Regular Italic" w:eastAsia="Theinhardt Regular Italic"/>
          <w:i/>
          <w:spacing w:val="22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3"/>
          <w:sz w:val="18"/>
          <w:szCs w:val="18"/>
        </w:rPr>
        <w:t>terme,</w:t>
      </w:r>
      <w:r>
        <w:rPr>
          <w:rFonts w:ascii="Theinhardt Regular Italic" w:hAnsi="Theinhardt Regular Italic" w:cs="Theinhardt Regular Italic" w:eastAsia="Theinhardt Regular Italic"/>
          <w:i/>
          <w:spacing w:val="15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1"/>
          <w:sz w:val="18"/>
          <w:szCs w:val="18"/>
        </w:rPr>
        <w:t>on</w:t>
      </w:r>
      <w:r>
        <w:rPr>
          <w:rFonts w:ascii="Theinhardt Regular Italic" w:hAnsi="Theinhardt Regular Italic" w:cs="Theinhardt Regular Italic" w:eastAsia="Theinhardt Regular Italic"/>
          <w:i/>
          <w:spacing w:val="22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1"/>
          <w:sz w:val="18"/>
          <w:szCs w:val="18"/>
        </w:rPr>
        <w:t>fait</w:t>
      </w:r>
      <w:r>
        <w:rPr>
          <w:rFonts w:ascii="Theinhardt Regular Italic" w:hAnsi="Theinhardt Regular Italic" w:cs="Theinhardt Regular Italic" w:eastAsia="Theinhardt Regular Italic"/>
          <w:i/>
          <w:spacing w:val="22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2"/>
          <w:sz w:val="18"/>
          <w:szCs w:val="18"/>
        </w:rPr>
        <w:t>appel</w:t>
      </w:r>
      <w:r>
        <w:rPr>
          <w:rFonts w:ascii="Theinhardt Regular Italic" w:hAnsi="Theinhardt Regular Italic" w:cs="Theinhardt Regular Italic" w:eastAsia="Theinhardt Regular Italic"/>
          <w:i/>
          <w:spacing w:val="22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z w:val="18"/>
          <w:szCs w:val="18"/>
        </w:rPr>
        <w:t>à</w:t>
      </w:r>
      <w:r>
        <w:rPr>
          <w:rFonts w:ascii="Theinhardt Regular Italic" w:hAnsi="Theinhardt Regular Italic" w:cs="Theinhardt Regular Italic" w:eastAsia="Theinhardt Regular Italic"/>
          <w:i/>
          <w:spacing w:val="22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1"/>
          <w:sz w:val="18"/>
          <w:szCs w:val="18"/>
        </w:rPr>
        <w:t>la</w:t>
      </w:r>
      <w:r>
        <w:rPr>
          <w:rFonts w:ascii="Theinhardt Regular Italic" w:hAnsi="Theinhardt Regular Italic" w:cs="Theinhardt Regular Italic" w:eastAsia="Theinhardt Regular Italic"/>
          <w:i/>
          <w:spacing w:val="25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4"/>
          <w:sz w:val="18"/>
          <w:szCs w:val="18"/>
        </w:rPr>
        <w:t>technologie</w:t>
      </w:r>
      <w:r>
        <w:rPr>
          <w:rFonts w:ascii="Theinhardt Regular Italic" w:hAnsi="Theinhardt Regular Italic" w:cs="Theinhardt Regular Italic" w:eastAsia="Theinhardt Regular Italic"/>
          <w:i/>
          <w:spacing w:val="26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1"/>
          <w:sz w:val="18"/>
          <w:szCs w:val="18"/>
        </w:rPr>
        <w:t>du</w:t>
      </w:r>
      <w:r>
        <w:rPr>
          <w:rFonts w:ascii="Theinhardt Regular Italic" w:hAnsi="Theinhardt Regular Italic" w:cs="Theinhardt Regular Italic" w:eastAsia="Theinhardt Regular Italic"/>
          <w:i/>
          <w:spacing w:val="27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3"/>
          <w:sz w:val="18"/>
          <w:szCs w:val="18"/>
        </w:rPr>
        <w:t>«power-to-gas»</w:t>
      </w:r>
      <w:r>
        <w:rPr>
          <w:rFonts w:ascii="Theinhardt Regular Italic" w:hAnsi="Theinhardt Regular Italic" w:cs="Theinhardt Regular Italic" w:eastAsia="Theinhardt Regular Italic"/>
          <w:i/>
          <w:spacing w:val="26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2"/>
          <w:sz w:val="18"/>
          <w:szCs w:val="18"/>
        </w:rPr>
        <w:t>qui</w:t>
      </w:r>
      <w:r>
        <w:rPr>
          <w:rFonts w:ascii="Theinhardt Regular Italic" w:hAnsi="Theinhardt Regular Italic" w:cs="Theinhardt Regular Italic" w:eastAsia="Theinhardt Regular Italic"/>
          <w:i/>
          <w:spacing w:val="27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2"/>
          <w:sz w:val="18"/>
          <w:szCs w:val="18"/>
        </w:rPr>
        <w:t>convertit</w:t>
      </w:r>
      <w:r>
        <w:rPr>
          <w:rFonts w:ascii="Theinhardt Regular Italic" w:hAnsi="Theinhardt Regular Italic" w:cs="Theinhardt Regular Italic" w:eastAsia="Theinhardt Regular Italic"/>
          <w:i/>
          <w:spacing w:val="37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3"/>
          <w:sz w:val="18"/>
          <w:szCs w:val="18"/>
        </w:rPr>
        <w:t>le </w:t>
      </w:r>
      <w:r>
        <w:rPr>
          <w:rFonts w:ascii="Theinhardt Regular Italic" w:hAnsi="Theinhardt Regular Italic" w:cs="Theinhardt Regular Italic" w:eastAsia="Theinhardt Regular Italic"/>
          <w:i/>
          <w:spacing w:val="-2"/>
          <w:sz w:val="18"/>
          <w:szCs w:val="18"/>
        </w:rPr>
        <w:t>courant</w:t>
      </w:r>
      <w:r>
        <w:rPr>
          <w:rFonts w:ascii="Theinhardt Regular Italic" w:hAnsi="Theinhardt Regular Italic" w:cs="Theinhardt Regular Italic" w:eastAsia="Theinhardt Regular Italic"/>
          <w:i/>
          <w:spacing w:val="-3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4"/>
          <w:sz w:val="18"/>
          <w:szCs w:val="18"/>
        </w:rPr>
        <w:t>excédentaire</w:t>
      </w:r>
      <w:r>
        <w:rPr>
          <w:rFonts w:ascii="Theinhardt Regular Italic" w:hAnsi="Theinhardt Regular Italic" w:cs="Theinhardt Regular Italic" w:eastAsia="Theinhardt Regular Italic"/>
          <w:i/>
          <w:spacing w:val="-3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2"/>
          <w:sz w:val="18"/>
          <w:szCs w:val="18"/>
        </w:rPr>
        <w:t>en</w:t>
      </w:r>
      <w:r>
        <w:rPr>
          <w:rFonts w:ascii="Theinhardt Regular Italic" w:hAnsi="Theinhardt Regular Italic" w:cs="Theinhardt Regular Italic" w:eastAsia="Theinhardt Regular Italic"/>
          <w:i/>
          <w:spacing w:val="-3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4"/>
          <w:sz w:val="18"/>
          <w:szCs w:val="18"/>
        </w:rPr>
        <w:t>hydrogène,</w:t>
      </w:r>
      <w:r>
        <w:rPr>
          <w:rFonts w:ascii="Theinhardt Regular Italic" w:hAnsi="Theinhardt Regular Italic" w:cs="Theinhardt Regular Italic" w:eastAsia="Theinhardt Regular Italic"/>
          <w:i/>
          <w:spacing w:val="-10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3"/>
          <w:sz w:val="18"/>
          <w:szCs w:val="18"/>
        </w:rPr>
        <w:t>d’où </w:t>
      </w:r>
      <w:r>
        <w:rPr>
          <w:rFonts w:ascii="Theinhardt Regular Italic" w:hAnsi="Theinhardt Regular Italic" w:cs="Theinhardt Regular Italic" w:eastAsia="Theinhardt Regular Italic"/>
          <w:i/>
          <w:spacing w:val="-1"/>
          <w:sz w:val="18"/>
          <w:szCs w:val="18"/>
        </w:rPr>
        <w:t>la</w:t>
      </w:r>
      <w:r>
        <w:rPr>
          <w:rFonts w:ascii="Theinhardt Regular Italic" w:hAnsi="Theinhardt Regular Italic" w:cs="Theinhardt Regular Italic" w:eastAsia="Theinhardt Regular Italic"/>
          <w:i/>
          <w:spacing w:val="31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2"/>
          <w:sz w:val="18"/>
          <w:szCs w:val="18"/>
        </w:rPr>
        <w:t>possibilité</w:t>
      </w:r>
      <w:r>
        <w:rPr>
          <w:rFonts w:ascii="Theinhardt Regular Italic" w:hAnsi="Theinhardt Regular Italic" w:cs="Theinhardt Regular Italic" w:eastAsia="Theinhardt Regular Italic"/>
          <w:i/>
          <w:spacing w:val="2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3"/>
          <w:sz w:val="18"/>
          <w:szCs w:val="18"/>
        </w:rPr>
        <w:t>de</w:t>
      </w:r>
      <w:r>
        <w:rPr>
          <w:rFonts w:ascii="Theinhardt Regular Italic" w:hAnsi="Theinhardt Regular Italic" w:cs="Theinhardt Regular Italic" w:eastAsia="Theinhardt Regular Italic"/>
          <w:i/>
          <w:spacing w:val="2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3"/>
          <w:sz w:val="18"/>
          <w:szCs w:val="18"/>
        </w:rPr>
        <w:t>le</w:t>
      </w:r>
      <w:r>
        <w:rPr>
          <w:rFonts w:ascii="Theinhardt Regular Italic" w:hAnsi="Theinhardt Regular Italic" w:cs="Theinhardt Regular Italic" w:eastAsia="Theinhardt Regular Italic"/>
          <w:i/>
          <w:spacing w:val="2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4"/>
          <w:sz w:val="18"/>
          <w:szCs w:val="18"/>
        </w:rPr>
        <w:t>stocker</w:t>
      </w:r>
      <w:r>
        <w:rPr>
          <w:rFonts w:ascii="Theinhardt Regular Italic" w:hAnsi="Theinhardt Regular Italic" w:cs="Theinhardt Regular Italic" w:eastAsia="Theinhardt Regular Italic"/>
          <w:i/>
          <w:spacing w:val="2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2"/>
          <w:sz w:val="18"/>
          <w:szCs w:val="18"/>
        </w:rPr>
        <w:t>plus</w:t>
      </w:r>
      <w:r>
        <w:rPr>
          <w:rFonts w:ascii="Theinhardt Regular Italic" w:hAnsi="Theinhardt Regular Italic" w:cs="Theinhardt Regular Italic" w:eastAsia="Theinhardt Regular Italic"/>
          <w:i/>
          <w:spacing w:val="2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3"/>
          <w:sz w:val="18"/>
          <w:szCs w:val="18"/>
        </w:rPr>
        <w:t>longtemps</w:t>
      </w:r>
      <w:r>
        <w:rPr>
          <w:rFonts w:ascii="Theinhardt Regular Italic" w:hAnsi="Theinhardt Regular Italic" w:cs="Theinhardt Regular Italic" w:eastAsia="Theinhardt Regular Italic"/>
          <w:i/>
          <w:spacing w:val="2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1"/>
          <w:sz w:val="18"/>
          <w:szCs w:val="18"/>
        </w:rPr>
        <w:t>et,</w:t>
      </w:r>
      <w:r>
        <w:rPr>
          <w:rFonts w:ascii="Theinhardt Regular Italic" w:hAnsi="Theinhardt Regular Italic" w:cs="Theinhardt Regular Italic" w:eastAsia="Theinhardt Regular Italic"/>
          <w:i/>
          <w:spacing w:val="-6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2"/>
          <w:sz w:val="18"/>
          <w:szCs w:val="18"/>
        </w:rPr>
        <w:t>si</w:t>
      </w:r>
      <w:r>
        <w:rPr>
          <w:rFonts w:ascii="Theinhardt Regular Italic" w:hAnsi="Theinhardt Regular Italic" w:cs="Theinhardt Regular Italic" w:eastAsia="Theinhardt Regular Italic"/>
          <w:i/>
          <w:spacing w:val="21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3"/>
          <w:sz w:val="18"/>
          <w:szCs w:val="18"/>
        </w:rPr>
        <w:t>nécessaire,</w:t>
      </w:r>
      <w:r>
        <w:rPr>
          <w:rFonts w:ascii="Theinhardt Regular Italic" w:hAnsi="Theinhardt Regular Italic" w:cs="Theinhardt Regular Italic" w:eastAsia="Theinhardt Regular Italic"/>
          <w:i/>
          <w:spacing w:val="14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3"/>
          <w:sz w:val="18"/>
          <w:szCs w:val="18"/>
        </w:rPr>
        <w:t>de</w:t>
      </w:r>
      <w:r>
        <w:rPr>
          <w:rFonts w:ascii="Theinhardt Regular Italic" w:hAnsi="Theinhardt Regular Italic" w:cs="Theinhardt Regular Italic" w:eastAsia="Theinhardt Regular Italic"/>
          <w:i/>
          <w:spacing w:val="21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3"/>
          <w:sz w:val="18"/>
          <w:szCs w:val="18"/>
        </w:rPr>
        <w:t>le</w:t>
      </w:r>
      <w:r>
        <w:rPr>
          <w:rFonts w:ascii="Theinhardt Regular Italic" w:hAnsi="Theinhardt Regular Italic" w:cs="Theinhardt Regular Italic" w:eastAsia="Theinhardt Regular Italic"/>
          <w:i/>
          <w:spacing w:val="21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3"/>
          <w:sz w:val="18"/>
          <w:szCs w:val="18"/>
        </w:rPr>
        <w:t>retransformer</w:t>
      </w:r>
      <w:r>
        <w:rPr>
          <w:rFonts w:ascii="Theinhardt Regular Italic" w:hAnsi="Theinhardt Regular Italic" w:cs="Theinhardt Regular Italic" w:eastAsia="Theinhardt Regular Italic"/>
          <w:i/>
          <w:spacing w:val="21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2"/>
          <w:sz w:val="18"/>
          <w:szCs w:val="18"/>
        </w:rPr>
        <w:t>plus</w:t>
      </w:r>
      <w:r>
        <w:rPr>
          <w:rFonts w:ascii="Theinhardt Regular Italic" w:hAnsi="Theinhardt Regular Italic" w:cs="Theinhardt Regular Italic" w:eastAsia="Theinhardt Regular Italic"/>
          <w:i/>
          <w:spacing w:val="21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3"/>
          <w:sz w:val="18"/>
          <w:szCs w:val="18"/>
        </w:rPr>
        <w:t>tard</w:t>
      </w:r>
      <w:r>
        <w:rPr>
          <w:rFonts w:ascii="Theinhardt Regular Italic" w:hAnsi="Theinhardt Regular Italic" w:cs="Theinhardt Regular Italic" w:eastAsia="Theinhardt Regular Italic"/>
          <w:i/>
          <w:spacing w:val="21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2"/>
          <w:sz w:val="18"/>
          <w:szCs w:val="18"/>
        </w:rPr>
        <w:t>en</w:t>
      </w:r>
      <w:r>
        <w:rPr>
          <w:rFonts w:ascii="Theinhardt Regular Italic" w:hAnsi="Theinhardt Regular Italic" w:cs="Theinhardt Regular Italic" w:eastAsia="Theinhardt Regular Italic"/>
          <w:i/>
          <w:spacing w:val="33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2"/>
          <w:sz w:val="18"/>
          <w:szCs w:val="18"/>
        </w:rPr>
        <w:t>courant</w:t>
      </w:r>
      <w:r>
        <w:rPr>
          <w:rFonts w:ascii="Theinhardt Regular Italic" w:hAnsi="Theinhardt Regular Italic" w:cs="Theinhardt Regular Italic" w:eastAsia="Theinhardt Regular Italic"/>
          <w:i/>
          <w:spacing w:val="-4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1"/>
          <w:sz w:val="18"/>
          <w:szCs w:val="18"/>
        </w:rPr>
        <w:t>ou</w:t>
      </w:r>
      <w:r>
        <w:rPr>
          <w:rFonts w:ascii="Theinhardt Regular Italic" w:hAnsi="Theinhardt Regular Italic" w:cs="Theinhardt Regular Italic" w:eastAsia="Theinhardt Regular Italic"/>
          <w:i/>
          <w:spacing w:val="-4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2"/>
          <w:sz w:val="18"/>
          <w:szCs w:val="18"/>
        </w:rPr>
        <w:t>en</w:t>
      </w:r>
      <w:r>
        <w:rPr>
          <w:rFonts w:ascii="Theinhardt Regular Italic" w:hAnsi="Theinhardt Regular Italic" w:cs="Theinhardt Regular Italic" w:eastAsia="Theinhardt Regular Italic"/>
          <w:i/>
          <w:spacing w:val="-4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5"/>
          <w:sz w:val="18"/>
          <w:szCs w:val="18"/>
        </w:rPr>
        <w:t>chaleur.</w:t>
      </w:r>
      <w:r>
        <w:rPr>
          <w:rFonts w:ascii="Theinhardt Regular Italic" w:hAnsi="Theinhardt Regular Italic" w:cs="Theinhardt Regular Italic" w:eastAsia="Theinhardt Regular Italic"/>
          <w:sz w:val="18"/>
          <w:szCs w:val="18"/>
        </w:rPr>
      </w:r>
    </w:p>
    <w:p>
      <w:pPr>
        <w:spacing w:line="230" w:lineRule="exact" w:before="0"/>
        <w:ind w:left="106" w:right="0" w:firstLine="226"/>
        <w:jc w:val="both"/>
        <w:rPr>
          <w:rFonts w:ascii="Theinhardt Regular Italic" w:hAnsi="Theinhardt Regular Italic" w:cs="Theinhardt Regular Italic" w:eastAsia="Theinhardt Regular Italic"/>
          <w:sz w:val="18"/>
          <w:szCs w:val="18"/>
        </w:rPr>
      </w:pPr>
      <w:r>
        <w:rPr>
          <w:rFonts w:ascii="Theinhardt Regular Italic" w:hAnsi="Theinhardt Regular Italic" w:cs="Theinhardt Regular Italic" w:eastAsia="Theinhardt Regular Italic"/>
          <w:i/>
          <w:spacing w:val="-3"/>
          <w:sz w:val="18"/>
          <w:szCs w:val="18"/>
        </w:rPr>
        <w:t>S’ajoutent</w:t>
      </w:r>
      <w:r>
        <w:rPr>
          <w:rFonts w:ascii="Theinhardt Regular Italic" w:hAnsi="Theinhardt Regular Italic" w:cs="Theinhardt Regular Italic" w:eastAsia="Theinhardt Regular Italic"/>
          <w:i/>
          <w:spacing w:val="-1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z w:val="18"/>
          <w:szCs w:val="18"/>
        </w:rPr>
        <w:t>à</w:t>
      </w:r>
      <w:r>
        <w:rPr>
          <w:rFonts w:ascii="Theinhardt Regular Italic" w:hAnsi="Theinhardt Regular Italic" w:cs="Theinhardt Regular Italic" w:eastAsia="Theinhardt Regular Italic"/>
          <w:i/>
          <w:spacing w:val="-1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2"/>
          <w:sz w:val="18"/>
          <w:szCs w:val="18"/>
        </w:rPr>
        <w:t>cela</w:t>
      </w:r>
      <w:r>
        <w:rPr>
          <w:rFonts w:ascii="Theinhardt Regular Italic" w:hAnsi="Theinhardt Regular Italic" w:cs="Theinhardt Regular Italic" w:eastAsia="Theinhardt Regular Italic"/>
          <w:i/>
          <w:spacing w:val="-1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3"/>
          <w:sz w:val="18"/>
          <w:szCs w:val="18"/>
        </w:rPr>
        <w:t>une</w:t>
      </w:r>
      <w:r>
        <w:rPr>
          <w:rFonts w:ascii="Theinhardt Regular Italic" w:hAnsi="Theinhardt Regular Italic" w:cs="Theinhardt Regular Italic" w:eastAsia="Theinhardt Regular Italic"/>
          <w:i/>
          <w:spacing w:val="-1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3"/>
          <w:sz w:val="18"/>
          <w:szCs w:val="18"/>
        </w:rPr>
        <w:t>bonne</w:t>
      </w:r>
      <w:r>
        <w:rPr>
          <w:rFonts w:ascii="Theinhardt Regular Italic" w:hAnsi="Theinhardt Regular Italic" w:cs="Theinhardt Regular Italic" w:eastAsia="Theinhardt Regular Italic"/>
          <w:i/>
          <w:spacing w:val="-1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2"/>
          <w:sz w:val="18"/>
          <w:szCs w:val="18"/>
        </w:rPr>
        <w:t>isolation</w:t>
      </w:r>
      <w:r>
        <w:rPr>
          <w:rFonts w:ascii="Theinhardt Regular Italic" w:hAnsi="Theinhardt Regular Italic" w:cs="Theinhardt Regular Italic" w:eastAsia="Theinhardt Regular Italic"/>
          <w:i/>
          <w:spacing w:val="-1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3"/>
          <w:sz w:val="18"/>
          <w:szCs w:val="18"/>
        </w:rPr>
        <w:t>ther-</w:t>
      </w:r>
      <w:r>
        <w:rPr>
          <w:rFonts w:ascii="Theinhardt Regular Italic" w:hAnsi="Theinhardt Regular Italic" w:cs="Theinhardt Regular Italic" w:eastAsia="Theinhardt Regular Italic"/>
          <w:i/>
          <w:spacing w:val="23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3"/>
          <w:sz w:val="18"/>
          <w:szCs w:val="18"/>
        </w:rPr>
        <w:t>mique,</w:t>
      </w:r>
      <w:r>
        <w:rPr>
          <w:rFonts w:ascii="Theinhardt Regular Italic" w:hAnsi="Theinhardt Regular Italic" w:cs="Theinhardt Regular Italic" w:eastAsia="Theinhardt Regular Italic"/>
          <w:i/>
          <w:spacing w:val="24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3"/>
          <w:sz w:val="18"/>
          <w:szCs w:val="18"/>
        </w:rPr>
        <w:t>des</w:t>
      </w:r>
      <w:r>
        <w:rPr>
          <w:rFonts w:ascii="Theinhardt Regular Italic" w:hAnsi="Theinhardt Regular Italic" w:cs="Theinhardt Regular Italic" w:eastAsia="Theinhardt Regular Italic"/>
          <w:i/>
          <w:spacing w:val="33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2"/>
          <w:sz w:val="18"/>
          <w:szCs w:val="18"/>
        </w:rPr>
        <w:t>pompes</w:t>
      </w:r>
      <w:r>
        <w:rPr>
          <w:rFonts w:ascii="Theinhardt Regular Italic" w:hAnsi="Theinhardt Regular Italic" w:cs="Theinhardt Regular Italic" w:eastAsia="Theinhardt Regular Italic"/>
          <w:i/>
          <w:spacing w:val="32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z w:val="18"/>
          <w:szCs w:val="18"/>
        </w:rPr>
        <w:t>à</w:t>
      </w:r>
      <w:r>
        <w:rPr>
          <w:rFonts w:ascii="Theinhardt Regular Italic" w:hAnsi="Theinhardt Regular Italic" w:cs="Theinhardt Regular Italic" w:eastAsia="Theinhardt Regular Italic"/>
          <w:i/>
          <w:spacing w:val="33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5"/>
          <w:sz w:val="18"/>
          <w:szCs w:val="18"/>
        </w:rPr>
        <w:t>chaleur,</w:t>
      </w:r>
      <w:r>
        <w:rPr>
          <w:rFonts w:ascii="Theinhardt Regular Italic" w:hAnsi="Theinhardt Regular Italic" w:cs="Theinhardt Regular Italic" w:eastAsia="Theinhardt Regular Italic"/>
          <w:i/>
          <w:spacing w:val="25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1"/>
          <w:sz w:val="18"/>
          <w:szCs w:val="18"/>
        </w:rPr>
        <w:t>un</w:t>
      </w:r>
      <w:r>
        <w:rPr>
          <w:rFonts w:ascii="Theinhardt Regular Italic" w:hAnsi="Theinhardt Regular Italic" w:cs="Theinhardt Regular Italic" w:eastAsia="Theinhardt Regular Italic"/>
          <w:i/>
          <w:spacing w:val="32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3"/>
          <w:sz w:val="18"/>
          <w:szCs w:val="18"/>
        </w:rPr>
        <w:t>éclairage</w:t>
      </w:r>
      <w:r>
        <w:rPr>
          <w:rFonts w:ascii="Theinhardt Regular Italic" w:hAnsi="Theinhardt Regular Italic" w:cs="Theinhardt Regular Italic" w:eastAsia="Theinhardt Regular Italic"/>
          <w:i/>
          <w:spacing w:val="35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4"/>
          <w:sz w:val="18"/>
          <w:szCs w:val="18"/>
        </w:rPr>
        <w:t>LED</w:t>
      </w:r>
      <w:r>
        <w:rPr>
          <w:rFonts w:ascii="Theinhardt Regular Italic" w:hAnsi="Theinhardt Regular Italic" w:cs="Theinhardt Regular Italic" w:eastAsia="Theinhardt Regular Italic"/>
          <w:i/>
          <w:spacing w:val="25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1"/>
          <w:sz w:val="18"/>
          <w:szCs w:val="18"/>
        </w:rPr>
        <w:t>et</w:t>
      </w:r>
      <w:r>
        <w:rPr>
          <w:rFonts w:ascii="Theinhardt Regular Italic" w:hAnsi="Theinhardt Regular Italic" w:cs="Theinhardt Regular Italic" w:eastAsia="Theinhardt Regular Italic"/>
          <w:i/>
          <w:spacing w:val="26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3"/>
          <w:sz w:val="18"/>
          <w:szCs w:val="18"/>
        </w:rPr>
        <w:t>des</w:t>
      </w:r>
      <w:r>
        <w:rPr>
          <w:rFonts w:ascii="Theinhardt Regular Italic" w:hAnsi="Theinhardt Regular Italic" w:cs="Theinhardt Regular Italic" w:eastAsia="Theinhardt Regular Italic"/>
          <w:i/>
          <w:spacing w:val="25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3"/>
          <w:sz w:val="18"/>
          <w:szCs w:val="18"/>
        </w:rPr>
        <w:t>appareils</w:t>
      </w:r>
      <w:r>
        <w:rPr>
          <w:rFonts w:ascii="Theinhardt Regular Italic" w:hAnsi="Theinhardt Regular Italic" w:cs="Theinhardt Regular Italic" w:eastAsia="Theinhardt Regular Italic"/>
          <w:i/>
          <w:spacing w:val="26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4"/>
          <w:sz w:val="18"/>
          <w:szCs w:val="18"/>
        </w:rPr>
        <w:t>économes</w:t>
      </w:r>
      <w:r>
        <w:rPr>
          <w:rFonts w:ascii="Theinhardt Regular Italic" w:hAnsi="Theinhardt Regular Italic" w:cs="Theinhardt Regular Italic" w:eastAsia="Theinhardt Regular Italic"/>
          <w:i/>
          <w:spacing w:val="26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2"/>
          <w:sz w:val="18"/>
          <w:szCs w:val="18"/>
        </w:rPr>
        <w:t>en</w:t>
      </w:r>
      <w:r>
        <w:rPr>
          <w:rFonts w:ascii="Theinhardt Regular Italic" w:hAnsi="Theinhardt Regular Italic" w:cs="Theinhardt Regular Italic" w:eastAsia="Theinhardt Regular Italic"/>
          <w:i/>
          <w:spacing w:val="25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4"/>
          <w:sz w:val="18"/>
          <w:szCs w:val="18"/>
        </w:rPr>
        <w:t>énergie</w:t>
      </w:r>
      <w:r>
        <w:rPr>
          <w:rFonts w:ascii="Theinhardt Regular Italic" w:hAnsi="Theinhardt Regular Italic" w:cs="Theinhardt Regular Italic" w:eastAsia="Theinhardt Regular Italic"/>
          <w:i/>
          <w:spacing w:val="45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2"/>
          <w:sz w:val="18"/>
          <w:szCs w:val="18"/>
        </w:rPr>
        <w:t>qui</w:t>
      </w:r>
      <w:r>
        <w:rPr>
          <w:rFonts w:ascii="Theinhardt Regular Italic" w:hAnsi="Theinhardt Regular Italic" w:cs="Theinhardt Regular Italic" w:eastAsia="Theinhardt Regular Italic"/>
          <w:i/>
          <w:spacing w:val="9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3"/>
          <w:sz w:val="18"/>
          <w:szCs w:val="18"/>
        </w:rPr>
        <w:t>maintiennent</w:t>
      </w:r>
      <w:r>
        <w:rPr>
          <w:rFonts w:ascii="Theinhardt Regular Italic" w:hAnsi="Theinhardt Regular Italic" w:cs="Theinhardt Regular Italic" w:eastAsia="Theinhardt Regular Italic"/>
          <w:i/>
          <w:spacing w:val="9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1"/>
          <w:sz w:val="18"/>
          <w:szCs w:val="18"/>
        </w:rPr>
        <w:t>la</w:t>
      </w:r>
      <w:r>
        <w:rPr>
          <w:rFonts w:ascii="Theinhardt Regular Italic" w:hAnsi="Theinhardt Regular Italic" w:cs="Theinhardt Regular Italic" w:eastAsia="Theinhardt Regular Italic"/>
          <w:i/>
          <w:spacing w:val="9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3"/>
          <w:sz w:val="18"/>
          <w:szCs w:val="18"/>
        </w:rPr>
        <w:t>consommation</w:t>
      </w:r>
      <w:r>
        <w:rPr>
          <w:rFonts w:ascii="Theinhardt Regular Italic" w:hAnsi="Theinhardt Regular Italic" w:cs="Theinhardt Regular Italic" w:eastAsia="Theinhardt Regular Italic"/>
          <w:i/>
          <w:spacing w:val="9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z w:val="18"/>
          <w:szCs w:val="18"/>
        </w:rPr>
        <w:t>au</w:t>
      </w:r>
      <w:r>
        <w:rPr>
          <w:rFonts w:ascii="Theinhardt Regular Italic" w:hAnsi="Theinhardt Regular Italic" w:cs="Theinhardt Regular Italic" w:eastAsia="Theinhardt Regular Italic"/>
          <w:i/>
          <w:spacing w:val="9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2"/>
          <w:sz w:val="18"/>
          <w:szCs w:val="18"/>
        </w:rPr>
        <w:t>niveau</w:t>
      </w:r>
      <w:r>
        <w:rPr>
          <w:rFonts w:ascii="Theinhardt Regular Italic" w:hAnsi="Theinhardt Regular Italic" w:cs="Theinhardt Regular Italic" w:eastAsia="Theinhardt Regular Italic"/>
          <w:i/>
          <w:spacing w:val="39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3"/>
          <w:sz w:val="18"/>
          <w:szCs w:val="18"/>
        </w:rPr>
        <w:t>le</w:t>
      </w:r>
      <w:r>
        <w:rPr>
          <w:rFonts w:ascii="Theinhardt Regular Italic" w:hAnsi="Theinhardt Regular Italic" w:cs="Theinhardt Regular Italic" w:eastAsia="Theinhardt Regular Italic"/>
          <w:i/>
          <w:spacing w:val="-4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2"/>
          <w:sz w:val="18"/>
          <w:szCs w:val="18"/>
        </w:rPr>
        <w:t>plus</w:t>
      </w:r>
      <w:r>
        <w:rPr>
          <w:rFonts w:ascii="Theinhardt Regular Italic" w:hAnsi="Theinhardt Regular Italic" w:cs="Theinhardt Regular Italic" w:eastAsia="Theinhardt Regular Italic"/>
          <w:i/>
          <w:spacing w:val="-4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1"/>
          <w:sz w:val="18"/>
          <w:szCs w:val="18"/>
        </w:rPr>
        <w:t>bas.</w:t>
      </w:r>
      <w:r>
        <w:rPr>
          <w:rFonts w:ascii="Theinhardt Regular Italic" w:hAnsi="Theinhardt Regular Italic" w:cs="Theinhardt Regular Italic" w:eastAsia="Theinhardt Regular Italic"/>
          <w:sz w:val="18"/>
          <w:szCs w:val="18"/>
        </w:rPr>
      </w:r>
    </w:p>
    <w:p>
      <w:pPr>
        <w:spacing w:line="230" w:lineRule="exact" w:before="0"/>
        <w:ind w:left="106" w:right="0" w:firstLine="226"/>
        <w:jc w:val="both"/>
        <w:rPr>
          <w:rFonts w:ascii="Theinhardt Regular Italic" w:hAnsi="Theinhardt Regular Italic" w:cs="Theinhardt Regular Italic" w:eastAsia="Theinhardt Regular Italic"/>
          <w:sz w:val="18"/>
          <w:szCs w:val="18"/>
        </w:rPr>
      </w:pPr>
      <w:r>
        <w:rPr>
          <w:rFonts w:ascii="Theinhardt Regular Italic" w:hAnsi="Theinhardt Regular Italic" w:cs="Theinhardt Regular Italic" w:eastAsia="Theinhardt Regular Italic"/>
          <w:i/>
          <w:spacing w:val="-6"/>
          <w:sz w:val="18"/>
          <w:szCs w:val="18"/>
        </w:rPr>
        <w:t>Le</w:t>
      </w:r>
      <w:r>
        <w:rPr>
          <w:rFonts w:ascii="Theinhardt Regular Italic" w:hAnsi="Theinhardt Regular Italic" w:cs="Theinhardt Regular Italic" w:eastAsia="Theinhardt Regular Italic"/>
          <w:i/>
          <w:spacing w:val="5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3"/>
          <w:sz w:val="18"/>
          <w:szCs w:val="18"/>
        </w:rPr>
        <w:t>comportement</w:t>
      </w:r>
      <w:r>
        <w:rPr>
          <w:rFonts w:ascii="Theinhardt Regular Italic" w:hAnsi="Theinhardt Regular Italic" w:cs="Theinhardt Regular Italic" w:eastAsia="Theinhardt Regular Italic"/>
          <w:i/>
          <w:spacing w:val="5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3"/>
          <w:sz w:val="18"/>
          <w:szCs w:val="18"/>
        </w:rPr>
        <w:t>des</w:t>
      </w:r>
      <w:r>
        <w:rPr>
          <w:rFonts w:ascii="Theinhardt Regular Italic" w:hAnsi="Theinhardt Regular Italic" w:cs="Theinhardt Regular Italic" w:eastAsia="Theinhardt Regular Italic"/>
          <w:i/>
          <w:spacing w:val="5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2"/>
          <w:sz w:val="18"/>
          <w:szCs w:val="18"/>
        </w:rPr>
        <w:t>utilisateurs</w:t>
      </w:r>
      <w:r>
        <w:rPr>
          <w:rFonts w:ascii="Theinhardt Regular Italic" w:hAnsi="Theinhardt Regular Italic" w:cs="Theinhardt Regular Italic" w:eastAsia="Theinhardt Regular Italic"/>
          <w:i/>
          <w:spacing w:val="5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1"/>
          <w:sz w:val="18"/>
          <w:szCs w:val="18"/>
        </w:rPr>
        <w:t>et</w:t>
      </w:r>
      <w:r>
        <w:rPr>
          <w:rFonts w:ascii="Theinhardt Regular Italic" w:hAnsi="Theinhardt Regular Italic" w:cs="Theinhardt Regular Italic" w:eastAsia="Theinhardt Regular Italic"/>
          <w:i/>
          <w:spacing w:val="5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1"/>
          <w:sz w:val="18"/>
          <w:szCs w:val="18"/>
        </w:rPr>
        <w:t>la</w:t>
      </w:r>
      <w:r>
        <w:rPr>
          <w:rFonts w:ascii="Theinhardt Regular Italic" w:hAnsi="Theinhardt Regular Italic" w:cs="Theinhardt Regular Italic" w:eastAsia="Theinhardt Regular Italic"/>
          <w:i/>
          <w:spacing w:val="29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2"/>
          <w:sz w:val="18"/>
          <w:szCs w:val="18"/>
        </w:rPr>
        <w:t>façon</w:t>
      </w:r>
      <w:r>
        <w:rPr>
          <w:rFonts w:ascii="Theinhardt Regular Italic" w:hAnsi="Theinhardt Regular Italic" w:cs="Theinhardt Regular Italic" w:eastAsia="Theinhardt Regular Italic"/>
          <w:i/>
          <w:spacing w:val="11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3"/>
          <w:sz w:val="18"/>
          <w:szCs w:val="18"/>
        </w:rPr>
        <w:t>dont</w:t>
      </w:r>
      <w:r>
        <w:rPr>
          <w:rFonts w:ascii="Theinhardt Regular Italic" w:hAnsi="Theinhardt Regular Italic" w:cs="Theinhardt Regular Italic" w:eastAsia="Theinhardt Regular Italic"/>
          <w:i/>
          <w:spacing w:val="11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2"/>
          <w:sz w:val="18"/>
          <w:szCs w:val="18"/>
        </w:rPr>
        <w:t>ils</w:t>
      </w:r>
      <w:r>
        <w:rPr>
          <w:rFonts w:ascii="Theinhardt Regular Italic" w:hAnsi="Theinhardt Regular Italic" w:cs="Theinhardt Regular Italic" w:eastAsia="Theinhardt Regular Italic"/>
          <w:i/>
          <w:spacing w:val="11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4"/>
          <w:sz w:val="18"/>
          <w:szCs w:val="18"/>
        </w:rPr>
        <w:t>gèrent</w:t>
      </w:r>
      <w:r>
        <w:rPr>
          <w:rFonts w:ascii="Theinhardt Regular Italic" w:hAnsi="Theinhardt Regular Italic" w:cs="Theinhardt Regular Italic" w:eastAsia="Theinhardt Regular Italic"/>
          <w:i/>
          <w:spacing w:val="11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4"/>
          <w:sz w:val="18"/>
          <w:szCs w:val="18"/>
        </w:rPr>
        <w:t>l’énergie</w:t>
      </w:r>
      <w:r>
        <w:rPr>
          <w:rFonts w:ascii="Theinhardt Regular Italic" w:hAnsi="Theinhardt Regular Italic" w:cs="Theinhardt Regular Italic" w:eastAsia="Theinhardt Regular Italic"/>
          <w:i/>
          <w:spacing w:val="11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2"/>
          <w:sz w:val="18"/>
          <w:szCs w:val="18"/>
        </w:rPr>
        <w:t>sont</w:t>
      </w:r>
      <w:r>
        <w:rPr>
          <w:rFonts w:ascii="Theinhardt Regular Italic" w:hAnsi="Theinhardt Regular Italic" w:cs="Theinhardt Regular Italic" w:eastAsia="Theinhardt Regular Italic"/>
          <w:i/>
          <w:spacing w:val="11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2"/>
          <w:sz w:val="18"/>
          <w:szCs w:val="18"/>
        </w:rPr>
        <w:t>aussi</w:t>
      </w:r>
      <w:r>
        <w:rPr>
          <w:rFonts w:ascii="Theinhardt Regular Italic" w:hAnsi="Theinhardt Regular Italic" w:cs="Theinhardt Regular Italic" w:eastAsia="Theinhardt Regular Italic"/>
          <w:i/>
          <w:spacing w:val="11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5"/>
          <w:sz w:val="18"/>
          <w:szCs w:val="18"/>
        </w:rPr>
        <w:t>ex-</w:t>
      </w:r>
      <w:r>
        <w:rPr>
          <w:rFonts w:ascii="Theinhardt Regular Italic" w:hAnsi="Theinhardt Regular Italic" w:cs="Theinhardt Regular Italic" w:eastAsia="Theinhardt Regular Italic"/>
          <w:i/>
          <w:spacing w:val="35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3"/>
          <w:sz w:val="18"/>
          <w:szCs w:val="18"/>
        </w:rPr>
        <w:t>emplaires</w:t>
      </w:r>
      <w:r>
        <w:rPr>
          <w:rFonts w:ascii="Theinhardt Regular Italic" w:hAnsi="Theinhardt Regular Italic" w:cs="Theinhardt Regular Italic" w:eastAsia="Theinhardt Regular Italic"/>
          <w:i/>
          <w:spacing w:val="23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1"/>
          <w:sz w:val="18"/>
          <w:szCs w:val="18"/>
        </w:rPr>
        <w:t>et</w:t>
      </w:r>
      <w:r>
        <w:rPr>
          <w:rFonts w:ascii="Theinhardt Regular Italic" w:hAnsi="Theinhardt Regular Italic" w:cs="Theinhardt Regular Italic" w:eastAsia="Theinhardt Regular Italic"/>
          <w:i/>
          <w:spacing w:val="24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2"/>
          <w:sz w:val="18"/>
          <w:szCs w:val="18"/>
        </w:rPr>
        <w:t>durables.</w:t>
      </w:r>
      <w:r>
        <w:rPr>
          <w:rFonts w:ascii="Theinhardt Regular Italic" w:hAnsi="Theinhardt Regular Italic" w:cs="Theinhardt Regular Italic" w:eastAsia="Theinhardt Regular Italic"/>
          <w:i/>
          <w:spacing w:val="17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2"/>
          <w:sz w:val="18"/>
          <w:szCs w:val="18"/>
        </w:rPr>
        <w:t>Ainsi,</w:t>
      </w:r>
      <w:r>
        <w:rPr>
          <w:rFonts w:ascii="Theinhardt Regular Italic" w:hAnsi="Theinhardt Regular Italic" w:cs="Theinhardt Regular Italic" w:eastAsia="Theinhardt Regular Italic"/>
          <w:i/>
          <w:spacing w:val="17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1"/>
          <w:sz w:val="18"/>
          <w:szCs w:val="18"/>
        </w:rPr>
        <w:t>un</w:t>
      </w:r>
      <w:r>
        <w:rPr>
          <w:rFonts w:ascii="Theinhardt Regular Italic" w:hAnsi="Theinhardt Regular Italic" w:cs="Theinhardt Regular Italic" w:eastAsia="Theinhardt Regular Italic"/>
          <w:i/>
          <w:spacing w:val="23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4"/>
          <w:sz w:val="18"/>
          <w:szCs w:val="18"/>
        </w:rPr>
        <w:t>système</w:t>
      </w:r>
      <w:r>
        <w:rPr>
          <w:rFonts w:ascii="Theinhardt Regular Italic" w:hAnsi="Theinhardt Regular Italic" w:cs="Theinhardt Regular Italic" w:eastAsia="Theinhardt Regular Italic"/>
          <w:i/>
          <w:spacing w:val="24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3"/>
          <w:sz w:val="18"/>
          <w:szCs w:val="18"/>
        </w:rPr>
        <w:t>de</w:t>
      </w:r>
      <w:r>
        <w:rPr>
          <w:rFonts w:ascii="Theinhardt Regular Italic" w:hAnsi="Theinhardt Regular Italic" w:cs="Theinhardt Regular Italic" w:eastAsia="Theinhardt Regular Italic"/>
          <w:i/>
          <w:spacing w:val="47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3"/>
          <w:sz w:val="18"/>
          <w:szCs w:val="18"/>
        </w:rPr>
        <w:t>contrôle</w:t>
      </w:r>
      <w:r>
        <w:rPr>
          <w:rFonts w:ascii="Theinhardt Regular Italic" w:hAnsi="Theinhardt Regular Italic" w:cs="Theinhardt Regular Italic" w:eastAsia="Theinhardt Regular Italic"/>
          <w:i/>
          <w:spacing w:val="23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3"/>
          <w:sz w:val="18"/>
          <w:szCs w:val="18"/>
        </w:rPr>
        <w:t>enregistre</w:t>
      </w:r>
      <w:r>
        <w:rPr>
          <w:rFonts w:ascii="Theinhardt Regular Italic" w:hAnsi="Theinhardt Regular Italic" w:cs="Theinhardt Regular Italic" w:eastAsia="Theinhardt Regular Italic"/>
          <w:i/>
          <w:spacing w:val="23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1"/>
          <w:sz w:val="18"/>
          <w:szCs w:val="18"/>
        </w:rPr>
        <w:t>et</w:t>
      </w:r>
      <w:r>
        <w:rPr>
          <w:rFonts w:ascii="Theinhardt Regular Italic" w:hAnsi="Theinhardt Regular Italic" w:cs="Theinhardt Regular Italic" w:eastAsia="Theinhardt Regular Italic"/>
          <w:i/>
          <w:spacing w:val="24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2"/>
          <w:sz w:val="18"/>
          <w:szCs w:val="18"/>
        </w:rPr>
        <w:t>affiche</w:t>
      </w:r>
      <w:r>
        <w:rPr>
          <w:rFonts w:ascii="Theinhardt Regular Italic" w:hAnsi="Theinhardt Regular Italic" w:cs="Theinhardt Regular Italic" w:eastAsia="Theinhardt Regular Italic"/>
          <w:i/>
          <w:spacing w:val="23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1"/>
          <w:sz w:val="18"/>
          <w:szCs w:val="18"/>
        </w:rPr>
        <w:t>la</w:t>
      </w:r>
      <w:r>
        <w:rPr>
          <w:rFonts w:ascii="Theinhardt Regular Italic" w:hAnsi="Theinhardt Regular Italic" w:cs="Theinhardt Regular Italic" w:eastAsia="Theinhardt Regular Italic"/>
          <w:i/>
          <w:spacing w:val="24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3"/>
          <w:sz w:val="18"/>
          <w:szCs w:val="18"/>
        </w:rPr>
        <w:t>consomma-</w:t>
      </w:r>
      <w:r>
        <w:rPr>
          <w:rFonts w:ascii="Theinhardt Regular Italic" w:hAnsi="Theinhardt Regular Italic" w:cs="Theinhardt Regular Italic" w:eastAsia="Theinhardt Regular Italic"/>
          <w:i/>
          <w:spacing w:val="23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3"/>
          <w:sz w:val="18"/>
          <w:szCs w:val="18"/>
        </w:rPr>
        <w:t>tion.</w:t>
      </w:r>
      <w:r>
        <w:rPr>
          <w:rFonts w:ascii="Theinhardt Regular Italic" w:hAnsi="Theinhardt Regular Italic" w:cs="Theinhardt Regular Italic" w:eastAsia="Theinhardt Regular Italic"/>
          <w:i/>
          <w:spacing w:val="-8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1"/>
          <w:sz w:val="18"/>
          <w:szCs w:val="18"/>
        </w:rPr>
        <w:t>Ce </w:t>
      </w:r>
      <w:r>
        <w:rPr>
          <w:rFonts w:ascii="Theinhardt Regular Italic" w:hAnsi="Theinhardt Regular Italic" w:cs="Theinhardt Regular Italic" w:eastAsia="Theinhardt Regular Italic"/>
          <w:i/>
          <w:spacing w:val="-3"/>
          <w:sz w:val="18"/>
          <w:szCs w:val="18"/>
        </w:rPr>
        <w:t>projet</w:t>
      </w:r>
      <w:r>
        <w:rPr>
          <w:rFonts w:ascii="Theinhardt Regular Italic" w:hAnsi="Theinhardt Regular Italic" w:cs="Theinhardt Regular Italic" w:eastAsia="Theinhardt Regular Italic"/>
          <w:i/>
          <w:spacing w:val="-1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3"/>
          <w:sz w:val="18"/>
          <w:szCs w:val="18"/>
        </w:rPr>
        <w:t>emblématique</w:t>
      </w:r>
      <w:r>
        <w:rPr>
          <w:rFonts w:ascii="Theinhardt Regular Italic" w:hAnsi="Theinhardt Regular Italic" w:cs="Theinhardt Regular Italic" w:eastAsia="Theinhardt Regular Italic"/>
          <w:i/>
          <w:spacing w:val="-1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3"/>
          <w:sz w:val="18"/>
          <w:szCs w:val="18"/>
        </w:rPr>
        <w:t>reçoit</w:t>
      </w:r>
      <w:r>
        <w:rPr>
          <w:rFonts w:ascii="Theinhardt Regular Italic" w:hAnsi="Theinhardt Regular Italic" w:cs="Theinhardt Regular Italic" w:eastAsia="Theinhardt Regular Italic"/>
          <w:i/>
          <w:spacing w:val="-1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2"/>
          <w:sz w:val="18"/>
          <w:szCs w:val="18"/>
        </w:rPr>
        <w:t>pour</w:t>
      </w:r>
      <w:r>
        <w:rPr>
          <w:rFonts w:ascii="Theinhardt Regular Italic" w:hAnsi="Theinhardt Regular Italic" w:cs="Theinhardt Regular Italic" w:eastAsia="Theinhardt Regular Italic"/>
          <w:i/>
          <w:spacing w:val="-1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2"/>
          <w:sz w:val="18"/>
          <w:szCs w:val="18"/>
        </w:rPr>
        <w:t>cela</w:t>
      </w:r>
      <w:r>
        <w:rPr>
          <w:rFonts w:ascii="Theinhardt Regular Italic" w:hAnsi="Theinhardt Regular Italic" w:cs="Theinhardt Regular Italic" w:eastAsia="Theinhardt Regular Italic"/>
          <w:i/>
          <w:spacing w:val="25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3"/>
          <w:sz w:val="18"/>
          <w:szCs w:val="18"/>
        </w:rPr>
        <w:t>le</w:t>
      </w:r>
      <w:r>
        <w:rPr>
          <w:rFonts w:ascii="Theinhardt Regular Italic" w:hAnsi="Theinhardt Regular Italic" w:cs="Theinhardt Regular Italic" w:eastAsia="Theinhardt Regular Italic"/>
          <w:i/>
          <w:spacing w:val="30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4"/>
          <w:sz w:val="18"/>
          <w:szCs w:val="18"/>
        </w:rPr>
        <w:t>deuxième</w:t>
      </w:r>
      <w:r>
        <w:rPr>
          <w:rFonts w:ascii="Theinhardt Regular Italic" w:hAnsi="Theinhardt Regular Italic" w:cs="Theinhardt Regular Italic" w:eastAsia="Theinhardt Regular Italic"/>
          <w:i/>
          <w:spacing w:val="31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2"/>
          <w:sz w:val="18"/>
          <w:szCs w:val="18"/>
        </w:rPr>
        <w:t>place</w:t>
      </w:r>
      <w:r>
        <w:rPr>
          <w:rFonts w:ascii="Theinhardt Regular Italic" w:hAnsi="Theinhardt Regular Italic" w:cs="Theinhardt Regular Italic" w:eastAsia="Theinhardt Regular Italic"/>
          <w:i/>
          <w:spacing w:val="30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1"/>
          <w:sz w:val="18"/>
          <w:szCs w:val="18"/>
        </w:rPr>
        <w:t>du</w:t>
      </w:r>
      <w:r>
        <w:rPr>
          <w:rFonts w:ascii="Theinhardt Regular Italic" w:hAnsi="Theinhardt Regular Italic" w:cs="Theinhardt Regular Italic" w:eastAsia="Theinhardt Regular Italic"/>
          <w:i/>
          <w:spacing w:val="31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2"/>
          <w:sz w:val="18"/>
          <w:szCs w:val="18"/>
        </w:rPr>
        <w:t>Norman</w:t>
      </w:r>
      <w:r>
        <w:rPr>
          <w:rFonts w:ascii="Theinhardt Regular Italic" w:hAnsi="Theinhardt Regular Italic" w:cs="Theinhardt Regular Italic" w:eastAsia="Theinhardt Regular Italic"/>
          <w:i/>
          <w:spacing w:val="31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4"/>
          <w:sz w:val="18"/>
          <w:szCs w:val="18"/>
        </w:rPr>
        <w:t>Foster</w:t>
      </w:r>
      <w:r>
        <w:rPr>
          <w:rFonts w:ascii="Theinhardt Regular Italic" w:hAnsi="Theinhardt Regular Italic" w:cs="Theinhardt Regular Italic" w:eastAsia="Theinhardt Regular Italic"/>
          <w:i/>
          <w:spacing w:val="30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3"/>
          <w:sz w:val="18"/>
          <w:szCs w:val="18"/>
        </w:rPr>
        <w:t>Solar</w:t>
      </w:r>
      <w:r>
        <w:rPr>
          <w:rFonts w:ascii="Theinhardt Regular Italic" w:hAnsi="Theinhardt Regular Italic" w:cs="Theinhardt Regular Italic" w:eastAsia="Theinhardt Regular Italic"/>
          <w:i/>
          <w:spacing w:val="33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2"/>
          <w:sz w:val="18"/>
          <w:szCs w:val="18"/>
        </w:rPr>
        <w:t>Award</w:t>
      </w:r>
      <w:r>
        <w:rPr>
          <w:rFonts w:ascii="Theinhardt Regular Italic" w:hAnsi="Theinhardt Regular Italic" w:cs="Theinhardt Regular Italic" w:eastAsia="Theinhardt Regular Italic"/>
          <w:i/>
          <w:spacing w:val="-4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spacing w:val="-2"/>
          <w:sz w:val="18"/>
          <w:szCs w:val="18"/>
        </w:rPr>
        <w:t>2016.</w:t>
      </w:r>
      <w:r>
        <w:rPr>
          <w:rFonts w:ascii="Theinhardt Regular Italic" w:hAnsi="Theinhardt Regular Italic" w:cs="Theinhardt Regular Italic" w:eastAsia="Theinhardt Regular Italic"/>
          <w:sz w:val="18"/>
          <w:szCs w:val="18"/>
        </w:rPr>
      </w:r>
    </w:p>
    <w:p>
      <w:pPr>
        <w:tabs>
          <w:tab w:pos="1247" w:val="left" w:leader="none"/>
          <w:tab w:pos="1814" w:val="left" w:leader="none"/>
          <w:tab w:pos="2381" w:val="left" w:leader="none"/>
          <w:tab w:pos="2757" w:val="left" w:leader="none"/>
        </w:tabs>
        <w:spacing w:line="142" w:lineRule="exact" w:before="0"/>
        <w:ind w:left="107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/>
        <w:br w:type="column"/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PV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Fass.:</w:t>
      </w:r>
      <w:r>
        <w:rPr>
          <w:rFonts w:ascii="Theinhardt Regular" w:hAnsi="Theinhardt Regular" w:cs="Theinhardt Regular" w:eastAsia="Theinhardt Regular"/>
          <w:spacing w:val="30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-3"/>
          <w:sz w:val="14"/>
          <w:szCs w:val="14"/>
        </w:rPr>
        <w:t>470</w:t>
        <w:tab/>
      </w:r>
      <w:r>
        <w:rPr>
          <w:rFonts w:ascii="Theinhardt Regular" w:hAnsi="Theinhardt Regular" w:cs="Theinhardt Regular" w:eastAsia="Theinhardt Regular"/>
          <w:spacing w:val="-3"/>
          <w:w w:val="95"/>
          <w:sz w:val="14"/>
          <w:szCs w:val="14"/>
        </w:rPr>
        <w:t>47</w:t>
        <w:tab/>
      </w:r>
      <w:r>
        <w:rPr>
          <w:rFonts w:ascii="Theinhardt Regular" w:hAnsi="Theinhardt Regular" w:cs="Theinhardt Regular" w:eastAsia="Theinhardt Regular"/>
          <w:spacing w:val="-4"/>
          <w:w w:val="95"/>
          <w:sz w:val="14"/>
          <w:szCs w:val="14"/>
        </w:rPr>
        <w:t>57.4</w:t>
        <w:tab/>
      </w:r>
      <w:r>
        <w:rPr>
          <w:rFonts w:ascii="Theinhardt Regular" w:hAnsi="Theinhardt Regular" w:cs="Theinhardt Regular" w:eastAsia="Theinhardt Regular"/>
          <w:sz w:val="14"/>
          <w:szCs w:val="14"/>
        </w:rPr>
        <w:t>29</w:t>
        <w:tab/>
      </w:r>
      <w:r>
        <w:rPr>
          <w:rFonts w:ascii="Theinhardt Bold" w:hAnsi="Theinhardt Bold" w:cs="Theinhardt Bold" w:eastAsia="Theinhardt Bold"/>
          <w:b/>
          <w:bCs/>
          <w:spacing w:val="2"/>
          <w:sz w:val="14"/>
          <w:szCs w:val="14"/>
        </w:rPr>
        <w:t>27’000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tabs>
          <w:tab w:pos="1725" w:val="left" w:leader="none"/>
          <w:tab w:pos="2385" w:val="left" w:leader="none"/>
          <w:tab w:pos="2759" w:val="left" w:leader="none"/>
        </w:tabs>
        <w:spacing w:line="160" w:lineRule="exact" w:before="0"/>
        <w:ind w:left="106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Regular" w:hAnsi="Theinhardt Regular" w:cs="Theinhardt Regular" w:eastAsia="Theinhardt Regular"/>
          <w:spacing w:val="2"/>
          <w:sz w:val="14"/>
          <w:szCs w:val="14"/>
        </w:rPr>
        <w:t>PV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Dach:</w:t>
      </w:r>
      <w:r>
        <w:rPr>
          <w:rFonts w:ascii="Theinhardt Regular" w:hAnsi="Theinhardt Regular" w:cs="Theinhardt Regular" w:eastAsia="Theinhardt Regular"/>
          <w:sz w:val="14"/>
          <w:szCs w:val="14"/>
        </w:rPr>
        <w:t>  </w:t>
      </w:r>
      <w:r>
        <w:rPr>
          <w:rFonts w:ascii="Theinhardt Regular" w:hAnsi="Theinhardt Regular" w:cs="Theinhardt Regular" w:eastAsia="Theinhardt Regular"/>
          <w:spacing w:val="-2"/>
          <w:sz w:val="14"/>
          <w:szCs w:val="14"/>
        </w:rPr>
        <w:t>527</w:t>
      </w:r>
      <w:r>
        <w:rPr>
          <w:rFonts w:ascii="Theinhardt Regular" w:hAnsi="Theinhardt Regular" w:cs="Theinhardt Regular" w:eastAsia="Theinhardt Regular"/>
          <w:sz w:val="14"/>
          <w:szCs w:val="14"/>
        </w:rPr>
        <w:t>  </w:t>
      </w:r>
      <w:r>
        <w:rPr>
          <w:rFonts w:ascii="Theinhardt Regular" w:hAnsi="Theinhardt Regular" w:cs="Theinhardt Regular" w:eastAsia="Theinhardt Regular"/>
          <w:spacing w:val="21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-1"/>
          <w:sz w:val="14"/>
          <w:szCs w:val="14"/>
        </w:rPr>
        <w:t>79.5</w:t>
        <w:tab/>
      </w:r>
      <w:r>
        <w:rPr>
          <w:rFonts w:ascii="Theinhardt Regular" w:hAnsi="Theinhardt Regular" w:cs="Theinhardt Regular" w:eastAsia="Theinhardt Regular"/>
          <w:spacing w:val="-2"/>
          <w:sz w:val="14"/>
          <w:szCs w:val="14"/>
        </w:rPr>
        <w:t>123.3</w:t>
        <w:tab/>
      </w:r>
      <w:r>
        <w:rPr>
          <w:rFonts w:ascii="Theinhardt Regular" w:hAnsi="Theinhardt Regular" w:cs="Theinhardt Regular" w:eastAsia="Theinhardt Regular"/>
          <w:spacing w:val="-3"/>
          <w:w w:val="95"/>
          <w:sz w:val="14"/>
          <w:szCs w:val="14"/>
        </w:rPr>
        <w:t>71</w:t>
        <w:tab/>
      </w:r>
      <w:r>
        <w:rPr>
          <w:rFonts w:ascii="Theinhardt Bold" w:hAnsi="Theinhardt Bold" w:cs="Theinhardt Bold" w:eastAsia="Theinhardt Bold"/>
          <w:b/>
          <w:bCs/>
          <w:spacing w:val="2"/>
          <w:sz w:val="14"/>
          <w:szCs w:val="14"/>
        </w:rPr>
        <w:t>65’000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tabs>
          <w:tab w:pos="2298" w:val="left" w:leader="none"/>
          <w:tab w:pos="2758" w:val="left" w:leader="none"/>
        </w:tabs>
        <w:spacing w:line="172" w:lineRule="exact" w:before="0"/>
        <w:ind w:left="106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 w:cs="Theinhardt Bold" w:eastAsia="Theinhardt Bold"/>
          <w:b/>
          <w:bCs/>
          <w:spacing w:val="1"/>
          <w:sz w:val="14"/>
          <w:szCs w:val="14"/>
        </w:rPr>
        <w:t>Eigenenergieversorgung:</w:t>
        <w:tab/>
      </w:r>
      <w:r>
        <w:rPr>
          <w:rFonts w:ascii="Theinhardt Bold" w:hAnsi="Theinhardt Bold" w:cs="Theinhardt Bold" w:eastAsia="Theinhardt Bold"/>
          <w:b/>
          <w:bCs/>
          <w:spacing w:val="-1"/>
          <w:w w:val="95"/>
          <w:sz w:val="14"/>
          <w:szCs w:val="14"/>
        </w:rPr>
        <w:t>100</w:t>
        <w:tab/>
      </w:r>
      <w:r>
        <w:rPr>
          <w:rFonts w:ascii="Theinhardt Bold" w:hAnsi="Theinhardt Bold" w:cs="Theinhardt Bold" w:eastAsia="Theinhardt Bold"/>
          <w:b/>
          <w:bCs/>
          <w:spacing w:val="2"/>
          <w:sz w:val="14"/>
          <w:szCs w:val="14"/>
        </w:rPr>
        <w:t>92’000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tabs>
          <w:tab w:pos="2418" w:val="left" w:leader="none"/>
          <w:tab w:pos="2824" w:val="left" w:leader="none"/>
        </w:tabs>
        <w:spacing w:line="172" w:lineRule="exact" w:before="32"/>
        <w:ind w:left="106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Bold"/>
          <w:b/>
          <w:w w:val="95"/>
          <w:sz w:val="14"/>
        </w:rPr>
        <w:t>Energiebilanz</w:t>
        <w:tab/>
      </w:r>
      <w:r>
        <w:rPr>
          <w:rFonts w:ascii="Theinhardt Regular"/>
          <w:sz w:val="14"/>
        </w:rPr>
        <w:t>%</w:t>
        <w:tab/>
      </w:r>
      <w:r>
        <w:rPr>
          <w:rFonts w:ascii="Theinhardt Regular"/>
          <w:spacing w:val="-1"/>
          <w:sz w:val="14"/>
        </w:rPr>
        <w:t>kWh/a</w:t>
      </w:r>
      <w:r>
        <w:rPr>
          <w:rFonts w:ascii="Theinhardt Regular"/>
          <w:sz w:val="14"/>
        </w:rPr>
      </w:r>
    </w:p>
    <w:p>
      <w:pPr>
        <w:tabs>
          <w:tab w:pos="2298" w:val="left" w:leader="none"/>
          <w:tab w:pos="2758" w:val="left" w:leader="none"/>
        </w:tabs>
        <w:spacing w:line="172" w:lineRule="exact" w:before="0"/>
        <w:ind w:left="106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 w:cs="Theinhardt Bold" w:eastAsia="Theinhardt Bold"/>
          <w:b/>
          <w:bCs/>
          <w:spacing w:val="1"/>
          <w:sz w:val="14"/>
          <w:szCs w:val="14"/>
        </w:rPr>
        <w:t>Eigenenergieversorgung:</w:t>
        <w:tab/>
      </w:r>
      <w:r>
        <w:rPr>
          <w:rFonts w:ascii="Theinhardt Bold" w:hAnsi="Theinhardt Bold" w:cs="Theinhardt Bold" w:eastAsia="Theinhardt Bold"/>
          <w:b/>
          <w:bCs/>
          <w:spacing w:val="-1"/>
          <w:w w:val="95"/>
          <w:sz w:val="14"/>
          <w:szCs w:val="14"/>
        </w:rPr>
        <w:t>100</w:t>
        <w:tab/>
      </w:r>
      <w:r>
        <w:rPr>
          <w:rFonts w:ascii="Theinhardt Bold" w:hAnsi="Theinhardt Bold" w:cs="Theinhardt Bold" w:eastAsia="Theinhardt Bold"/>
          <w:b/>
          <w:bCs/>
          <w:spacing w:val="2"/>
          <w:sz w:val="14"/>
          <w:szCs w:val="14"/>
        </w:rPr>
        <w:t>92’000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tabs>
          <w:tab w:pos="2689" w:val="left" w:leader="none"/>
        </w:tabs>
        <w:spacing w:before="32"/>
        <w:ind w:left="106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spacing w:val="2"/>
          <w:sz w:val="14"/>
        </w:rPr>
        <w:t>Elektrolyse-Leistung:</w:t>
        <w:tab/>
      </w:r>
      <w:r>
        <w:rPr>
          <w:rFonts w:ascii="Theinhardt Bold"/>
          <w:b/>
          <w:sz w:val="14"/>
        </w:rPr>
        <w:t>14.5 </w:t>
      </w:r>
      <w:r>
        <w:rPr>
          <w:rFonts w:ascii="Theinhardt Bold"/>
          <w:b/>
          <w:spacing w:val="1"/>
          <w:sz w:val="14"/>
        </w:rPr>
        <w:t>kW</w:t>
      </w:r>
      <w:r>
        <w:rPr>
          <w:rFonts w:ascii="Theinhardt Bold"/>
          <w:sz w:val="14"/>
        </w:rPr>
      </w:r>
    </w:p>
    <w:p>
      <w:pPr>
        <w:spacing w:line="160" w:lineRule="exact" w:before="39"/>
        <w:ind w:left="106" w:right="206" w:firstLine="0"/>
        <w:jc w:val="left"/>
        <w:rPr>
          <w:rFonts w:ascii="Theinhardt Light Italic" w:hAnsi="Theinhardt Light Italic" w:cs="Theinhardt Light Italic" w:eastAsia="Theinhardt Light Italic"/>
          <w:sz w:val="14"/>
          <w:szCs w:val="14"/>
        </w:rPr>
      </w:pPr>
      <w:r>
        <w:rPr>
          <w:rFonts w:ascii="Theinhardt Light Italic" w:hAnsi="Theinhardt Light Italic"/>
          <w:i/>
          <w:spacing w:val="2"/>
          <w:sz w:val="14"/>
        </w:rPr>
        <w:t>*Durch</w:t>
      </w:r>
      <w:r>
        <w:rPr>
          <w:rFonts w:ascii="Theinhardt Light Italic" w:hAnsi="Theinhardt Light Italic"/>
          <w:i/>
          <w:sz w:val="14"/>
        </w:rPr>
        <w:t> </w:t>
      </w:r>
      <w:r>
        <w:rPr>
          <w:rFonts w:ascii="Theinhardt Light Italic" w:hAnsi="Theinhardt Light Italic"/>
          <w:i/>
          <w:spacing w:val="1"/>
          <w:sz w:val="14"/>
        </w:rPr>
        <w:t>den</w:t>
      </w:r>
      <w:r>
        <w:rPr>
          <w:rFonts w:ascii="Theinhardt Light Italic" w:hAnsi="Theinhardt Light Italic"/>
          <w:i/>
          <w:sz w:val="14"/>
        </w:rPr>
        <w:t> </w:t>
      </w:r>
      <w:r>
        <w:rPr>
          <w:rFonts w:ascii="Theinhardt Light Italic" w:hAnsi="Theinhardt Light Italic"/>
          <w:i/>
          <w:spacing w:val="1"/>
          <w:sz w:val="14"/>
        </w:rPr>
        <w:t>fehlenden</w:t>
      </w:r>
      <w:r>
        <w:rPr>
          <w:rFonts w:ascii="Theinhardt Light Italic" w:hAnsi="Theinhardt Light Italic"/>
          <w:i/>
          <w:sz w:val="14"/>
        </w:rPr>
        <w:t> </w:t>
      </w:r>
      <w:r>
        <w:rPr>
          <w:rFonts w:ascii="Theinhardt Light Italic" w:hAnsi="Theinhardt Light Italic"/>
          <w:i/>
          <w:spacing w:val="2"/>
          <w:sz w:val="14"/>
        </w:rPr>
        <w:t>Netzanschluss</w:t>
      </w:r>
      <w:r>
        <w:rPr>
          <w:rFonts w:ascii="Theinhardt Light Italic" w:hAnsi="Theinhardt Light Italic"/>
          <w:i/>
          <w:sz w:val="14"/>
        </w:rPr>
        <w:t> </w:t>
      </w:r>
      <w:r>
        <w:rPr>
          <w:rFonts w:ascii="Theinhardt Light Italic" w:hAnsi="Theinhardt Light Italic"/>
          <w:i/>
          <w:spacing w:val="1"/>
          <w:sz w:val="14"/>
        </w:rPr>
        <w:t>ist</w:t>
      </w:r>
      <w:r>
        <w:rPr>
          <w:rFonts w:ascii="Theinhardt Light Italic" w:hAnsi="Theinhardt Light Italic"/>
          <w:i/>
          <w:sz w:val="14"/>
        </w:rPr>
        <w:t> </w:t>
      </w:r>
      <w:r>
        <w:rPr>
          <w:rFonts w:ascii="Theinhardt Light Italic" w:hAnsi="Theinhardt Light Italic"/>
          <w:i/>
          <w:spacing w:val="1"/>
          <w:sz w:val="14"/>
        </w:rPr>
        <w:t>keine</w:t>
      </w:r>
      <w:r>
        <w:rPr>
          <w:rFonts w:ascii="Theinhardt Light Italic" w:hAnsi="Theinhardt Light Italic"/>
          <w:i/>
          <w:sz w:val="14"/>
        </w:rPr>
        <w:t> </w:t>
      </w:r>
      <w:r>
        <w:rPr>
          <w:rFonts w:ascii="Theinhardt Light Italic" w:hAnsi="Theinhardt Light Italic"/>
          <w:i/>
          <w:spacing w:val="2"/>
          <w:sz w:val="14"/>
        </w:rPr>
        <w:t>EW-</w:t>
      </w:r>
      <w:r>
        <w:rPr>
          <w:rFonts w:ascii="Theinhardt Light Italic" w:hAnsi="Theinhardt Light Italic"/>
          <w:i/>
          <w:spacing w:val="28"/>
          <w:sz w:val="14"/>
        </w:rPr>
        <w:t> </w:t>
      </w:r>
      <w:r>
        <w:rPr>
          <w:rFonts w:ascii="Theinhardt Light Italic" w:hAnsi="Theinhardt Light Italic"/>
          <w:i/>
          <w:spacing w:val="2"/>
          <w:sz w:val="14"/>
        </w:rPr>
        <w:t>Bestätigung</w:t>
      </w:r>
      <w:r>
        <w:rPr>
          <w:rFonts w:ascii="Theinhardt Light Italic" w:hAnsi="Theinhardt Light Italic"/>
          <w:i/>
          <w:sz w:val="14"/>
        </w:rPr>
        <w:t> </w:t>
      </w:r>
      <w:r>
        <w:rPr>
          <w:rFonts w:ascii="Theinhardt Light Italic" w:hAnsi="Theinhardt Light Italic"/>
          <w:i/>
          <w:spacing w:val="2"/>
          <w:sz w:val="14"/>
        </w:rPr>
        <w:t>erhältlich.</w:t>
      </w:r>
      <w:r>
        <w:rPr>
          <w:rFonts w:ascii="Theinhardt Light Italic" w:hAnsi="Theinhardt Light Italic"/>
          <w:i/>
          <w:sz w:val="14"/>
        </w:rPr>
        <w:t> </w:t>
      </w:r>
      <w:r>
        <w:rPr>
          <w:rFonts w:ascii="Theinhardt Light Italic" w:hAnsi="Theinhardt Light Italic"/>
          <w:i/>
          <w:spacing w:val="2"/>
          <w:sz w:val="14"/>
        </w:rPr>
        <w:t>Soweit</w:t>
      </w:r>
      <w:r>
        <w:rPr>
          <w:rFonts w:ascii="Theinhardt Light Italic" w:hAnsi="Theinhardt Light Italic"/>
          <w:i/>
          <w:sz w:val="14"/>
        </w:rPr>
        <w:t> </w:t>
      </w:r>
      <w:r>
        <w:rPr>
          <w:rFonts w:ascii="Theinhardt Light Italic" w:hAnsi="Theinhardt Light Italic"/>
          <w:i/>
          <w:spacing w:val="1"/>
          <w:sz w:val="14"/>
        </w:rPr>
        <w:t>die</w:t>
      </w:r>
      <w:r>
        <w:rPr>
          <w:rFonts w:ascii="Theinhardt Light Italic" w:hAnsi="Theinhardt Light Italic"/>
          <w:i/>
          <w:sz w:val="14"/>
        </w:rPr>
        <w:t> </w:t>
      </w:r>
      <w:r>
        <w:rPr>
          <w:rFonts w:ascii="Theinhardt Light Italic" w:hAnsi="Theinhardt Light Italic"/>
          <w:i/>
          <w:spacing w:val="2"/>
          <w:sz w:val="14"/>
        </w:rPr>
        <w:t>Abwärme</w:t>
      </w:r>
      <w:r>
        <w:rPr>
          <w:rFonts w:ascii="Theinhardt Light Italic" w:hAnsi="Theinhardt Light Italic"/>
          <w:i/>
          <w:sz w:val="14"/>
        </w:rPr>
        <w:t> </w:t>
      </w:r>
      <w:r>
        <w:rPr>
          <w:rFonts w:ascii="Theinhardt Light Italic" w:hAnsi="Theinhardt Light Italic"/>
          <w:i/>
          <w:spacing w:val="1"/>
          <w:sz w:val="14"/>
        </w:rPr>
        <w:t>der</w:t>
      </w:r>
      <w:r>
        <w:rPr>
          <w:rFonts w:ascii="Theinhardt Light Italic" w:hAnsi="Theinhardt Light Italic"/>
          <w:i/>
          <w:spacing w:val="28"/>
          <w:sz w:val="14"/>
        </w:rPr>
        <w:t> </w:t>
      </w:r>
      <w:r>
        <w:rPr>
          <w:rFonts w:ascii="Theinhardt Light Italic" w:hAnsi="Theinhardt Light Italic"/>
          <w:i/>
          <w:spacing w:val="2"/>
          <w:sz w:val="14"/>
        </w:rPr>
        <w:t>Brennstoffzelle</w:t>
      </w:r>
      <w:r>
        <w:rPr>
          <w:rFonts w:ascii="Theinhardt Light Italic" w:hAnsi="Theinhardt Light Italic"/>
          <w:i/>
          <w:sz w:val="14"/>
        </w:rPr>
        <w:t> </w:t>
      </w:r>
      <w:r>
        <w:rPr>
          <w:rFonts w:ascii="Theinhardt Light Italic" w:hAnsi="Theinhardt Light Italic"/>
          <w:i/>
          <w:spacing w:val="1"/>
          <w:sz w:val="14"/>
        </w:rPr>
        <w:t>(ca.</w:t>
      </w:r>
      <w:r>
        <w:rPr>
          <w:rFonts w:ascii="Theinhardt Light Italic" w:hAnsi="Theinhardt Light Italic"/>
          <w:i/>
          <w:sz w:val="14"/>
        </w:rPr>
        <w:t> </w:t>
      </w:r>
      <w:r>
        <w:rPr>
          <w:rFonts w:ascii="Theinhardt Light Italic" w:hAnsi="Theinhardt Light Italic"/>
          <w:i/>
          <w:spacing w:val="-1"/>
          <w:sz w:val="14"/>
        </w:rPr>
        <w:t>59%)</w:t>
      </w:r>
      <w:r>
        <w:rPr>
          <w:rFonts w:ascii="Theinhardt Light Italic" w:hAnsi="Theinhardt Light Italic"/>
          <w:i/>
          <w:sz w:val="14"/>
        </w:rPr>
        <w:t> </w:t>
      </w:r>
      <w:r>
        <w:rPr>
          <w:rFonts w:ascii="Theinhardt Light Italic" w:hAnsi="Theinhardt Light Italic"/>
          <w:i/>
          <w:spacing w:val="2"/>
          <w:sz w:val="14"/>
        </w:rPr>
        <w:t>nutzbar</w:t>
      </w:r>
      <w:r>
        <w:rPr>
          <w:rFonts w:ascii="Theinhardt Light Italic" w:hAnsi="Theinhardt Light Italic"/>
          <w:i/>
          <w:sz w:val="14"/>
        </w:rPr>
        <w:t> </w:t>
      </w:r>
      <w:r>
        <w:rPr>
          <w:rFonts w:ascii="Theinhardt Light Italic" w:hAnsi="Theinhardt Light Italic"/>
          <w:i/>
          <w:spacing w:val="1"/>
          <w:sz w:val="14"/>
        </w:rPr>
        <w:t>ist,</w:t>
      </w:r>
      <w:r>
        <w:rPr>
          <w:rFonts w:ascii="Theinhardt Light Italic" w:hAnsi="Theinhardt Light Italic"/>
          <w:i/>
          <w:sz w:val="14"/>
        </w:rPr>
        <w:t> </w:t>
      </w:r>
      <w:r>
        <w:rPr>
          <w:rFonts w:ascii="Theinhardt Light Italic" w:hAnsi="Theinhardt Light Italic"/>
          <w:i/>
          <w:spacing w:val="1"/>
          <w:sz w:val="14"/>
        </w:rPr>
        <w:t>erhöht</w:t>
      </w:r>
      <w:r>
        <w:rPr>
          <w:rFonts w:ascii="Theinhardt Light Italic" w:hAnsi="Theinhardt Light Italic"/>
          <w:i/>
          <w:sz w:val="14"/>
        </w:rPr>
        <w:t> </w:t>
      </w:r>
      <w:r>
        <w:rPr>
          <w:rFonts w:ascii="Theinhardt Light Italic" w:hAnsi="Theinhardt Light Italic"/>
          <w:i/>
          <w:spacing w:val="1"/>
          <w:sz w:val="14"/>
        </w:rPr>
        <w:t>sich</w:t>
      </w:r>
      <w:r>
        <w:rPr>
          <w:rFonts w:ascii="Theinhardt Light Italic" w:hAnsi="Theinhardt Light Italic"/>
          <w:i/>
          <w:sz w:val="14"/>
        </w:rPr>
        <w:t> </w:t>
      </w:r>
      <w:r>
        <w:rPr>
          <w:rFonts w:ascii="Theinhardt Light Italic" w:hAnsi="Theinhardt Light Italic"/>
          <w:i/>
          <w:spacing w:val="2"/>
          <w:sz w:val="14"/>
        </w:rPr>
        <w:t>der</w:t>
      </w:r>
      <w:r>
        <w:rPr>
          <w:rFonts w:ascii="Theinhardt Light Italic" w:hAnsi="Theinhardt Light Italic"/>
          <w:i/>
          <w:spacing w:val="40"/>
          <w:sz w:val="14"/>
        </w:rPr>
        <w:t> </w:t>
      </w:r>
      <w:r>
        <w:rPr>
          <w:rFonts w:ascii="Theinhardt Light Italic" w:hAnsi="Theinhardt Light Italic"/>
          <w:i/>
          <w:spacing w:val="2"/>
          <w:sz w:val="14"/>
        </w:rPr>
        <w:t>Gesamtwirkungsgrad</w:t>
      </w:r>
      <w:r>
        <w:rPr>
          <w:rFonts w:ascii="Theinhardt Light Italic" w:hAnsi="Theinhardt Light Italic"/>
          <w:i/>
          <w:sz w:val="14"/>
        </w:rPr>
        <w:t> </w:t>
      </w:r>
      <w:r>
        <w:rPr>
          <w:rFonts w:ascii="Theinhardt Light Italic" w:hAnsi="Theinhardt Light Italic"/>
          <w:i/>
          <w:spacing w:val="2"/>
          <w:sz w:val="14"/>
        </w:rPr>
        <w:t>auf</w:t>
      </w:r>
      <w:r>
        <w:rPr>
          <w:rFonts w:ascii="Theinhardt Light Italic" w:hAnsi="Theinhardt Light Italic"/>
          <w:i/>
          <w:sz w:val="14"/>
        </w:rPr>
        <w:t> 78%. </w:t>
      </w:r>
      <w:r>
        <w:rPr>
          <w:rFonts w:ascii="Theinhardt Light Italic" w:hAnsi="Theinhardt Light Italic"/>
          <w:i/>
          <w:spacing w:val="1"/>
          <w:sz w:val="14"/>
        </w:rPr>
        <w:t>Durch</w:t>
      </w:r>
      <w:r>
        <w:rPr>
          <w:rFonts w:ascii="Theinhardt Light Italic" w:hAnsi="Theinhardt Light Italic"/>
          <w:i/>
          <w:sz w:val="14"/>
        </w:rPr>
        <w:t> </w:t>
      </w:r>
      <w:r>
        <w:rPr>
          <w:rFonts w:ascii="Theinhardt Light Italic" w:hAnsi="Theinhardt Light Italic"/>
          <w:i/>
          <w:spacing w:val="2"/>
          <w:sz w:val="14"/>
        </w:rPr>
        <w:t>WP-Einsatz</w:t>
      </w:r>
      <w:r>
        <w:rPr>
          <w:rFonts w:ascii="Theinhardt Light Italic" w:hAnsi="Theinhardt Light Italic"/>
          <w:i/>
          <w:sz w:val="14"/>
        </w:rPr>
        <w:t> </w:t>
      </w:r>
      <w:r>
        <w:rPr>
          <w:rFonts w:ascii="Theinhardt Light Italic" w:hAnsi="Theinhardt Light Italic"/>
          <w:i/>
          <w:spacing w:val="1"/>
          <w:sz w:val="14"/>
        </w:rPr>
        <w:t>ist</w:t>
      </w:r>
      <w:r>
        <w:rPr>
          <w:rFonts w:ascii="Theinhardt Light Italic" w:hAnsi="Theinhardt Light Italic"/>
          <w:i/>
          <w:spacing w:val="40"/>
          <w:sz w:val="14"/>
        </w:rPr>
        <w:t> </w:t>
      </w:r>
      <w:r>
        <w:rPr>
          <w:rFonts w:ascii="Theinhardt Light Italic" w:hAnsi="Theinhardt Light Italic"/>
          <w:i/>
          <w:spacing w:val="1"/>
          <w:sz w:val="14"/>
        </w:rPr>
        <w:t>die</w:t>
      </w:r>
      <w:r>
        <w:rPr>
          <w:rFonts w:ascii="Theinhardt Light Italic" w:hAnsi="Theinhardt Light Italic"/>
          <w:i/>
          <w:sz w:val="14"/>
        </w:rPr>
        <w:t> </w:t>
      </w:r>
      <w:r>
        <w:rPr>
          <w:rFonts w:ascii="Theinhardt Light Italic" w:hAnsi="Theinhardt Light Italic"/>
          <w:i/>
          <w:spacing w:val="2"/>
          <w:sz w:val="14"/>
        </w:rPr>
        <w:t>Nutzenergie</w:t>
      </w:r>
      <w:r>
        <w:rPr>
          <w:rFonts w:ascii="Theinhardt Light Italic" w:hAnsi="Theinhardt Light Italic"/>
          <w:i/>
          <w:sz w:val="14"/>
        </w:rPr>
        <w:t> </w:t>
      </w:r>
      <w:r>
        <w:rPr>
          <w:rFonts w:ascii="Theinhardt Light Italic" w:hAnsi="Theinhardt Light Italic"/>
          <w:i/>
          <w:spacing w:val="1"/>
          <w:sz w:val="14"/>
        </w:rPr>
        <w:t>höher</w:t>
      </w:r>
      <w:r>
        <w:rPr>
          <w:rFonts w:ascii="Theinhardt Light Italic" w:hAnsi="Theinhardt Light Italic"/>
          <w:i/>
          <w:sz w:val="14"/>
        </w:rPr>
        <w:t> </w:t>
      </w:r>
      <w:r>
        <w:rPr>
          <w:rFonts w:ascii="Theinhardt Light Italic" w:hAnsi="Theinhardt Light Italic"/>
          <w:i/>
          <w:spacing w:val="1"/>
          <w:sz w:val="14"/>
        </w:rPr>
        <w:t>als</w:t>
      </w:r>
      <w:r>
        <w:rPr>
          <w:rFonts w:ascii="Theinhardt Light Italic" w:hAnsi="Theinhardt Light Italic"/>
          <w:i/>
          <w:sz w:val="14"/>
        </w:rPr>
        <w:t> </w:t>
      </w:r>
      <w:r>
        <w:rPr>
          <w:rFonts w:ascii="Theinhardt Light Italic" w:hAnsi="Theinhardt Light Italic"/>
          <w:i/>
          <w:spacing w:val="1"/>
          <w:sz w:val="14"/>
        </w:rPr>
        <w:t>die</w:t>
      </w:r>
      <w:r>
        <w:rPr>
          <w:rFonts w:ascii="Theinhardt Light Italic" w:hAnsi="Theinhardt Light Italic"/>
          <w:i/>
          <w:sz w:val="14"/>
        </w:rPr>
        <w:t> </w:t>
      </w:r>
      <w:r>
        <w:rPr>
          <w:rFonts w:ascii="Theinhardt Light Italic" w:hAnsi="Theinhardt Light Italic"/>
          <w:i/>
          <w:spacing w:val="1"/>
          <w:sz w:val="14"/>
        </w:rPr>
        <w:t>Endenergie.</w:t>
      </w:r>
      <w:r>
        <w:rPr>
          <w:rFonts w:ascii="Theinhardt Light Italic" w:hAnsi="Theinhardt Light Italic"/>
          <w:i/>
          <w:sz w:val="14"/>
        </w:rPr>
        <w:t> </w:t>
      </w:r>
      <w:r>
        <w:rPr>
          <w:rFonts w:ascii="Theinhardt Light Italic" w:hAnsi="Theinhardt Light Italic"/>
          <w:i/>
          <w:spacing w:val="2"/>
          <w:sz w:val="14"/>
        </w:rPr>
        <w:t>Mit</w:t>
      </w:r>
      <w:r>
        <w:rPr>
          <w:rFonts w:ascii="Theinhardt Light Italic" w:hAnsi="Theinhardt Light Italic"/>
          <w:i/>
          <w:sz w:val="14"/>
        </w:rPr>
        <w:t> </w:t>
      </w:r>
      <w:r>
        <w:rPr>
          <w:rFonts w:ascii="Theinhardt Light Italic" w:hAnsi="Theinhardt Light Italic"/>
          <w:i/>
          <w:spacing w:val="1"/>
          <w:sz w:val="14"/>
        </w:rPr>
        <w:t>den</w:t>
      </w:r>
      <w:r>
        <w:rPr>
          <w:rFonts w:ascii="Theinhardt Light Italic" w:hAnsi="Theinhardt Light Italic"/>
          <w:i/>
          <w:spacing w:val="34"/>
          <w:sz w:val="14"/>
        </w:rPr>
        <w:t> </w:t>
      </w:r>
      <w:r>
        <w:rPr>
          <w:rFonts w:ascii="Theinhardt Light Italic" w:hAnsi="Theinhardt Light Italic"/>
          <w:i/>
          <w:spacing w:val="2"/>
          <w:sz w:val="14"/>
        </w:rPr>
        <w:t>Bioabfällen</w:t>
      </w:r>
      <w:r>
        <w:rPr>
          <w:rFonts w:ascii="Theinhardt Light Italic" w:hAnsi="Theinhardt Light Italic"/>
          <w:i/>
          <w:sz w:val="14"/>
        </w:rPr>
        <w:t> </w:t>
      </w:r>
      <w:r>
        <w:rPr>
          <w:rFonts w:ascii="Theinhardt Light Italic" w:hAnsi="Theinhardt Light Italic"/>
          <w:i/>
          <w:spacing w:val="1"/>
          <w:sz w:val="14"/>
        </w:rPr>
        <w:t>und</w:t>
      </w:r>
      <w:r>
        <w:rPr>
          <w:rFonts w:ascii="Theinhardt Light Italic" w:hAnsi="Theinhardt Light Italic"/>
          <w:i/>
          <w:sz w:val="14"/>
        </w:rPr>
        <w:t> </w:t>
      </w:r>
      <w:r>
        <w:rPr>
          <w:rFonts w:ascii="Theinhardt Light Italic" w:hAnsi="Theinhardt Light Italic"/>
          <w:i/>
          <w:spacing w:val="2"/>
          <w:sz w:val="14"/>
        </w:rPr>
        <w:t>mit</w:t>
      </w:r>
      <w:r>
        <w:rPr>
          <w:rFonts w:ascii="Theinhardt Light Italic" w:hAnsi="Theinhardt Light Italic"/>
          <w:i/>
          <w:sz w:val="14"/>
        </w:rPr>
        <w:t> </w:t>
      </w:r>
      <w:r>
        <w:rPr>
          <w:rFonts w:ascii="Theinhardt Light Italic" w:hAnsi="Theinhardt Light Italic"/>
          <w:i/>
          <w:spacing w:val="1"/>
          <w:sz w:val="14"/>
        </w:rPr>
        <w:t>dem</w:t>
      </w:r>
      <w:r>
        <w:rPr>
          <w:rFonts w:ascii="Theinhardt Light Italic" w:hAnsi="Theinhardt Light Italic"/>
          <w:i/>
          <w:sz w:val="14"/>
        </w:rPr>
        <w:t> </w:t>
      </w:r>
      <w:r>
        <w:rPr>
          <w:rFonts w:ascii="Theinhardt Light Italic" w:hAnsi="Theinhardt Light Italic"/>
          <w:i/>
          <w:spacing w:val="2"/>
          <w:sz w:val="14"/>
        </w:rPr>
        <w:t>Solarstrom</w:t>
      </w:r>
      <w:r>
        <w:rPr>
          <w:rFonts w:ascii="Theinhardt Light Italic" w:hAnsi="Theinhardt Light Italic"/>
          <w:i/>
          <w:sz w:val="14"/>
        </w:rPr>
        <w:t> </w:t>
      </w:r>
      <w:r>
        <w:rPr>
          <w:rFonts w:ascii="Theinhardt Light Italic" w:hAnsi="Theinhardt Light Italic"/>
          <w:i/>
          <w:spacing w:val="1"/>
          <w:sz w:val="14"/>
        </w:rPr>
        <w:t>sollen</w:t>
      </w:r>
      <w:r>
        <w:rPr>
          <w:rFonts w:ascii="Theinhardt Light Italic" w:hAnsi="Theinhardt Light Italic"/>
          <w:i/>
          <w:sz w:val="14"/>
        </w:rPr>
        <w:t> </w:t>
      </w:r>
      <w:r>
        <w:rPr>
          <w:rFonts w:ascii="Theinhardt Light Italic" w:hAnsi="Theinhardt Light Italic"/>
          <w:i/>
          <w:spacing w:val="1"/>
          <w:sz w:val="14"/>
        </w:rPr>
        <w:t>je</w:t>
      </w:r>
      <w:r>
        <w:rPr>
          <w:rFonts w:ascii="Theinhardt Light Italic" w:hAnsi="Theinhardt Light Italic"/>
          <w:i/>
          <w:sz w:val="14"/>
        </w:rPr>
        <w:t> </w:t>
      </w:r>
      <w:r>
        <w:rPr>
          <w:rFonts w:ascii="Theinhardt Light Italic" w:hAnsi="Theinhardt Light Italic"/>
          <w:i/>
          <w:spacing w:val="2"/>
          <w:sz w:val="14"/>
        </w:rPr>
        <w:t>ein</w:t>
      </w:r>
      <w:r>
        <w:rPr>
          <w:rFonts w:ascii="Theinhardt Light Italic" w:hAnsi="Theinhardt Light Italic"/>
          <w:i/>
          <w:spacing w:val="28"/>
          <w:sz w:val="14"/>
        </w:rPr>
        <w:t> </w:t>
      </w:r>
      <w:r>
        <w:rPr>
          <w:rFonts w:ascii="Theinhardt Light Italic" w:hAnsi="Theinhardt Light Italic"/>
          <w:i/>
          <w:spacing w:val="2"/>
          <w:sz w:val="14"/>
        </w:rPr>
        <w:t>Elektro-</w:t>
      </w:r>
      <w:r>
        <w:rPr>
          <w:rFonts w:ascii="Theinhardt Light Italic" w:hAnsi="Theinhardt Light Italic"/>
          <w:i/>
          <w:sz w:val="14"/>
        </w:rPr>
        <w:t> </w:t>
      </w:r>
      <w:r>
        <w:rPr>
          <w:rFonts w:ascii="Theinhardt Light Italic" w:hAnsi="Theinhardt Light Italic"/>
          <w:i/>
          <w:spacing w:val="1"/>
          <w:sz w:val="14"/>
        </w:rPr>
        <w:t>und</w:t>
      </w:r>
      <w:r>
        <w:rPr>
          <w:rFonts w:ascii="Theinhardt Light Italic" w:hAnsi="Theinhardt Light Italic"/>
          <w:i/>
          <w:sz w:val="14"/>
        </w:rPr>
        <w:t> </w:t>
      </w:r>
      <w:r>
        <w:rPr>
          <w:rFonts w:ascii="Theinhardt Light Italic" w:hAnsi="Theinhardt Light Italic"/>
          <w:i/>
          <w:spacing w:val="1"/>
          <w:sz w:val="14"/>
        </w:rPr>
        <w:t>ein</w:t>
      </w:r>
      <w:r>
        <w:rPr>
          <w:rFonts w:ascii="Theinhardt Light Italic" w:hAnsi="Theinhardt Light Italic"/>
          <w:i/>
          <w:sz w:val="14"/>
        </w:rPr>
        <w:t> </w:t>
      </w:r>
      <w:r>
        <w:rPr>
          <w:rFonts w:ascii="Theinhardt Light Italic" w:hAnsi="Theinhardt Light Italic"/>
          <w:i/>
          <w:spacing w:val="2"/>
          <w:sz w:val="14"/>
        </w:rPr>
        <w:t>Biogasauto</w:t>
      </w:r>
      <w:r>
        <w:rPr>
          <w:rFonts w:ascii="Theinhardt Light Italic" w:hAnsi="Theinhardt Light Italic"/>
          <w:i/>
          <w:sz w:val="14"/>
        </w:rPr>
        <w:t> </w:t>
      </w:r>
      <w:r>
        <w:rPr>
          <w:rFonts w:ascii="Theinhardt Light Italic" w:hAnsi="Theinhardt Light Italic"/>
          <w:i/>
          <w:spacing w:val="1"/>
          <w:sz w:val="14"/>
        </w:rPr>
        <w:t>betrieben</w:t>
      </w:r>
      <w:r>
        <w:rPr>
          <w:rFonts w:ascii="Theinhardt Light Italic" w:hAnsi="Theinhardt Light Italic"/>
          <w:i/>
          <w:sz w:val="14"/>
        </w:rPr>
        <w:t> </w:t>
      </w:r>
      <w:r>
        <w:rPr>
          <w:rFonts w:ascii="Theinhardt Light Italic" w:hAnsi="Theinhardt Light Italic"/>
          <w:i/>
          <w:spacing w:val="1"/>
          <w:sz w:val="14"/>
        </w:rPr>
        <w:t>werden</w:t>
      </w:r>
      <w:r>
        <w:rPr>
          <w:rFonts w:ascii="Theinhardt Light Italic" w:hAnsi="Theinhardt Light Italic"/>
          <w:i/>
          <w:sz w:val="14"/>
        </w:rPr>
        <w:t> </w:t>
      </w:r>
      <w:r>
        <w:rPr>
          <w:rFonts w:ascii="Theinhardt Light Italic" w:hAnsi="Theinhardt Light Italic"/>
          <w:i/>
          <w:spacing w:val="1"/>
          <w:sz w:val="14"/>
        </w:rPr>
        <w:t>können.</w:t>
      </w:r>
      <w:r>
        <w:rPr>
          <w:rFonts w:ascii="Theinhardt Light Italic" w:hAnsi="Theinhardt Light Italic"/>
          <w:sz w:val="14"/>
        </w:rPr>
      </w:r>
    </w:p>
    <w:p>
      <w:pPr>
        <w:spacing w:line="240" w:lineRule="auto" w:before="7"/>
        <w:rPr>
          <w:rFonts w:ascii="Theinhardt Light Italic" w:hAnsi="Theinhardt Light Italic" w:cs="Theinhardt Light Italic" w:eastAsia="Theinhardt Light Italic"/>
          <w:i/>
          <w:sz w:val="11"/>
          <w:szCs w:val="11"/>
        </w:rPr>
      </w:pPr>
    </w:p>
    <w:p>
      <w:pPr>
        <w:spacing w:before="0"/>
        <w:ind w:left="106" w:right="0" w:firstLine="0"/>
        <w:jc w:val="left"/>
        <w:rPr>
          <w:rFonts w:ascii="Theinhardt Black" w:hAnsi="Theinhardt Black" w:cs="Theinhardt Black" w:eastAsia="Theinhardt Black"/>
          <w:sz w:val="14"/>
          <w:szCs w:val="14"/>
        </w:rPr>
      </w:pPr>
      <w:r>
        <w:rPr>
          <w:rFonts w:ascii="Theinhardt Black"/>
          <w:b/>
          <w:spacing w:val="1"/>
          <w:sz w:val="14"/>
        </w:rPr>
        <w:t>Kontakt</w:t>
      </w:r>
      <w:r>
        <w:rPr>
          <w:rFonts w:ascii="Theinhardt Black"/>
          <w:sz w:val="14"/>
        </w:rPr>
      </w:r>
    </w:p>
    <w:p>
      <w:pPr>
        <w:spacing w:line="240" w:lineRule="auto" w:before="9"/>
        <w:rPr>
          <w:rFonts w:ascii="Theinhardt Black" w:hAnsi="Theinhardt Black" w:cs="Theinhardt Black" w:eastAsia="Theinhardt Black"/>
          <w:b/>
          <w:bCs/>
          <w:sz w:val="2"/>
          <w:szCs w:val="2"/>
        </w:rPr>
      </w:pPr>
    </w:p>
    <w:p>
      <w:pPr>
        <w:spacing w:line="20" w:lineRule="atLeast"/>
        <w:ind w:left="107" w:right="0" w:firstLine="0"/>
        <w:rPr>
          <w:rFonts w:ascii="Theinhardt Black" w:hAnsi="Theinhardt Black" w:cs="Theinhardt Black" w:eastAsia="Theinhardt Black"/>
          <w:sz w:val="2"/>
          <w:szCs w:val="2"/>
        </w:rPr>
      </w:pPr>
      <w:r>
        <w:rPr>
          <w:rFonts w:ascii="Theinhardt Black" w:hAnsi="Theinhardt Black" w:cs="Theinhardt Black" w:eastAsia="Theinhardt Black"/>
          <w:sz w:val="2"/>
          <w:szCs w:val="2"/>
        </w:rPr>
        <w:pict>
          <v:group style="width:167.25pt;height:.45pt;mso-position-horizontal-relative:char;mso-position-vertical-relative:line" coordorigin="0,0" coordsize="3345,9">
            <v:group style="position:absolute;left:21;top:4;width:3311;height:2" coordorigin="21,4" coordsize="3311,2">
              <v:shape style="position:absolute;left:21;top:4;width:3311;height:2" coordorigin="21,4" coordsize="3311,0" path="m21,4l3332,4e" filled="false" stroked="true" strokeweight=".425pt" strokecolor="#000000">
                <v:path arrowok="t"/>
                <v:stroke dashstyle="dash"/>
              </v:shape>
            </v:group>
            <v:group style="position:absolute;left:4;top:4;width:2;height:2" coordorigin="4,4" coordsize="2,2">
              <v:shape style="position:absolute;left:4;top:4;width:2;height:2" coordorigin="4,4" coordsize="0,0" path="m4,4l4,4e" filled="false" stroked="true" strokeweight=".425pt" strokecolor="#000000">
                <v:path arrowok="t"/>
              </v:shape>
            </v:group>
            <v:group style="position:absolute;left:3341;top:4;width:2;height:2" coordorigin="3341,4" coordsize="2,2">
              <v:shape style="position:absolute;left:3341;top:4;width:2;height:2" coordorigin="3341,4" coordsize="0,0" path="m3341,4l3341,4e" filled="false" stroked="true" strokeweight=".425pt" strokecolor="#000000">
                <v:path arrowok="t"/>
              </v:shape>
            </v:group>
          </v:group>
        </w:pict>
      </w:r>
      <w:r>
        <w:rPr>
          <w:rFonts w:ascii="Theinhardt Black" w:hAnsi="Theinhardt Black" w:cs="Theinhardt Black" w:eastAsia="Theinhardt Black"/>
          <w:sz w:val="2"/>
          <w:szCs w:val="2"/>
        </w:rPr>
      </w:r>
    </w:p>
    <w:p>
      <w:pPr>
        <w:spacing w:line="172" w:lineRule="exact" w:before="20"/>
        <w:ind w:left="106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/>
          <w:b/>
          <w:spacing w:val="2"/>
          <w:sz w:val="14"/>
        </w:rPr>
        <w:t>Standort</w:t>
      </w:r>
      <w:r>
        <w:rPr>
          <w:rFonts w:ascii="Theinhardt Bold" w:hAnsi="Theinhardt Bold"/>
          <w:b/>
          <w:sz w:val="14"/>
        </w:rPr>
        <w:t> </w:t>
      </w:r>
      <w:r>
        <w:rPr>
          <w:rFonts w:ascii="Theinhardt Bold" w:hAnsi="Theinhardt Bold"/>
          <w:b/>
          <w:spacing w:val="1"/>
          <w:sz w:val="14"/>
        </w:rPr>
        <w:t>des</w:t>
      </w:r>
      <w:r>
        <w:rPr>
          <w:rFonts w:ascii="Theinhardt Bold" w:hAnsi="Theinhardt Bold"/>
          <w:b/>
          <w:sz w:val="14"/>
        </w:rPr>
        <w:t> </w:t>
      </w:r>
      <w:r>
        <w:rPr>
          <w:rFonts w:ascii="Theinhardt Bold" w:hAnsi="Theinhardt Bold"/>
          <w:b/>
          <w:spacing w:val="1"/>
          <w:sz w:val="14"/>
        </w:rPr>
        <w:t>Gebäudes:</w:t>
      </w:r>
      <w:r>
        <w:rPr>
          <w:rFonts w:ascii="Theinhardt Bold" w:hAnsi="Theinhardt Bold"/>
          <w:sz w:val="14"/>
        </w:rPr>
      </w:r>
    </w:p>
    <w:p>
      <w:pPr>
        <w:spacing w:line="172" w:lineRule="exact" w:before="0"/>
        <w:ind w:left="106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/>
          <w:spacing w:val="2"/>
          <w:sz w:val="14"/>
        </w:rPr>
        <w:t>Unterdorfstrasse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-4"/>
          <w:sz w:val="14"/>
        </w:rPr>
        <w:t>1,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-4"/>
          <w:sz w:val="14"/>
        </w:rPr>
        <w:t>8311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3"/>
          <w:sz w:val="14"/>
        </w:rPr>
        <w:t>Brütten</w:t>
      </w:r>
      <w:r>
        <w:rPr>
          <w:rFonts w:ascii="Theinhardt Regular" w:hAnsi="Theinhardt Regular"/>
          <w:sz w:val="14"/>
        </w:rPr>
      </w:r>
    </w:p>
    <w:p>
      <w:pPr>
        <w:spacing w:line="172" w:lineRule="exact" w:before="35"/>
        <w:ind w:left="106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spacing w:val="3"/>
          <w:sz w:val="14"/>
        </w:rPr>
        <w:t>B</w:t>
      </w:r>
      <w:r>
        <w:rPr>
          <w:rFonts w:ascii="Theinhardt Bold"/>
          <w:b/>
          <w:spacing w:val="1"/>
          <w:sz w:val="14"/>
        </w:rPr>
        <w:t>au</w:t>
      </w:r>
      <w:r>
        <w:rPr>
          <w:rFonts w:ascii="Theinhardt Bold"/>
          <w:b/>
          <w:spacing w:val="2"/>
          <w:sz w:val="14"/>
        </w:rPr>
        <w:t>he</w:t>
      </w:r>
      <w:r>
        <w:rPr>
          <w:rFonts w:ascii="Theinhardt Bold"/>
          <w:b/>
          <w:spacing w:val="1"/>
          <w:sz w:val="14"/>
        </w:rPr>
        <w:t>r</w:t>
      </w:r>
      <w:r>
        <w:rPr>
          <w:rFonts w:ascii="Theinhardt Bold"/>
          <w:b/>
          <w:spacing w:val="2"/>
          <w:sz w:val="14"/>
        </w:rPr>
        <w:t>rs</w:t>
      </w:r>
      <w:r>
        <w:rPr>
          <w:rFonts w:ascii="Theinhardt Bold"/>
          <w:b/>
          <w:spacing w:val="3"/>
          <w:sz w:val="14"/>
        </w:rPr>
        <w:t>c</w:t>
      </w:r>
      <w:r>
        <w:rPr>
          <w:rFonts w:ascii="Theinhardt Bold"/>
          <w:b/>
          <w:spacing w:val="2"/>
          <w:sz w:val="14"/>
        </w:rPr>
        <w:t>h</w:t>
      </w:r>
      <w:r>
        <w:rPr>
          <w:rFonts w:ascii="Theinhardt Bold"/>
          <w:b/>
          <w:spacing w:val="1"/>
          <w:sz w:val="14"/>
        </w:rPr>
        <w:t>a</w:t>
      </w:r>
      <w:r>
        <w:rPr>
          <w:rFonts w:ascii="Theinhardt Bold"/>
          <w:b/>
          <w:spacing w:val="5"/>
          <w:sz w:val="14"/>
        </w:rPr>
        <w:t>f</w:t>
      </w:r>
      <w:r>
        <w:rPr>
          <w:rFonts w:ascii="Theinhardt Bold"/>
          <w:b/>
          <w:spacing w:val="3"/>
          <w:sz w:val="14"/>
        </w:rPr>
        <w:t>t</w:t>
      </w:r>
      <w:r>
        <w:rPr>
          <w:rFonts w:ascii="Theinhardt Bold"/>
          <w:b/>
          <w:sz w:val="14"/>
        </w:rPr>
        <w:t>:</w:t>
      </w:r>
      <w:r>
        <w:rPr>
          <w:rFonts w:ascii="Theinhardt Bold"/>
          <w:sz w:val="14"/>
        </w:rPr>
      </w:r>
    </w:p>
    <w:p>
      <w:pPr>
        <w:spacing w:line="207" w:lineRule="auto" w:before="6"/>
        <w:ind w:left="106" w:right="293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/>
          <w:spacing w:val="1"/>
          <w:sz w:val="14"/>
        </w:rPr>
        <w:t>Umwelt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Arena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Spreitenbach,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2"/>
          <w:sz w:val="14"/>
        </w:rPr>
        <w:t>Türliackerstrasse</w:t>
      </w:r>
      <w:r>
        <w:rPr>
          <w:rFonts w:ascii="Theinhardt Regular" w:hAnsi="Theinhardt Regular"/>
          <w:sz w:val="14"/>
        </w:rPr>
        <w:t> 4</w:t>
      </w:r>
      <w:r>
        <w:rPr>
          <w:rFonts w:ascii="Theinhardt Regular" w:hAnsi="Theinhardt Regular"/>
          <w:spacing w:val="40"/>
          <w:sz w:val="14"/>
        </w:rPr>
        <w:t> </w:t>
      </w:r>
      <w:r>
        <w:rPr>
          <w:rFonts w:ascii="Theinhardt Regular" w:hAnsi="Theinhardt Regular"/>
          <w:spacing w:val="-1"/>
          <w:sz w:val="14"/>
        </w:rPr>
        <w:t>8957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Spreitenbach,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-2"/>
          <w:sz w:val="14"/>
        </w:rPr>
        <w:t>Tel.</w:t>
      </w:r>
      <w:r>
        <w:rPr>
          <w:rFonts w:ascii="Theinhardt Regular" w:hAnsi="Theinhardt Regular"/>
          <w:sz w:val="14"/>
        </w:rPr>
        <w:t> 056 </w:t>
      </w:r>
      <w:r>
        <w:rPr>
          <w:rFonts w:ascii="Theinhardt Regular" w:hAnsi="Theinhardt Regular"/>
          <w:spacing w:val="-6"/>
          <w:sz w:val="14"/>
        </w:rPr>
        <w:t>418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-4"/>
          <w:sz w:val="14"/>
        </w:rPr>
        <w:t>13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2"/>
          <w:sz w:val="14"/>
        </w:rPr>
        <w:t>00</w:t>
      </w:r>
      <w:hyperlink r:id="rId6">
        <w:r>
          <w:rPr>
            <w:rFonts w:ascii="Theinhardt Regular" w:hAnsi="Theinhardt Regular"/>
            <w:spacing w:val="38"/>
            <w:sz w:val="14"/>
          </w:rPr>
          <w:t> </w:t>
        </w:r>
        <w:r>
          <w:rPr>
            <w:rFonts w:ascii="Theinhardt Regular" w:hAnsi="Theinhardt Regular"/>
            <w:spacing w:val="1"/>
            <w:sz w:val="14"/>
          </w:rPr>
          <w:t>info@umweltarena.ch</w:t>
        </w:r>
        <w:r>
          <w:rPr>
            <w:rFonts w:ascii="Theinhardt Regular" w:hAnsi="Theinhardt Regular"/>
            <w:sz w:val="14"/>
          </w:rPr>
        </w:r>
      </w:hyperlink>
    </w:p>
    <w:p>
      <w:pPr>
        <w:spacing w:line="172" w:lineRule="exact" w:before="41"/>
        <w:ind w:left="106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/>
          <w:b/>
          <w:spacing w:val="1"/>
          <w:sz w:val="14"/>
        </w:rPr>
        <w:t>Gebäudehülle:</w:t>
      </w:r>
      <w:r>
        <w:rPr>
          <w:rFonts w:ascii="Theinhardt Bold" w:hAnsi="Theinhardt Bold"/>
          <w:sz w:val="14"/>
        </w:rPr>
      </w:r>
    </w:p>
    <w:p>
      <w:pPr>
        <w:spacing w:line="207" w:lineRule="auto" w:before="6"/>
        <w:ind w:left="106" w:right="803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pacing w:val="2"/>
          <w:sz w:val="14"/>
        </w:rPr>
        <w:t>Ernst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Schweizer</w:t>
      </w:r>
      <w:r>
        <w:rPr>
          <w:rFonts w:ascii="Theinhardt Regular"/>
          <w:sz w:val="14"/>
        </w:rPr>
        <w:t> AG, </w:t>
      </w:r>
      <w:r>
        <w:rPr>
          <w:rFonts w:ascii="Theinhardt Regular"/>
          <w:spacing w:val="2"/>
          <w:sz w:val="14"/>
        </w:rPr>
        <w:t>Bahnhofsplatz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7"/>
          <w:sz w:val="14"/>
        </w:rPr>
        <w:t>11</w:t>
      </w:r>
      <w:r>
        <w:rPr>
          <w:rFonts w:ascii="Theinhardt Regular"/>
          <w:spacing w:val="24"/>
          <w:sz w:val="14"/>
        </w:rPr>
        <w:t> </w:t>
      </w:r>
      <w:r>
        <w:rPr>
          <w:rFonts w:ascii="Theinhardt Regular"/>
          <w:spacing w:val="1"/>
          <w:sz w:val="14"/>
        </w:rPr>
        <w:t>8908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Hedingen,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2"/>
          <w:sz w:val="14"/>
        </w:rPr>
        <w:t>Tel.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2"/>
          <w:sz w:val="14"/>
        </w:rPr>
        <w:t>044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763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2"/>
          <w:sz w:val="14"/>
        </w:rPr>
        <w:t>61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7"/>
          <w:sz w:val="14"/>
        </w:rPr>
        <w:t>11</w:t>
      </w:r>
    </w:p>
    <w:p>
      <w:pPr>
        <w:spacing w:line="172" w:lineRule="exact" w:before="41"/>
        <w:ind w:left="106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pacing w:val="1"/>
          <w:sz w:val="14"/>
        </w:rPr>
        <w:t>Flumroc</w:t>
      </w:r>
      <w:r>
        <w:rPr>
          <w:rFonts w:ascii="Theinhardt Regular"/>
          <w:sz w:val="14"/>
        </w:rPr>
        <w:t> AG, </w:t>
      </w:r>
      <w:r>
        <w:rPr>
          <w:rFonts w:ascii="Theinhardt Regular"/>
          <w:spacing w:val="2"/>
          <w:sz w:val="14"/>
        </w:rPr>
        <w:t>Industriestrasse</w:t>
      </w:r>
      <w:r>
        <w:rPr>
          <w:rFonts w:ascii="Theinhardt Regular"/>
          <w:sz w:val="14"/>
        </w:rPr>
        <w:t> 8, </w:t>
      </w:r>
      <w:r>
        <w:rPr>
          <w:rFonts w:ascii="Theinhardt Regular"/>
          <w:spacing w:val="1"/>
          <w:sz w:val="14"/>
        </w:rPr>
        <w:t>8890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Flums</w:t>
      </w:r>
    </w:p>
    <w:p>
      <w:pPr>
        <w:spacing w:line="172" w:lineRule="exact" w:before="0"/>
        <w:ind w:left="106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pacing w:val="-2"/>
          <w:sz w:val="14"/>
        </w:rPr>
        <w:t>Tel.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081</w:t>
      </w:r>
      <w:r>
        <w:rPr>
          <w:rFonts w:ascii="Theinhardt Regular"/>
          <w:sz w:val="14"/>
        </w:rPr>
        <w:t> 734 </w:t>
      </w:r>
      <w:r>
        <w:rPr>
          <w:rFonts w:ascii="Theinhardt Regular"/>
          <w:spacing w:val="-7"/>
          <w:sz w:val="14"/>
        </w:rPr>
        <w:t>11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7"/>
          <w:sz w:val="14"/>
        </w:rPr>
        <w:t>11</w:t>
      </w:r>
      <w:hyperlink r:id="rId7">
        <w:r>
          <w:rPr>
            <w:rFonts w:ascii="Theinhardt Regular"/>
            <w:spacing w:val="-7"/>
            <w:sz w:val="14"/>
          </w:rPr>
          <w:t>,</w:t>
        </w:r>
        <w:r>
          <w:rPr>
            <w:rFonts w:ascii="Theinhardt Regular"/>
            <w:sz w:val="14"/>
          </w:rPr>
          <w:t> </w:t>
        </w:r>
        <w:r>
          <w:rPr>
            <w:rFonts w:ascii="Theinhardt Regular"/>
            <w:spacing w:val="1"/>
            <w:sz w:val="14"/>
          </w:rPr>
          <w:t>info@flumroc.ch</w:t>
        </w:r>
      </w:hyperlink>
    </w:p>
    <w:p>
      <w:pPr>
        <w:spacing w:line="172" w:lineRule="exact" w:before="35"/>
        <w:ind w:left="106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spacing w:val="1"/>
          <w:sz w:val="14"/>
        </w:rPr>
        <w:t>PV-Anlage:</w:t>
      </w:r>
      <w:r>
        <w:rPr>
          <w:rFonts w:ascii="Theinhardt Bold"/>
          <w:sz w:val="14"/>
        </w:rPr>
      </w:r>
    </w:p>
    <w:p>
      <w:pPr>
        <w:spacing w:line="207" w:lineRule="auto" w:before="6"/>
        <w:ind w:left="106" w:right="516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pacing w:val="2"/>
          <w:sz w:val="14"/>
        </w:rPr>
        <w:t>BE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2"/>
          <w:sz w:val="14"/>
        </w:rPr>
        <w:t>Netz</w:t>
      </w:r>
      <w:r>
        <w:rPr>
          <w:rFonts w:ascii="Theinhardt Regular"/>
          <w:sz w:val="14"/>
        </w:rPr>
        <w:t> AG, </w:t>
      </w:r>
      <w:r>
        <w:rPr>
          <w:rFonts w:ascii="Theinhardt Regular"/>
          <w:spacing w:val="2"/>
          <w:sz w:val="14"/>
        </w:rPr>
        <w:t>Industriestrasse</w:t>
      </w:r>
      <w:r>
        <w:rPr>
          <w:rFonts w:ascii="Theinhardt Regular"/>
          <w:sz w:val="14"/>
        </w:rPr>
        <w:t> 4, </w:t>
      </w:r>
      <w:r>
        <w:rPr>
          <w:rFonts w:ascii="Theinhardt Regular"/>
          <w:spacing w:val="1"/>
          <w:sz w:val="14"/>
        </w:rPr>
        <w:t>6030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Ebikon</w:t>
      </w:r>
      <w:r>
        <w:rPr>
          <w:rFonts w:ascii="Theinhardt Regular"/>
          <w:spacing w:val="36"/>
          <w:sz w:val="14"/>
        </w:rPr>
        <w:t> </w:t>
      </w:r>
      <w:r>
        <w:rPr>
          <w:rFonts w:ascii="Theinhardt Regular"/>
          <w:spacing w:val="-2"/>
          <w:sz w:val="14"/>
        </w:rPr>
        <w:t>Tel.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2"/>
          <w:sz w:val="14"/>
        </w:rPr>
        <w:t>041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4"/>
          <w:sz w:val="14"/>
        </w:rPr>
        <w:t>319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2"/>
          <w:sz w:val="14"/>
        </w:rPr>
        <w:t>00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00</w:t>
      </w:r>
      <w:hyperlink r:id="rId8">
        <w:r>
          <w:rPr>
            <w:rFonts w:ascii="Theinhardt Regular"/>
            <w:spacing w:val="1"/>
            <w:sz w:val="14"/>
          </w:rPr>
          <w:t>,</w:t>
        </w:r>
        <w:r>
          <w:rPr>
            <w:rFonts w:ascii="Theinhardt Regular"/>
            <w:sz w:val="14"/>
          </w:rPr>
          <w:t> </w:t>
        </w:r>
        <w:r>
          <w:rPr>
            <w:rFonts w:ascii="Theinhardt Regular"/>
            <w:spacing w:val="1"/>
            <w:sz w:val="14"/>
          </w:rPr>
          <w:t>info@benetz.ch</w:t>
        </w:r>
      </w:hyperlink>
    </w:p>
    <w:p>
      <w:pPr>
        <w:spacing w:line="160" w:lineRule="exact" w:before="49"/>
        <w:ind w:left="106" w:right="206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pacing w:val="1"/>
          <w:sz w:val="14"/>
        </w:rPr>
        <w:t>Meyer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Burger</w:t>
      </w:r>
      <w:r>
        <w:rPr>
          <w:rFonts w:ascii="Theinhardt Regular"/>
          <w:sz w:val="14"/>
        </w:rPr>
        <w:t> AG, </w:t>
      </w:r>
      <w:r>
        <w:rPr>
          <w:rFonts w:ascii="Theinhardt Regular"/>
          <w:spacing w:val="2"/>
          <w:sz w:val="14"/>
        </w:rPr>
        <w:t>Schorenstrasse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39,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3645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2"/>
          <w:sz w:val="14"/>
        </w:rPr>
        <w:t>Gwatt</w:t>
      </w:r>
      <w:r>
        <w:rPr>
          <w:rFonts w:ascii="Theinhardt Regular"/>
          <w:spacing w:val="36"/>
          <w:sz w:val="14"/>
        </w:rPr>
        <w:t> </w:t>
      </w:r>
      <w:r>
        <w:rPr>
          <w:rFonts w:ascii="Theinhardt Regular"/>
          <w:spacing w:val="-2"/>
          <w:sz w:val="14"/>
        </w:rPr>
        <w:t>Tel.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033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2"/>
          <w:sz w:val="14"/>
        </w:rPr>
        <w:t>221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28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00</w:t>
      </w:r>
      <w:hyperlink r:id="rId9">
        <w:r>
          <w:rPr>
            <w:rFonts w:ascii="Theinhardt Regular"/>
            <w:spacing w:val="1"/>
            <w:sz w:val="14"/>
          </w:rPr>
          <w:t>,</w:t>
        </w:r>
        <w:r>
          <w:rPr>
            <w:rFonts w:ascii="Theinhardt Regular"/>
            <w:sz w:val="14"/>
          </w:rPr>
          <w:t> </w:t>
        </w:r>
        <w:r>
          <w:rPr>
            <w:rFonts w:ascii="Theinhardt Regular"/>
            <w:spacing w:val="1"/>
            <w:sz w:val="14"/>
          </w:rPr>
          <w:t>mbinfo@meyerburger.ch</w:t>
        </w:r>
      </w:hyperlink>
    </w:p>
    <w:p>
      <w:pPr>
        <w:spacing w:line="172" w:lineRule="exact" w:before="52"/>
        <w:ind w:left="106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spacing w:val="1"/>
          <w:sz w:val="14"/>
        </w:rPr>
        <w:t>Planer:</w:t>
      </w:r>
      <w:r>
        <w:rPr>
          <w:rFonts w:ascii="Theinhardt Bold"/>
          <w:sz w:val="14"/>
        </w:rPr>
      </w:r>
    </w:p>
    <w:p>
      <w:pPr>
        <w:spacing w:line="207" w:lineRule="auto" w:before="6"/>
        <w:ind w:left="106" w:right="303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pacing w:val="-3"/>
          <w:sz w:val="14"/>
        </w:rPr>
        <w:t>W.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Schmid</w:t>
      </w:r>
      <w:r>
        <w:rPr>
          <w:rFonts w:ascii="Theinhardt Regular"/>
          <w:sz w:val="14"/>
        </w:rPr>
        <w:t> AG, </w:t>
      </w:r>
      <w:r>
        <w:rPr>
          <w:rFonts w:ascii="Theinhardt Regular"/>
          <w:spacing w:val="2"/>
          <w:sz w:val="14"/>
        </w:rPr>
        <w:t>Rohrstrasse</w:t>
      </w:r>
      <w:r>
        <w:rPr>
          <w:rFonts w:ascii="Theinhardt Regular"/>
          <w:sz w:val="14"/>
        </w:rPr>
        <w:t> 36, </w:t>
      </w:r>
      <w:r>
        <w:rPr>
          <w:rFonts w:ascii="Theinhardt Regular"/>
          <w:spacing w:val="-4"/>
          <w:sz w:val="14"/>
        </w:rPr>
        <w:t>8152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2"/>
          <w:sz w:val="14"/>
        </w:rPr>
        <w:t>Glattbrugg</w:t>
      </w:r>
      <w:r>
        <w:rPr>
          <w:rFonts w:ascii="Theinhardt Regular"/>
          <w:spacing w:val="42"/>
          <w:sz w:val="14"/>
        </w:rPr>
        <w:t> </w:t>
      </w:r>
      <w:r>
        <w:rPr>
          <w:rFonts w:ascii="Theinhardt Regular"/>
          <w:spacing w:val="-2"/>
          <w:sz w:val="14"/>
        </w:rPr>
        <w:t>Tel.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2"/>
          <w:sz w:val="14"/>
        </w:rPr>
        <w:t>044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809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3"/>
          <w:sz w:val="14"/>
        </w:rPr>
        <w:t>71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7"/>
          <w:sz w:val="14"/>
        </w:rPr>
        <w:t>11</w:t>
      </w:r>
      <w:hyperlink r:id="rId10">
        <w:r>
          <w:rPr>
            <w:rFonts w:ascii="Theinhardt Regular"/>
            <w:spacing w:val="-7"/>
            <w:sz w:val="14"/>
          </w:rPr>
          <w:t>,</w:t>
        </w:r>
        <w:r>
          <w:rPr>
            <w:rFonts w:ascii="Theinhardt Regular"/>
            <w:sz w:val="14"/>
          </w:rPr>
          <w:t> </w:t>
        </w:r>
        <w:r>
          <w:rPr>
            <w:rFonts w:ascii="Theinhardt Regular"/>
            <w:spacing w:val="1"/>
            <w:sz w:val="14"/>
          </w:rPr>
          <w:t>info@wschmidag.ch</w:t>
        </w:r>
      </w:hyperlink>
    </w:p>
    <w:p>
      <w:pPr>
        <w:spacing w:line="160" w:lineRule="exact" w:before="49"/>
        <w:ind w:left="106" w:right="206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/>
          <w:spacing w:val="2"/>
          <w:sz w:val="14"/>
        </w:rPr>
        <w:t>Basler</w:t>
      </w:r>
      <w:r>
        <w:rPr>
          <w:rFonts w:ascii="Theinhardt Regular" w:hAnsi="Theinhardt Regular"/>
          <w:sz w:val="14"/>
        </w:rPr>
        <w:t> &amp; </w:t>
      </w:r>
      <w:r>
        <w:rPr>
          <w:rFonts w:ascii="Theinhardt Regular" w:hAnsi="Theinhardt Regular"/>
          <w:spacing w:val="1"/>
          <w:sz w:val="14"/>
        </w:rPr>
        <w:t>Hofmann</w:t>
      </w:r>
      <w:r>
        <w:rPr>
          <w:rFonts w:ascii="Theinhardt Regular" w:hAnsi="Theinhardt Regular"/>
          <w:sz w:val="14"/>
        </w:rPr>
        <w:t> AG, </w:t>
      </w:r>
      <w:r>
        <w:rPr>
          <w:rFonts w:ascii="Theinhardt Regular" w:hAnsi="Theinhardt Regular"/>
          <w:spacing w:val="1"/>
          <w:sz w:val="14"/>
        </w:rPr>
        <w:t>Forchstr.</w:t>
      </w:r>
      <w:r>
        <w:rPr>
          <w:rFonts w:ascii="Theinhardt Regular" w:hAnsi="Theinhardt Regular"/>
          <w:sz w:val="14"/>
        </w:rPr>
        <w:t> 395, </w:t>
      </w:r>
      <w:r>
        <w:rPr>
          <w:rFonts w:ascii="Theinhardt Regular" w:hAnsi="Theinhardt Regular"/>
          <w:spacing w:val="2"/>
          <w:sz w:val="14"/>
        </w:rPr>
        <w:t>8008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Zürich</w:t>
      </w:r>
      <w:r>
        <w:rPr>
          <w:rFonts w:ascii="Theinhardt Regular" w:hAnsi="Theinhardt Regular"/>
          <w:spacing w:val="26"/>
          <w:sz w:val="14"/>
        </w:rPr>
        <w:t> </w:t>
      </w:r>
      <w:r>
        <w:rPr>
          <w:rFonts w:ascii="Theinhardt Regular" w:hAnsi="Theinhardt Regular"/>
          <w:spacing w:val="-2"/>
          <w:sz w:val="14"/>
        </w:rPr>
        <w:t>Tel.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2"/>
          <w:sz w:val="14"/>
        </w:rPr>
        <w:t>044</w:t>
      </w:r>
      <w:r>
        <w:rPr>
          <w:rFonts w:ascii="Theinhardt Regular" w:hAnsi="Theinhardt Regular"/>
          <w:sz w:val="14"/>
        </w:rPr>
        <w:t> 387 </w:t>
      </w:r>
      <w:r>
        <w:rPr>
          <w:rFonts w:ascii="Theinhardt Regular" w:hAnsi="Theinhardt Regular"/>
          <w:spacing w:val="-7"/>
          <w:sz w:val="14"/>
        </w:rPr>
        <w:t>11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-1"/>
          <w:sz w:val="14"/>
        </w:rPr>
        <w:t>2</w:t>
      </w:r>
      <w:hyperlink r:id="rId11">
        <w:r>
          <w:rPr>
            <w:rFonts w:ascii="Theinhardt Regular" w:hAnsi="Theinhardt Regular"/>
            <w:spacing w:val="-1"/>
            <w:sz w:val="14"/>
          </w:rPr>
          <w:t>2,</w:t>
        </w:r>
        <w:r>
          <w:rPr>
            <w:rFonts w:ascii="Theinhardt Regular" w:hAnsi="Theinhardt Regular"/>
            <w:sz w:val="14"/>
          </w:rPr>
          <w:t> </w:t>
        </w:r>
        <w:r>
          <w:rPr>
            <w:rFonts w:ascii="Theinhardt Regular" w:hAnsi="Theinhardt Regular"/>
            <w:spacing w:val="1"/>
            <w:sz w:val="14"/>
          </w:rPr>
          <w:t>zuerich@baslerhofmann.ch</w:t>
        </w:r>
      </w:hyperlink>
    </w:p>
    <w:p>
      <w:pPr>
        <w:spacing w:line="160" w:lineRule="exact" w:before="60"/>
        <w:ind w:left="106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/>
          <w:spacing w:val="1"/>
          <w:sz w:val="14"/>
        </w:rPr>
        <w:t>Pro-Energie,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2"/>
          <w:sz w:val="14"/>
        </w:rPr>
        <w:t>Projekt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und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Energiemanagement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GmbH</w:t>
      </w:r>
      <w:r>
        <w:rPr>
          <w:rFonts w:ascii="Theinhardt Regular" w:hAnsi="Theinhardt Regular"/>
          <w:spacing w:val="58"/>
          <w:sz w:val="14"/>
        </w:rPr>
        <w:t> </w:t>
      </w:r>
      <w:r>
        <w:rPr>
          <w:rFonts w:ascii="Theinhardt Regular" w:hAnsi="Theinhardt Regular"/>
          <w:spacing w:val="2"/>
          <w:sz w:val="14"/>
        </w:rPr>
        <w:t>Büfelderstrasse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-1"/>
          <w:sz w:val="14"/>
        </w:rPr>
        <w:t>5,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-1"/>
          <w:sz w:val="14"/>
        </w:rPr>
        <w:t>8370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Sirnach</w:t>
      </w:r>
      <w:r>
        <w:rPr>
          <w:rFonts w:ascii="Theinhardt Regular" w:hAnsi="Theinhardt Regular"/>
          <w:sz w:val="14"/>
        </w:rPr>
      </w:r>
    </w:p>
    <w:p>
      <w:pPr>
        <w:spacing w:line="177" w:lineRule="exact" w:before="0"/>
        <w:ind w:left="106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pacing w:val="-2"/>
          <w:sz w:val="14"/>
        </w:rPr>
        <w:t>Tel.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2"/>
          <w:sz w:val="14"/>
        </w:rPr>
        <w:t>071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8"/>
          <w:sz w:val="14"/>
        </w:rPr>
        <w:t>511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23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2</w:t>
      </w:r>
      <w:hyperlink r:id="rId12">
        <w:r>
          <w:rPr>
            <w:rFonts w:ascii="Theinhardt Regular"/>
            <w:spacing w:val="-1"/>
            <w:sz w:val="14"/>
          </w:rPr>
          <w:t>3,</w:t>
        </w:r>
        <w:r>
          <w:rPr>
            <w:rFonts w:ascii="Theinhardt Regular"/>
            <w:sz w:val="14"/>
          </w:rPr>
          <w:t> </w:t>
        </w:r>
        <w:r>
          <w:rPr>
            <w:rFonts w:ascii="Theinhardt Regular"/>
            <w:spacing w:val="1"/>
            <w:sz w:val="14"/>
          </w:rPr>
          <w:t>info@pem-gmbh.com</w:t>
        </w:r>
      </w:hyperlink>
    </w:p>
    <w:p>
      <w:pPr>
        <w:spacing w:line="172" w:lineRule="exact" w:before="35"/>
        <w:ind w:left="106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spacing w:val="2"/>
          <w:sz w:val="14"/>
        </w:rPr>
        <w:t>Architektur:</w:t>
      </w:r>
      <w:r>
        <w:rPr>
          <w:rFonts w:ascii="Theinhardt Bold"/>
          <w:sz w:val="14"/>
        </w:rPr>
      </w:r>
    </w:p>
    <w:p>
      <w:pPr>
        <w:spacing w:line="207" w:lineRule="auto" w:before="6"/>
        <w:ind w:left="106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/>
          <w:spacing w:val="1"/>
          <w:sz w:val="14"/>
        </w:rPr>
        <w:t>René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Schmid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2"/>
          <w:sz w:val="14"/>
        </w:rPr>
        <w:t>Architekten</w:t>
      </w:r>
      <w:r>
        <w:rPr>
          <w:rFonts w:ascii="Theinhardt Regular" w:hAnsi="Theinhardt Regular"/>
          <w:sz w:val="14"/>
        </w:rPr>
        <w:t> AG, </w:t>
      </w:r>
      <w:r>
        <w:rPr>
          <w:rFonts w:ascii="Theinhardt Regular" w:hAnsi="Theinhardt Regular"/>
          <w:spacing w:val="1"/>
          <w:sz w:val="14"/>
        </w:rPr>
        <w:t>Ellen-Widmann-Weg</w:t>
      </w:r>
      <w:r>
        <w:rPr>
          <w:rFonts w:ascii="Theinhardt Regular" w:hAnsi="Theinhardt Regular"/>
          <w:sz w:val="14"/>
        </w:rPr>
        <w:t> 6</w:t>
      </w:r>
      <w:r>
        <w:rPr>
          <w:rFonts w:ascii="Theinhardt Regular" w:hAnsi="Theinhardt Regular"/>
          <w:spacing w:val="28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8050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Zürich,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-2"/>
          <w:sz w:val="14"/>
        </w:rPr>
        <w:t>Tel.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2"/>
          <w:sz w:val="14"/>
        </w:rPr>
        <w:t>044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-5"/>
          <w:sz w:val="14"/>
        </w:rPr>
        <w:t>317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90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90</w:t>
      </w:r>
    </w:p>
    <w:p>
      <w:pPr>
        <w:spacing w:line="167" w:lineRule="exact" w:before="0"/>
        <w:ind w:left="106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/>
        <w:pict>
          <v:group style="position:absolute;margin-left:385.511902pt;margin-top:10.122498pt;width:167.25pt;height:.45pt;mso-position-horizontal-relative:page;mso-position-vertical-relative:paragraph;z-index:1144" coordorigin="7710,202" coordsize="3345,9">
            <v:group style="position:absolute;left:7732;top:207;width:3311;height:2" coordorigin="7732,207" coordsize="3311,2">
              <v:shape style="position:absolute;left:7732;top:207;width:3311;height:2" coordorigin="7732,207" coordsize="3311,0" path="m7732,207l11042,207e" filled="false" stroked="true" strokeweight=".425pt" strokecolor="#000000">
                <v:path arrowok="t"/>
                <v:stroke dashstyle="dash"/>
              </v:shape>
            </v:group>
            <v:group style="position:absolute;left:7714;top:207;width:2;height:2" coordorigin="7714,207" coordsize="2,2">
              <v:shape style="position:absolute;left:7714;top:207;width:2;height:2" coordorigin="7714,207" coordsize="0,0" path="m7714,207l7714,207e" filled="false" stroked="true" strokeweight=".425pt" strokecolor="#000000">
                <v:path arrowok="t"/>
              </v:shape>
            </v:group>
            <v:group style="position:absolute;left:11051;top:207;width:2;height:2" coordorigin="11051,207" coordsize="2,2">
              <v:shape style="position:absolute;left:11051;top:207;width:2;height:2" coordorigin="11051,207" coordsize="0,0" path="m11051,207l11051,207e" filled="false" stroked="true" strokeweight=".425pt" strokecolor="#000000">
                <v:path arrowok="t"/>
              </v:shape>
            </v:group>
            <w10:wrap type="none"/>
          </v:group>
        </w:pict>
      </w:r>
      <w:hyperlink r:id="rId13">
        <w:r>
          <w:rPr>
            <w:rFonts w:ascii="Theinhardt Regular"/>
            <w:spacing w:val="2"/>
            <w:sz w:val="14"/>
          </w:rPr>
          <w:t>architektur@reneschmid.ch</w:t>
        </w:r>
      </w:hyperlink>
    </w:p>
    <w:p>
      <w:pPr>
        <w:spacing w:after="0" w:line="167" w:lineRule="exact"/>
        <w:jc w:val="left"/>
        <w:rPr>
          <w:rFonts w:ascii="Theinhardt Regular" w:hAnsi="Theinhardt Regular" w:cs="Theinhardt Regular" w:eastAsia="Theinhardt Regular"/>
          <w:sz w:val="14"/>
          <w:szCs w:val="14"/>
        </w:rPr>
        <w:sectPr>
          <w:type w:val="continuous"/>
          <w:pgSz w:w="11910" w:h="16840"/>
          <w:pgMar w:top="860" w:bottom="280" w:left="460" w:right="740"/>
          <w:cols w:num="3" w:equalWidth="0">
            <w:col w:w="3463" w:space="109"/>
            <w:col w:w="3453" w:space="119"/>
            <w:col w:w="3566"/>
          </w:cols>
        </w:sectPr>
      </w:pPr>
    </w:p>
    <w:p>
      <w:pPr>
        <w:spacing w:line="240" w:lineRule="auto" w:before="4"/>
        <w:rPr>
          <w:rFonts w:ascii="Theinhardt Regular" w:hAnsi="Theinhardt Regular" w:cs="Theinhardt Regular" w:eastAsia="Theinhardt Regular"/>
          <w:sz w:val="20"/>
          <w:szCs w:val="20"/>
        </w:rPr>
      </w:pPr>
    </w:p>
    <w:p>
      <w:pPr>
        <w:spacing w:before="70"/>
        <w:ind w:left="106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Heavy"/>
          <w:b/>
          <w:sz w:val="14"/>
        </w:rPr>
        <w:t>36    </w:t>
      </w:r>
      <w:r>
        <w:rPr>
          <w:rFonts w:ascii="Theinhardt Heavy"/>
          <w:b/>
          <w:spacing w:val="7"/>
          <w:sz w:val="14"/>
        </w:rPr>
        <w:t> </w:t>
      </w:r>
      <w:r>
        <w:rPr>
          <w:rFonts w:ascii="Theinhardt Regular"/>
          <w:sz w:val="14"/>
        </w:rPr>
        <w:t>|   </w:t>
      </w:r>
      <w:r>
        <w:rPr>
          <w:rFonts w:ascii="Theinhardt Regular"/>
          <w:spacing w:val="14"/>
          <w:sz w:val="14"/>
        </w:rPr>
        <w:t> </w:t>
      </w:r>
      <w:r>
        <w:rPr>
          <w:rFonts w:ascii="Theinhardt Regular"/>
          <w:spacing w:val="-1"/>
          <w:sz w:val="14"/>
        </w:rPr>
        <w:t>Schweizer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Solarpreis</w:t>
      </w:r>
      <w:r>
        <w:rPr>
          <w:rFonts w:ascii="Theinhardt Regular"/>
          <w:sz w:val="14"/>
        </w:rPr>
        <w:t> 2016   </w:t>
      </w:r>
      <w:r>
        <w:rPr>
          <w:rFonts w:ascii="Theinhardt Regular"/>
          <w:spacing w:val="14"/>
          <w:sz w:val="14"/>
        </w:rPr>
        <w:t> </w:t>
      </w:r>
      <w:r>
        <w:rPr>
          <w:rFonts w:ascii="Theinhardt Regular"/>
          <w:sz w:val="14"/>
        </w:rPr>
        <w:t>|   </w:t>
      </w:r>
      <w:r>
        <w:rPr>
          <w:rFonts w:ascii="Theinhardt Regular"/>
          <w:spacing w:val="14"/>
          <w:sz w:val="14"/>
        </w:rPr>
        <w:t> </w:t>
      </w:r>
      <w:r>
        <w:rPr>
          <w:rFonts w:ascii="Theinhardt Regular"/>
          <w:spacing w:val="-1"/>
          <w:sz w:val="14"/>
        </w:rPr>
        <w:t>Prix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Solaire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Suisse</w:t>
      </w:r>
      <w:r>
        <w:rPr>
          <w:rFonts w:ascii="Theinhardt Regular"/>
          <w:sz w:val="14"/>
        </w:rPr>
        <w:t> 2016</w:t>
      </w:r>
    </w:p>
    <w:p>
      <w:pPr>
        <w:spacing w:after="0"/>
        <w:jc w:val="left"/>
        <w:rPr>
          <w:rFonts w:ascii="Theinhardt Regular" w:hAnsi="Theinhardt Regular" w:cs="Theinhardt Regular" w:eastAsia="Theinhardt Regular"/>
          <w:sz w:val="14"/>
          <w:szCs w:val="14"/>
        </w:rPr>
        <w:sectPr>
          <w:type w:val="continuous"/>
          <w:pgSz w:w="11910" w:h="16840"/>
          <w:pgMar w:top="860" w:bottom="280" w:left="460" w:right="740"/>
        </w:sectPr>
      </w:pPr>
    </w:p>
    <w:p>
      <w:pPr>
        <w:spacing w:line="240" w:lineRule="auto" w:before="6"/>
        <w:rPr>
          <w:rFonts w:ascii="Theinhardt Regular" w:hAnsi="Theinhardt Regular" w:cs="Theinhardt Regular" w:eastAsia="Theinhardt Regular"/>
          <w:sz w:val="5"/>
          <w:szCs w:val="5"/>
        </w:rPr>
      </w:pPr>
    </w:p>
    <w:p>
      <w:pPr>
        <w:spacing w:line="200" w:lineRule="atLeast"/>
        <w:ind w:left="110" w:right="0" w:firstLine="0"/>
        <w:rPr>
          <w:rFonts w:ascii="Theinhardt Regular" w:hAnsi="Theinhardt Regular" w:cs="Theinhardt Regular" w:eastAsia="Theinhardt Regular"/>
          <w:sz w:val="20"/>
          <w:szCs w:val="20"/>
        </w:rPr>
      </w:pPr>
      <w:r>
        <w:rPr>
          <w:rFonts w:ascii="Theinhardt Regular" w:hAnsi="Theinhardt Regular" w:cs="Theinhardt Regular" w:eastAsia="Theinhardt Regular"/>
          <w:sz w:val="20"/>
          <w:szCs w:val="20"/>
        </w:rPr>
        <w:drawing>
          <wp:inline distT="0" distB="0" distL="0" distR="0">
            <wp:extent cx="6665699" cy="4956048"/>
            <wp:effectExtent l="0" t="0" r="0" b="0"/>
            <wp:docPr id="1" name="image2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5699" cy="4956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einhardt Regular" w:hAnsi="Theinhardt Regular" w:cs="Theinhardt Regular" w:eastAsia="Theinhardt Regular"/>
          <w:sz w:val="20"/>
          <w:szCs w:val="20"/>
        </w:rPr>
      </w:r>
    </w:p>
    <w:p>
      <w:pPr>
        <w:spacing w:before="12"/>
        <w:ind w:left="110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sz w:val="14"/>
        </w:rPr>
        <w:t>1</w:t>
      </w:r>
      <w:r>
        <w:rPr>
          <w:rFonts w:ascii="Theinhardt Bold"/>
          <w:sz w:val="14"/>
        </w:rPr>
      </w: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"/>
          <w:szCs w:val="2"/>
        </w:rPr>
      </w:pPr>
    </w:p>
    <w:p>
      <w:pPr>
        <w:tabs>
          <w:tab w:pos="3682" w:val="left" w:leader="none"/>
        </w:tabs>
        <w:spacing w:line="200" w:lineRule="atLeast"/>
        <w:ind w:left="110" w:right="0" w:firstLine="0"/>
        <w:rPr>
          <w:rFonts w:ascii="Theinhardt Bold" w:hAnsi="Theinhardt Bold" w:cs="Theinhardt Bold" w:eastAsia="Theinhardt Bold"/>
          <w:sz w:val="20"/>
          <w:szCs w:val="20"/>
        </w:rPr>
      </w:pPr>
      <w:r>
        <w:rPr>
          <w:rFonts w:ascii="Theinhardt Bold"/>
          <w:position w:val="3"/>
          <w:sz w:val="20"/>
        </w:rPr>
        <w:drawing>
          <wp:inline distT="0" distB="0" distL="0" distR="0">
            <wp:extent cx="2106959" cy="3176111"/>
            <wp:effectExtent l="0" t="0" r="0" b="0"/>
            <wp:docPr id="3" name="image3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3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06959" cy="31761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einhardt Bold"/>
          <w:position w:val="3"/>
          <w:sz w:val="20"/>
        </w:rPr>
      </w:r>
      <w:r>
        <w:rPr>
          <w:rFonts w:ascii="Theinhardt Bold"/>
          <w:position w:val="3"/>
          <w:sz w:val="20"/>
        </w:rPr>
        <w:tab/>
      </w:r>
      <w:r>
        <w:rPr>
          <w:rFonts w:ascii="Theinhardt Bold"/>
          <w:sz w:val="20"/>
        </w:rPr>
        <w:drawing>
          <wp:inline distT="0" distB="0" distL="0" distR="0">
            <wp:extent cx="4396864" cy="3191256"/>
            <wp:effectExtent l="0" t="0" r="0" b="0"/>
            <wp:docPr id="5" name="image4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4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96864" cy="31912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einhardt Bold"/>
          <w:sz w:val="20"/>
        </w:rPr>
      </w:r>
    </w:p>
    <w:p>
      <w:pPr>
        <w:tabs>
          <w:tab w:pos="3681" w:val="left" w:leader="none"/>
        </w:tabs>
        <w:spacing w:before="13"/>
        <w:ind w:left="110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sz w:val="14"/>
        </w:rPr>
        <w:t>2</w:t>
        <w:tab/>
        <w:t>3</w:t>
      </w:r>
      <w:r>
        <w:rPr>
          <w:rFonts w:ascii="Theinhardt Bold"/>
          <w:sz w:val="14"/>
        </w:rPr>
      </w: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5"/>
        <w:rPr>
          <w:rFonts w:ascii="Theinhardt Bold" w:hAnsi="Theinhardt Bold" w:cs="Theinhardt Bold" w:eastAsia="Theinhardt Bold"/>
          <w:b/>
          <w:bCs/>
          <w:sz w:val="15"/>
          <w:szCs w:val="15"/>
        </w:rPr>
      </w:pPr>
    </w:p>
    <w:p>
      <w:pPr>
        <w:spacing w:after="0" w:line="240" w:lineRule="auto"/>
        <w:rPr>
          <w:rFonts w:ascii="Theinhardt Bold" w:hAnsi="Theinhardt Bold" w:cs="Theinhardt Bold" w:eastAsia="Theinhardt Bold"/>
          <w:sz w:val="15"/>
          <w:szCs w:val="15"/>
        </w:rPr>
        <w:sectPr>
          <w:pgSz w:w="11910" w:h="16840"/>
          <w:pgMar w:top="860" w:bottom="280" w:left="740" w:right="460"/>
        </w:sectPr>
      </w:pPr>
    </w:p>
    <w:p>
      <w:pPr>
        <w:numPr>
          <w:ilvl w:val="0"/>
          <w:numId w:val="1"/>
        </w:numPr>
        <w:tabs>
          <w:tab w:pos="338" w:val="left" w:leader="none"/>
        </w:tabs>
        <w:spacing w:line="160" w:lineRule="exact" w:before="76"/>
        <w:ind w:left="337" w:right="0" w:hanging="227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Südwestansicht des 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energieautarken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 MFH in</w:t>
      </w:r>
      <w:r>
        <w:rPr>
          <w:rFonts w:ascii="Theinhardt Bold" w:hAnsi="Theinhardt Bold" w:cs="Theinhardt Bold" w:eastAsia="Theinhardt Bold"/>
          <w:b/>
          <w:bCs/>
          <w:spacing w:val="25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pacing w:val="1"/>
          <w:sz w:val="14"/>
          <w:szCs w:val="14"/>
        </w:rPr>
        <w:t>Brütten/ZH.</w:t>
      </w:r>
      <w:r>
        <w:rPr>
          <w:rFonts w:ascii="Theinhardt Bold" w:hAnsi="Theinhardt Bold" w:cs="Theinhardt Bold" w:eastAsia="Theinhardt Bold"/>
          <w:b/>
          <w:bCs/>
          <w:spacing w:val="-6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Die 126.5 kW 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starke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 dach- und</w:t>
      </w:r>
      <w:r>
        <w:rPr>
          <w:rFonts w:ascii="Theinhardt Bold" w:hAnsi="Theinhardt Bold" w:cs="Theinhardt Bold" w:eastAsia="Theinhardt Bold"/>
          <w:b/>
          <w:bCs/>
          <w:spacing w:val="29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fassadenintegrierte PV-Anlage 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ist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 optimal</w:t>
      </w:r>
      <w:r>
        <w:rPr>
          <w:rFonts w:ascii="Theinhardt Bold" w:hAnsi="Theinhardt Bold" w:cs="Theinhardt Bold" w:eastAsia="Theinhardt Bold"/>
          <w:b/>
          <w:bCs/>
          <w:spacing w:val="24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ganzflächig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integriert und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produziert 92’000</w:t>
      </w:r>
      <w:r>
        <w:rPr>
          <w:rFonts w:ascii="Theinhardt Bold" w:hAnsi="Theinhardt Bold" w:cs="Theinhardt Bold" w:eastAsia="Theinhardt Bold"/>
          <w:b/>
          <w:bCs/>
          <w:spacing w:val="26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kWh/a.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numPr>
          <w:ilvl w:val="0"/>
          <w:numId w:val="1"/>
        </w:numPr>
        <w:tabs>
          <w:tab w:pos="338" w:val="left" w:leader="none"/>
        </w:tabs>
        <w:spacing w:line="160" w:lineRule="exact" w:before="76"/>
        <w:ind w:left="337" w:right="0" w:hanging="227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/>
          <w:b/>
          <w:sz w:val="14"/>
        </w:rPr>
        <w:br w:type="column"/>
        <w:t>Die Südfassade </w:t>
      </w:r>
      <w:r>
        <w:rPr>
          <w:rFonts w:ascii="Theinhardt Bold" w:hAnsi="Theinhardt Bold"/>
          <w:b/>
          <w:spacing w:val="-1"/>
          <w:sz w:val="14"/>
        </w:rPr>
        <w:t>lebt</w:t>
      </w:r>
      <w:r>
        <w:rPr>
          <w:rFonts w:ascii="Theinhardt Bold" w:hAnsi="Theinhardt Bold"/>
          <w:b/>
          <w:sz w:val="14"/>
        </w:rPr>
        <w:t> vom </w:t>
      </w:r>
      <w:r>
        <w:rPr>
          <w:rFonts w:ascii="Theinhardt Bold" w:hAnsi="Theinhardt Bold"/>
          <w:b/>
          <w:spacing w:val="-1"/>
          <w:sz w:val="14"/>
        </w:rPr>
        <w:t>Kontrast</w:t>
      </w:r>
      <w:r>
        <w:rPr>
          <w:rFonts w:ascii="Theinhardt Bold" w:hAnsi="Theinhardt Bold"/>
          <w:b/>
          <w:sz w:val="14"/>
        </w:rPr>
        <w:t> </w:t>
      </w:r>
      <w:r>
        <w:rPr>
          <w:rFonts w:ascii="Theinhardt Bold" w:hAnsi="Theinhardt Bold"/>
          <w:b/>
          <w:spacing w:val="-1"/>
          <w:sz w:val="14"/>
        </w:rPr>
        <w:t>der</w:t>
      </w:r>
      <w:r>
        <w:rPr>
          <w:rFonts w:ascii="Theinhardt Bold" w:hAnsi="Theinhardt Bold"/>
          <w:b/>
          <w:sz w:val="14"/>
        </w:rPr>
        <w:t> </w:t>
      </w:r>
      <w:r>
        <w:rPr>
          <w:rFonts w:ascii="Theinhardt Bold" w:hAnsi="Theinhardt Bold"/>
          <w:b/>
          <w:spacing w:val="-1"/>
          <w:sz w:val="14"/>
        </w:rPr>
        <w:t>dunklen</w:t>
      </w:r>
      <w:r>
        <w:rPr>
          <w:rFonts w:ascii="Theinhardt Bold" w:hAnsi="Theinhardt Bold"/>
          <w:b/>
          <w:spacing w:val="29"/>
          <w:sz w:val="14"/>
        </w:rPr>
        <w:t> </w:t>
      </w:r>
      <w:r>
        <w:rPr>
          <w:rFonts w:ascii="Theinhardt Bold" w:hAnsi="Theinhardt Bold"/>
          <w:b/>
          <w:spacing w:val="-1"/>
          <w:sz w:val="14"/>
        </w:rPr>
        <w:t>Dünnschichtmodule</w:t>
      </w:r>
      <w:r>
        <w:rPr>
          <w:rFonts w:ascii="Theinhardt Bold" w:hAnsi="Theinhardt Bold"/>
          <w:b/>
          <w:sz w:val="14"/>
        </w:rPr>
        <w:t> und </w:t>
      </w:r>
      <w:r>
        <w:rPr>
          <w:rFonts w:ascii="Theinhardt Bold" w:hAnsi="Theinhardt Bold"/>
          <w:b/>
          <w:spacing w:val="-1"/>
          <w:sz w:val="14"/>
        </w:rPr>
        <w:t>dem</w:t>
      </w:r>
      <w:r>
        <w:rPr>
          <w:rFonts w:ascii="Theinhardt Bold" w:hAnsi="Theinhardt Bold"/>
          <w:b/>
          <w:sz w:val="14"/>
        </w:rPr>
        <w:t> </w:t>
      </w:r>
      <w:r>
        <w:rPr>
          <w:rFonts w:ascii="Theinhardt Bold" w:hAnsi="Theinhardt Bold"/>
          <w:b/>
          <w:spacing w:val="-1"/>
          <w:sz w:val="14"/>
        </w:rPr>
        <w:t>hellen</w:t>
      </w:r>
      <w:r>
        <w:rPr>
          <w:rFonts w:ascii="Theinhardt Bold" w:hAnsi="Theinhardt Bold"/>
          <w:b/>
          <w:sz w:val="14"/>
        </w:rPr>
        <w:t> Holz.</w:t>
      </w:r>
      <w:r>
        <w:rPr>
          <w:rFonts w:ascii="Theinhardt Bold" w:hAnsi="Theinhardt Bold"/>
          <w:b/>
          <w:spacing w:val="-6"/>
          <w:sz w:val="14"/>
        </w:rPr>
        <w:t> </w:t>
      </w:r>
      <w:r>
        <w:rPr>
          <w:rFonts w:ascii="Theinhardt Bold" w:hAnsi="Theinhardt Bold"/>
          <w:b/>
          <w:sz w:val="14"/>
        </w:rPr>
        <w:t>Die</w:t>
      </w:r>
      <w:r>
        <w:rPr>
          <w:rFonts w:ascii="Theinhardt Bold" w:hAnsi="Theinhardt Bold"/>
          <w:b/>
          <w:spacing w:val="50"/>
          <w:sz w:val="14"/>
        </w:rPr>
        <w:t> </w:t>
      </w:r>
      <w:r>
        <w:rPr>
          <w:rFonts w:ascii="Theinhardt Bold" w:hAnsi="Theinhardt Bold"/>
          <w:b/>
          <w:spacing w:val="-2"/>
          <w:sz w:val="14"/>
        </w:rPr>
        <w:t>Technik</w:t>
      </w:r>
      <w:r>
        <w:rPr>
          <w:rFonts w:ascii="Theinhardt Bold" w:hAnsi="Theinhardt Bold"/>
          <w:b/>
          <w:sz w:val="14"/>
        </w:rPr>
        <w:t> unter </w:t>
      </w:r>
      <w:r>
        <w:rPr>
          <w:rFonts w:ascii="Theinhardt Bold" w:hAnsi="Theinhardt Bold"/>
          <w:b/>
          <w:spacing w:val="-1"/>
          <w:sz w:val="14"/>
        </w:rPr>
        <w:t>dem</w:t>
      </w:r>
      <w:r>
        <w:rPr>
          <w:rFonts w:ascii="Theinhardt Bold" w:hAnsi="Theinhardt Bold"/>
          <w:b/>
          <w:sz w:val="14"/>
        </w:rPr>
        <w:t> Gebäude mit </w:t>
      </w:r>
      <w:r>
        <w:rPr>
          <w:rFonts w:ascii="Theinhardt Bold" w:hAnsi="Theinhardt Bold"/>
          <w:b/>
          <w:spacing w:val="-1"/>
          <w:sz w:val="14"/>
        </w:rPr>
        <w:t>der</w:t>
      </w:r>
      <w:r>
        <w:rPr>
          <w:rFonts w:ascii="Theinhardt Bold" w:hAnsi="Theinhardt Bold"/>
          <w:b/>
          <w:sz w:val="14"/>
        </w:rPr>
        <w:t> </w:t>
      </w:r>
      <w:r>
        <w:rPr>
          <w:rFonts w:ascii="Theinhardt Bold" w:hAnsi="Theinhardt Bold"/>
          <w:b/>
          <w:spacing w:val="-1"/>
          <w:sz w:val="14"/>
        </w:rPr>
        <w:t>Power-to-</w:t>
      </w:r>
      <w:r>
        <w:rPr>
          <w:rFonts w:ascii="Theinhardt Bold" w:hAnsi="Theinhardt Bold"/>
          <w:b/>
          <w:spacing w:val="34"/>
          <w:sz w:val="14"/>
        </w:rPr>
        <w:t> </w:t>
      </w:r>
      <w:r>
        <w:rPr>
          <w:rFonts w:ascii="Theinhardt Bold" w:hAnsi="Theinhardt Bold"/>
          <w:b/>
          <w:spacing w:val="-2"/>
          <w:sz w:val="14"/>
        </w:rPr>
        <w:t>Gas-Technologie</w:t>
      </w:r>
      <w:r>
        <w:rPr>
          <w:rFonts w:ascii="Theinhardt Bold" w:hAnsi="Theinhardt Bold"/>
          <w:b/>
          <w:sz w:val="14"/>
        </w:rPr>
        <w:t> und </w:t>
      </w:r>
      <w:r>
        <w:rPr>
          <w:rFonts w:ascii="Theinhardt Bold" w:hAnsi="Theinhardt Bold"/>
          <w:b/>
          <w:spacing w:val="-1"/>
          <w:sz w:val="14"/>
        </w:rPr>
        <w:t>dem</w:t>
      </w:r>
      <w:r>
        <w:rPr>
          <w:rFonts w:ascii="Theinhardt Bold" w:hAnsi="Theinhardt Bold"/>
          <w:b/>
          <w:sz w:val="14"/>
        </w:rPr>
        <w:t> </w:t>
      </w:r>
      <w:r>
        <w:rPr>
          <w:rFonts w:ascii="Theinhardt Bold" w:hAnsi="Theinhardt Bold"/>
          <w:b/>
          <w:spacing w:val="-1"/>
          <w:sz w:val="14"/>
        </w:rPr>
        <w:t>Wasserstoffspeicher</w:t>
      </w:r>
      <w:r>
        <w:rPr>
          <w:rFonts w:ascii="Theinhardt Bold" w:hAnsi="Theinhardt Bold"/>
          <w:b/>
          <w:spacing w:val="43"/>
          <w:sz w:val="14"/>
        </w:rPr>
        <w:t> </w:t>
      </w:r>
      <w:r>
        <w:rPr>
          <w:rFonts w:ascii="Theinhardt Bold" w:hAnsi="Theinhardt Bold"/>
          <w:b/>
          <w:spacing w:val="-1"/>
          <w:sz w:val="14"/>
        </w:rPr>
        <w:t>ist</w:t>
      </w:r>
      <w:r>
        <w:rPr>
          <w:rFonts w:ascii="Theinhardt Bold" w:hAnsi="Theinhardt Bold"/>
          <w:b/>
          <w:sz w:val="14"/>
        </w:rPr>
        <w:t> einzigartig.</w:t>
      </w:r>
      <w:r>
        <w:rPr>
          <w:rFonts w:ascii="Theinhardt Bold" w:hAnsi="Theinhardt Bold"/>
          <w:sz w:val="14"/>
        </w:rPr>
      </w:r>
    </w:p>
    <w:p>
      <w:pPr>
        <w:numPr>
          <w:ilvl w:val="0"/>
          <w:numId w:val="1"/>
        </w:numPr>
        <w:tabs>
          <w:tab w:pos="338" w:val="left" w:leader="none"/>
        </w:tabs>
        <w:spacing w:line="160" w:lineRule="exact" w:before="76"/>
        <w:ind w:left="337" w:right="214" w:hanging="227"/>
        <w:jc w:val="both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/>
          <w:b/>
          <w:sz w:val="14"/>
        </w:rPr>
        <w:br w:type="column"/>
        <w:t>Auf</w:t>
      </w:r>
      <w:r>
        <w:rPr>
          <w:rFonts w:ascii="Theinhardt Bold" w:hAnsi="Theinhardt Bold"/>
          <w:b/>
          <w:spacing w:val="-1"/>
          <w:sz w:val="14"/>
        </w:rPr>
        <w:t> dem </w:t>
      </w:r>
      <w:r>
        <w:rPr>
          <w:rFonts w:ascii="Theinhardt Bold" w:hAnsi="Theinhardt Bold"/>
          <w:b/>
          <w:sz w:val="14"/>
        </w:rPr>
        <w:t>Dach </w:t>
      </w:r>
      <w:r>
        <w:rPr>
          <w:rFonts w:ascii="Theinhardt Bold" w:hAnsi="Theinhardt Bold"/>
          <w:b/>
          <w:spacing w:val="-1"/>
          <w:sz w:val="14"/>
        </w:rPr>
        <w:t>versorgen </w:t>
      </w:r>
      <w:r>
        <w:rPr>
          <w:rFonts w:ascii="Theinhardt Bold" w:hAnsi="Theinhardt Bold"/>
          <w:b/>
          <w:sz w:val="14"/>
        </w:rPr>
        <w:t>hocheffiziente mono-</w:t>
      </w:r>
      <w:r>
        <w:rPr>
          <w:rFonts w:ascii="Theinhardt Bold" w:hAnsi="Theinhardt Bold"/>
          <w:b/>
          <w:spacing w:val="22"/>
          <w:sz w:val="14"/>
        </w:rPr>
        <w:t> </w:t>
      </w:r>
      <w:r>
        <w:rPr>
          <w:rFonts w:ascii="Theinhardt Bold" w:hAnsi="Theinhardt Bold"/>
          <w:b/>
          <w:spacing w:val="-1"/>
          <w:sz w:val="14"/>
        </w:rPr>
        <w:t>kristalline</w:t>
      </w:r>
      <w:r>
        <w:rPr>
          <w:rFonts w:ascii="Theinhardt Bold" w:hAnsi="Theinhardt Bold"/>
          <w:b/>
          <w:sz w:val="14"/>
        </w:rPr>
        <w:t> </w:t>
      </w:r>
      <w:r>
        <w:rPr>
          <w:rFonts w:ascii="Theinhardt Bold" w:hAnsi="Theinhardt Bold"/>
          <w:b/>
          <w:spacing w:val="-1"/>
          <w:sz w:val="14"/>
        </w:rPr>
        <w:t>PV-Module</w:t>
      </w:r>
      <w:r>
        <w:rPr>
          <w:rFonts w:ascii="Theinhardt Bold" w:hAnsi="Theinhardt Bold"/>
          <w:b/>
          <w:sz w:val="14"/>
        </w:rPr>
        <w:t> </w:t>
      </w:r>
      <w:r>
        <w:rPr>
          <w:rFonts w:ascii="Theinhardt Bold" w:hAnsi="Theinhardt Bold"/>
          <w:b/>
          <w:spacing w:val="-1"/>
          <w:sz w:val="14"/>
        </w:rPr>
        <w:t>die</w:t>
      </w:r>
      <w:r>
        <w:rPr>
          <w:rFonts w:ascii="Theinhardt Bold" w:hAnsi="Theinhardt Bold"/>
          <w:b/>
          <w:sz w:val="14"/>
        </w:rPr>
        <w:t> neun </w:t>
      </w:r>
      <w:r>
        <w:rPr>
          <w:rFonts w:ascii="Theinhardt Bold" w:hAnsi="Theinhardt Bold"/>
          <w:b/>
          <w:spacing w:val="-1"/>
          <w:sz w:val="14"/>
        </w:rPr>
        <w:t>Wohnungen</w:t>
      </w:r>
      <w:r>
        <w:rPr>
          <w:rFonts w:ascii="Theinhardt Bold" w:hAnsi="Theinhardt Bold"/>
          <w:b/>
          <w:sz w:val="14"/>
        </w:rPr>
        <w:t> mit</w:t>
      </w:r>
      <w:r>
        <w:rPr>
          <w:rFonts w:ascii="Theinhardt Bold" w:hAnsi="Theinhardt Bold"/>
          <w:b/>
          <w:spacing w:val="50"/>
          <w:sz w:val="14"/>
        </w:rPr>
        <w:t> </w:t>
      </w:r>
      <w:r>
        <w:rPr>
          <w:rFonts w:ascii="Theinhardt Bold" w:hAnsi="Theinhardt Bold"/>
          <w:b/>
          <w:sz w:val="14"/>
        </w:rPr>
        <w:t>Strom und </w:t>
      </w:r>
      <w:r>
        <w:rPr>
          <w:rFonts w:ascii="Theinhardt Bold" w:hAnsi="Theinhardt Bold"/>
          <w:b/>
          <w:spacing w:val="-1"/>
          <w:sz w:val="14"/>
        </w:rPr>
        <w:t>Wärme.</w:t>
      </w:r>
      <w:r>
        <w:rPr>
          <w:rFonts w:ascii="Theinhardt Bold" w:hAnsi="Theinhardt Bold"/>
          <w:sz w:val="14"/>
        </w:rPr>
      </w:r>
    </w:p>
    <w:p>
      <w:pPr>
        <w:spacing w:after="0" w:line="160" w:lineRule="exact"/>
        <w:jc w:val="both"/>
        <w:rPr>
          <w:rFonts w:ascii="Theinhardt Bold" w:hAnsi="Theinhardt Bold" w:cs="Theinhardt Bold" w:eastAsia="Theinhardt Bold"/>
          <w:sz w:val="14"/>
          <w:szCs w:val="14"/>
        </w:rPr>
        <w:sectPr>
          <w:type w:val="continuous"/>
          <w:pgSz w:w="11910" w:h="16840"/>
          <w:pgMar w:top="860" w:bottom="280" w:left="740" w:right="460"/>
          <w:cols w:num="3" w:equalWidth="0">
            <w:col w:w="3200" w:space="372"/>
            <w:col w:w="3342" w:space="229"/>
            <w:col w:w="3567"/>
          </w:cols>
        </w:sectPr>
      </w:pPr>
    </w:p>
    <w:p>
      <w:pPr>
        <w:spacing w:line="240" w:lineRule="auto" w:before="3"/>
        <w:rPr>
          <w:rFonts w:ascii="Theinhardt Bold" w:hAnsi="Theinhardt Bold" w:cs="Theinhardt Bold" w:eastAsia="Theinhardt Bold"/>
          <w:b/>
          <w:bCs/>
          <w:sz w:val="23"/>
          <w:szCs w:val="23"/>
        </w:rPr>
      </w:pPr>
    </w:p>
    <w:p>
      <w:pPr>
        <w:spacing w:before="70"/>
        <w:ind w:left="6666" w:right="0" w:firstLine="0"/>
        <w:jc w:val="left"/>
        <w:rPr>
          <w:rFonts w:ascii="Theinhardt Heavy" w:hAnsi="Theinhardt Heavy" w:cs="Theinhardt Heavy" w:eastAsia="Theinhardt Heavy"/>
          <w:sz w:val="14"/>
          <w:szCs w:val="14"/>
        </w:rPr>
      </w:pPr>
      <w:r>
        <w:rPr>
          <w:rFonts w:ascii="Theinhardt Regular"/>
          <w:spacing w:val="-1"/>
          <w:sz w:val="14"/>
        </w:rPr>
        <w:t>Schweizer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Solarpreis</w:t>
      </w:r>
      <w:r>
        <w:rPr>
          <w:rFonts w:ascii="Theinhardt Regular"/>
          <w:sz w:val="14"/>
        </w:rPr>
        <w:t> 2016   </w:t>
      </w:r>
      <w:r>
        <w:rPr>
          <w:rFonts w:ascii="Theinhardt Regular"/>
          <w:spacing w:val="14"/>
          <w:sz w:val="14"/>
        </w:rPr>
        <w:t> </w:t>
      </w:r>
      <w:r>
        <w:rPr>
          <w:rFonts w:ascii="Theinhardt Regular"/>
          <w:sz w:val="14"/>
        </w:rPr>
        <w:t>|   </w:t>
      </w:r>
      <w:r>
        <w:rPr>
          <w:rFonts w:ascii="Theinhardt Regular"/>
          <w:spacing w:val="14"/>
          <w:sz w:val="14"/>
        </w:rPr>
        <w:t> </w:t>
      </w:r>
      <w:r>
        <w:rPr>
          <w:rFonts w:ascii="Theinhardt Regular"/>
          <w:spacing w:val="-1"/>
          <w:sz w:val="14"/>
        </w:rPr>
        <w:t>Prix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Solaire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Suisse</w:t>
      </w:r>
      <w:r>
        <w:rPr>
          <w:rFonts w:ascii="Theinhardt Regular"/>
          <w:sz w:val="14"/>
        </w:rPr>
        <w:t> 2016  </w:t>
      </w:r>
      <w:r>
        <w:rPr>
          <w:rFonts w:ascii="Theinhardt Regular"/>
          <w:spacing w:val="14"/>
          <w:sz w:val="14"/>
        </w:rPr>
        <w:t> </w:t>
      </w:r>
      <w:r>
        <w:rPr>
          <w:rFonts w:ascii="Theinhardt Regular"/>
          <w:sz w:val="14"/>
        </w:rPr>
        <w:t>|   </w:t>
      </w:r>
      <w:r>
        <w:rPr>
          <w:rFonts w:ascii="Theinhardt Regular"/>
          <w:spacing w:val="14"/>
          <w:sz w:val="14"/>
        </w:rPr>
        <w:t> </w:t>
      </w:r>
      <w:r>
        <w:rPr>
          <w:rFonts w:ascii="Theinhardt Heavy"/>
          <w:b/>
          <w:sz w:val="14"/>
        </w:rPr>
        <w:t>37</w:t>
      </w:r>
      <w:r>
        <w:rPr>
          <w:rFonts w:ascii="Theinhardt Heavy"/>
          <w:sz w:val="14"/>
        </w:rPr>
      </w:r>
    </w:p>
    <w:sectPr>
      <w:type w:val="continuous"/>
      <w:pgSz w:w="11910" w:h="16840"/>
      <w:pgMar w:top="860" w:bottom="280" w:left="740" w:right="4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heinhardt Heavy">
    <w:altName w:val="Theinhardt Heavy"/>
    <w:charset w:val="0"/>
    <w:family w:val="swiss"/>
    <w:pitch w:val="variable"/>
  </w:font>
  <w:font w:name="Theinhardt Regular">
    <w:altName w:val="Theinhardt Regular"/>
    <w:charset w:val="0"/>
    <w:family w:val="swiss"/>
    <w:pitch w:val="variable"/>
  </w:font>
  <w:font w:name="Theinhardt Bold">
    <w:altName w:val="Theinhardt Bold"/>
    <w:charset w:val="0"/>
    <w:family w:val="swiss"/>
    <w:pitch w:val="variable"/>
  </w:font>
  <w:font w:name="Theinhardt Regular Italic">
    <w:altName w:val="Theinhardt Regular Italic"/>
    <w:charset w:val="0"/>
    <w:family w:val="swiss"/>
    <w:pitch w:val="variable"/>
  </w:font>
  <w:font w:name="Theinhardt Black">
    <w:altName w:val="Theinhardt Black"/>
    <w:charset w:val="0"/>
    <w:family w:val="swiss"/>
    <w:pitch w:val="variable"/>
  </w:font>
  <w:font w:name="Theinhardt Light Italic">
    <w:altName w:val="Theinhardt Light Italic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"/>
      <w:lvlJc w:val="left"/>
      <w:pPr>
        <w:ind w:left="337" w:hanging="227"/>
        <w:jc w:val="left"/>
      </w:pPr>
      <w:rPr>
        <w:rFonts w:hint="default" w:ascii="Theinhardt Bold" w:hAnsi="Theinhardt Bold" w:eastAsia="Theinhardt Bold"/>
        <w:b/>
        <w:bCs/>
        <w:sz w:val="14"/>
        <w:szCs w:val="14"/>
      </w:rPr>
    </w:lvl>
    <w:lvl w:ilvl="1">
      <w:start w:val="1"/>
      <w:numFmt w:val="bullet"/>
      <w:lvlText w:val="•"/>
      <w:lvlJc w:val="left"/>
      <w:pPr>
        <w:ind w:left="623" w:hanging="227"/>
      </w:pPr>
      <w:rPr>
        <w:rFonts w:hint="default"/>
      </w:rPr>
    </w:lvl>
    <w:lvl w:ilvl="2">
      <w:start w:val="1"/>
      <w:numFmt w:val="bullet"/>
      <w:lvlText w:val="•"/>
      <w:lvlJc w:val="left"/>
      <w:pPr>
        <w:ind w:left="909" w:hanging="22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195" w:hanging="22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482" w:hanging="22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768" w:hanging="22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2054" w:hanging="22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2340" w:hanging="22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2627" w:hanging="227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ind w:left="106"/>
    </w:pPr>
    <w:rPr>
      <w:rFonts w:ascii="Theinhardt Regular" w:hAnsi="Theinhardt Regular" w:eastAsia="Theinhardt Regular"/>
      <w:sz w:val="18"/>
      <w:szCs w:val="18"/>
    </w:rPr>
  </w:style>
  <w:style w:styleId="Heading1" w:type="paragraph">
    <w:name w:val="Heading 1"/>
    <w:basedOn w:val="Normal"/>
    <w:uiPriority w:val="1"/>
    <w:qFormat/>
    <w:pPr>
      <w:spacing w:before="32"/>
      <w:ind w:left="106"/>
      <w:outlineLvl w:val="1"/>
    </w:pPr>
    <w:rPr>
      <w:rFonts w:ascii="Theinhardt Bold" w:hAnsi="Theinhardt Bold" w:eastAsia="Theinhardt Bold"/>
      <w:b/>
      <w:bCs/>
      <w:sz w:val="18"/>
      <w:szCs w:val="18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mailto:info@umweltarena.ch" TargetMode="External"/><Relationship Id="rId7" Type="http://schemas.openxmlformats.org/officeDocument/2006/relationships/hyperlink" Target="mailto:info@flumroc.ch" TargetMode="External"/><Relationship Id="rId8" Type="http://schemas.openxmlformats.org/officeDocument/2006/relationships/hyperlink" Target="mailto:info@benetz.ch" TargetMode="External"/><Relationship Id="rId9" Type="http://schemas.openxmlformats.org/officeDocument/2006/relationships/hyperlink" Target="mailto:mbinfo@meyerburger.ch" TargetMode="External"/><Relationship Id="rId10" Type="http://schemas.openxmlformats.org/officeDocument/2006/relationships/hyperlink" Target="mailto:info@wschmidag.ch" TargetMode="External"/><Relationship Id="rId11" Type="http://schemas.openxmlformats.org/officeDocument/2006/relationships/hyperlink" Target="mailto:zuerich@baslerhofmann.ch" TargetMode="External"/><Relationship Id="rId12" Type="http://schemas.openxmlformats.org/officeDocument/2006/relationships/hyperlink" Target="mailto:info@pem-gmbh.com" TargetMode="External"/><Relationship Id="rId13" Type="http://schemas.openxmlformats.org/officeDocument/2006/relationships/hyperlink" Target="mailto:architektur@reneschmid.ch" TargetMode="External"/><Relationship Id="rId14" Type="http://schemas.openxmlformats.org/officeDocument/2006/relationships/image" Target="media/image2.jpeg"/><Relationship Id="rId15" Type="http://schemas.openxmlformats.org/officeDocument/2006/relationships/image" Target="media/image3.jpeg"/><Relationship Id="rId16" Type="http://schemas.openxmlformats.org/officeDocument/2006/relationships/image" Target="media/image4.jpeg"/><Relationship Id="rId17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2016-09-21T10:34:58Z</dcterms:created>
  <dcterms:modified xsi:type="dcterms:W3CDTF">2016-09-21T10:34:58Z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2016-09-21T00:00:00Z</vt:filetime>
  </property>
  <property fmtid="{D5CDD505-2E9C-101B-9397-08002B2CF9AE}" pid="3" name="LastSaved">
    <vt:filetime>2016-09-21T00:00:00Z</vt:filetime>
  </property>
</Properties>
</file>