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Heading2"/>
        <w:tabs>
          <w:tab w:pos="2546" w:val="left" w:leader="none"/>
        </w:tabs>
        <w:spacing w:line="230" w:lineRule="exact"/>
        <w:ind w:right="0"/>
        <w:jc w:val="left"/>
        <w:rPr>
          <w:rFonts w:ascii="Theinhardt Black" w:hAnsi="Theinhardt Black" w:cs="Theinhardt Black" w:eastAsia="Theinhardt Black"/>
          <w:b w:val="0"/>
          <w:bCs w:val="0"/>
        </w:rPr>
      </w:pPr>
      <w:r>
        <w:rPr/>
        <w:pict>
          <v:group style="position:absolute;margin-left:28.559pt;margin-top:13.847289pt;width:.1pt;height:.1pt;mso-position-horizontal-relative:page;mso-position-vertical-relative:paragraph;z-index:-7912" coordorigin="571,277" coordsize="2,2">
            <v:shape style="position:absolute;left:571;top:277;width:2;height:2" coordorigin="571,277" coordsize="0,0" path="m571,277l571,277e" filled="false" stroked="true" strokeweight=".425pt" strokecolor="#000000">
              <v:path arrowok="t"/>
            </v:shape>
            <w10:wrap type="none"/>
          </v:group>
        </w:pict>
      </w:r>
      <w:r>
        <w:rPr/>
        <w:pict>
          <v:group style="position:absolute;margin-left:150.731995pt;margin-top:13.847289pt;width:.1pt;height:.1pt;mso-position-horizontal-relative:page;mso-position-vertical-relative:paragraph;z-index:1144" coordorigin="3015,277" coordsize="2,2">
            <v:shape style="position:absolute;left:3015;top:277;width:2;height:2" coordorigin="3015,277" coordsize="0,0" path="m3015,277l3015,277e" filled="false" stroked="true" strokeweight=".425pt" strokecolor="#000000">
              <v:path arrowok="t"/>
            </v:shape>
            <w10:wrap type="none"/>
          </v:group>
        </w:pict>
      </w:r>
      <w:r>
        <w:rPr>
          <w:rFonts w:ascii="Theinhardt Black"/>
          <w:b/>
        </w:rPr>
      </w:r>
      <w:r>
        <w:rPr>
          <w:rFonts w:ascii="Theinhardt Black"/>
          <w:b/>
          <w:spacing w:val="1"/>
          <w:u w:val="dotted" w:color="000000"/>
        </w:rPr>
        <w:t>Kategorie</w:t>
      </w:r>
      <w:r>
        <w:rPr>
          <w:rFonts w:ascii="Theinhardt Black"/>
          <w:b/>
          <w:spacing w:val="-1"/>
          <w:u w:val="dotted" w:color="000000"/>
        </w:rPr>
        <w:t> </w:t>
      </w:r>
      <w:r>
        <w:rPr>
          <w:rFonts w:ascii="Theinhardt Black"/>
          <w:b/>
          <w:u w:val="dotted" w:color="000000"/>
        </w:rPr>
        <w:t>B</w:t>
      </w:r>
      <w:r>
        <w:rPr>
          <w:rFonts w:ascii="Theinhardt Black"/>
          <w:b/>
          <w:u w:val="dotted" w:color="000000"/>
        </w:rPr>
        <w:t> </w:t>
        <w:tab/>
      </w:r>
      <w:r>
        <w:rPr>
          <w:rFonts w:ascii="Theinhardt Black"/>
          <w:b/>
        </w:rPr>
      </w:r>
      <w:r>
        <w:rPr>
          <w:rFonts w:ascii="Theinhardt Black"/>
          <w:b/>
          <w:spacing w:val="25"/>
        </w:rPr>
        <w:t> </w:t>
      </w:r>
      <w:r>
        <w:rPr>
          <w:rFonts w:ascii="Theinhardt Black"/>
          <w:b/>
          <w:spacing w:val="1"/>
          <w:u w:val="dotted" w:color="000000"/>
        </w:rPr>
        <w:t>PlusEnergieBauten</w:t>
      </w:r>
      <w:r>
        <w:rPr>
          <w:rFonts w:ascii="Theinhardt Black"/>
          <w:b/>
          <w:u w:val="dotted" w:color="000000"/>
        </w:rPr>
        <w:t> </w:t>
        <w:tab/>
      </w:r>
      <w:r>
        <w:rPr>
          <w:rFonts w:ascii="Theinhardt Black"/>
          <w:b/>
        </w:rPr>
      </w:r>
      <w:r>
        <w:rPr>
          <w:rFonts w:ascii="Theinhardt Black"/>
          <w:b w:val="0"/>
        </w:rPr>
      </w:r>
    </w:p>
    <w:p>
      <w:pPr>
        <w:tabs>
          <w:tab w:pos="2550" w:val="left" w:leader="none"/>
        </w:tabs>
        <w:spacing w:line="20" w:lineRule="atLeast"/>
        <w:ind w:left="106" w:right="0" w:firstLine="0"/>
        <w:rPr>
          <w:rFonts w:ascii="Theinhardt Black" w:hAnsi="Theinhardt Black" w:cs="Theinhardt Black" w:eastAsia="Theinhardt Black"/>
          <w:sz w:val="2"/>
          <w:szCs w:val="2"/>
        </w:rPr>
      </w:pPr>
      <w:r>
        <w:rPr>
          <w:rFonts w:ascii="Theinhardt Black"/>
          <w:sz w:val="2"/>
        </w:rPr>
        <w:pict>
          <v:group style="width:.45pt;height:.45pt;mso-position-horizontal-relative:char;mso-position-vertical-relative:line" coordorigin="0,0" coordsize="9,9"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000000">
                <v:path arrowok="t"/>
              </v:shape>
            </v:group>
          </v:group>
        </w:pict>
      </w:r>
      <w:r>
        <w:rPr>
          <w:rFonts w:ascii="Theinhardt Black"/>
          <w:sz w:val="2"/>
        </w:rPr>
      </w:r>
      <w:r>
        <w:rPr>
          <w:rFonts w:ascii="Theinhardt Black"/>
          <w:sz w:val="2"/>
        </w:rPr>
        <w:tab/>
      </w:r>
      <w:r>
        <w:rPr>
          <w:rFonts w:ascii="Theinhardt Black"/>
          <w:sz w:val="2"/>
        </w:rPr>
        <w:pict>
          <v:group style="width:.45pt;height:.45pt;mso-position-horizontal-relative:char;mso-position-vertical-relative:line" coordorigin="0,0" coordsize="9,9"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000000">
                <v:path arrowok="t"/>
              </v:shape>
            </v:group>
          </v:group>
        </w:pict>
      </w:r>
      <w:r>
        <w:rPr>
          <w:rFonts w:ascii="Theinhardt Black"/>
          <w:sz w:val="2"/>
        </w:rPr>
      </w:r>
    </w:p>
    <w:p>
      <w:pPr>
        <w:numPr>
          <w:ilvl w:val="0"/>
          <w:numId w:val="1"/>
        </w:numPr>
        <w:tabs>
          <w:tab w:pos="299" w:val="left" w:leader="none"/>
        </w:tabs>
        <w:spacing w:before="0"/>
        <w:ind w:left="298" w:right="0" w:hanging="192"/>
        <w:jc w:val="left"/>
        <w:rPr>
          <w:rFonts w:ascii="Theinhardt Regular" w:hAnsi="Theinhardt Regular" w:cs="Theinhardt Regular" w:eastAsia="Theinhardt Regular"/>
          <w:sz w:val="18"/>
          <w:szCs w:val="18"/>
        </w:rPr>
      </w:pPr>
      <w:r>
        <w:rPr/>
        <w:pict>
          <v:shape style="position:absolute;margin-left:28.347pt;margin-top:26.342623pt;width:82.204400pt;height:60.2039pt;mso-position-horizontal-relative:page;mso-position-vertical-relative:paragraph;z-index:1192" type="#_x0000_t75" stroked="false">
            <v:imagedata r:id="rId5" o:title=""/>
          </v:shape>
        </w:pict>
      </w:r>
      <w:r>
        <w:rPr>
          <w:rFonts w:ascii="Theinhardt Regular"/>
          <w:sz w:val="18"/>
        </w:rPr>
        <w:t>Norman </w:t>
      </w:r>
      <w:r>
        <w:rPr>
          <w:rFonts w:ascii="Theinhardt Regular"/>
          <w:spacing w:val="-1"/>
          <w:sz w:val="18"/>
        </w:rPr>
        <w:t>Foster</w:t>
      </w:r>
      <w:r>
        <w:rPr>
          <w:rFonts w:ascii="Theinhardt Regular"/>
          <w:sz w:val="18"/>
        </w:rPr>
        <w:t> Solar </w:t>
      </w:r>
      <w:r>
        <w:rPr>
          <w:rFonts w:ascii="Theinhardt Regular"/>
          <w:spacing w:val="-3"/>
          <w:sz w:val="18"/>
        </w:rPr>
        <w:t>Award</w:t>
      </w:r>
    </w:p>
    <w:p>
      <w:pPr>
        <w:spacing w:line="230" w:lineRule="exact" w:before="32"/>
        <w:ind w:left="106" w:right="108" w:firstLine="0"/>
        <w:jc w:val="both"/>
        <w:rPr>
          <w:rFonts w:ascii="Theinhardt Bold" w:hAnsi="Theinhardt Bold" w:cs="Theinhardt Bold" w:eastAsia="Theinhardt Bold"/>
          <w:sz w:val="18"/>
          <w:szCs w:val="18"/>
        </w:rPr>
      </w:pPr>
      <w:r>
        <w:rPr/>
        <w:br w:type="column"/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Anstelle</w:t>
      </w:r>
      <w:r>
        <w:rPr>
          <w:rFonts w:ascii="Theinhardt Bold" w:hAnsi="Theinhardt Bold" w:cs="Theinhardt Bold" w:eastAsia="Theinhardt Bold"/>
          <w:b/>
          <w:bCs/>
          <w:spacing w:val="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einer</w:t>
      </w:r>
      <w:r>
        <w:rPr>
          <w:rFonts w:ascii="Theinhardt Bold" w:hAnsi="Theinhardt Bold" w:cs="Theinhardt Bold" w:eastAsia="Theinhardt Bold"/>
          <w:b/>
          <w:bCs/>
          <w:spacing w:val="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Sanierung</w:t>
      </w:r>
      <w:r>
        <w:rPr>
          <w:rFonts w:ascii="Theinhardt Bold" w:hAnsi="Theinhardt Bold" w:cs="Theinhardt Bold" w:eastAsia="Theinhardt Bold"/>
          <w:b/>
          <w:bCs/>
          <w:spacing w:val="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der</w:t>
      </w:r>
      <w:r>
        <w:rPr>
          <w:rFonts w:ascii="Theinhardt Bold" w:hAnsi="Theinhardt Bold" w:cs="Theinhardt Bold" w:eastAsia="Theinhardt Bold"/>
          <w:b/>
          <w:bCs/>
          <w:spacing w:val="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fast</w:t>
      </w:r>
      <w:r>
        <w:rPr>
          <w:rFonts w:ascii="Theinhardt Bold" w:hAnsi="Theinhardt Bold" w:cs="Theinhardt Bold" w:eastAsia="Theinhardt Bold"/>
          <w:b/>
          <w:bCs/>
          <w:spacing w:val="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100-jährigen</w:t>
      </w:r>
      <w:r>
        <w:rPr>
          <w:rFonts w:ascii="Theinhardt Bold" w:hAnsi="Theinhardt Bold" w:cs="Theinhardt Bold" w:eastAsia="Theinhardt Bold"/>
          <w:b/>
          <w:bCs/>
          <w:spacing w:val="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Altbauten</w:t>
      </w:r>
      <w:r>
        <w:rPr>
          <w:rFonts w:ascii="Theinhardt Bold" w:hAnsi="Theinhardt Bold" w:cs="Theinhardt Bold" w:eastAsia="Theinhardt Bold"/>
          <w:b/>
          <w:bCs/>
          <w:spacing w:val="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mit</w:t>
      </w:r>
      <w:r>
        <w:rPr>
          <w:rFonts w:ascii="Theinhardt Bold" w:hAnsi="Theinhardt Bold" w:cs="Theinhardt Bold" w:eastAsia="Theinhardt Bold"/>
          <w:b/>
          <w:bCs/>
          <w:spacing w:val="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54</w:t>
      </w:r>
      <w:r>
        <w:rPr>
          <w:rFonts w:ascii="Theinhardt Bold" w:hAnsi="Theinhardt Bold" w:cs="Theinhardt Bold" w:eastAsia="Theinhardt Bold"/>
          <w:b/>
          <w:bCs/>
          <w:spacing w:val="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Wohnungen</w:t>
      </w:r>
      <w:r>
        <w:rPr>
          <w:rFonts w:ascii="Theinhardt Bold" w:hAnsi="Theinhardt Bold" w:cs="Theinhardt Bold" w:eastAsia="Theinhardt Bold"/>
          <w:b/>
          <w:bCs/>
          <w:spacing w:val="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entschied</w:t>
      </w:r>
      <w:r>
        <w:rPr>
          <w:rFonts w:ascii="Theinhardt Bold" w:hAnsi="Theinhardt Bold" w:cs="Theinhardt Bold" w:eastAsia="Theinhardt Bold"/>
          <w:b/>
          <w:bCs/>
          <w:spacing w:val="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sich</w:t>
      </w:r>
      <w:r>
        <w:rPr>
          <w:rFonts w:ascii="Theinhardt Bold" w:hAnsi="Theinhardt Bold" w:cs="Theinhardt Bold" w:eastAsia="Theinhardt Bold"/>
          <w:b/>
          <w:bCs/>
          <w:spacing w:val="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die</w:t>
      </w:r>
      <w:r>
        <w:rPr>
          <w:rFonts w:ascii="Theinhardt Bold" w:hAnsi="Theinhardt Bold" w:cs="Theinhardt Bold" w:eastAsia="Theinhardt Bold"/>
          <w:b/>
          <w:bCs/>
          <w:spacing w:val="7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Allgemeine Baugenossenschaft Zürich (ABZ) für einen Ersatzneubau.</w:t>
      </w:r>
      <w:r>
        <w:rPr>
          <w:rFonts w:ascii="Theinhardt Bold" w:hAnsi="Theinhardt Bold" w:cs="Theinhardt Bold" w:eastAsia="Theinhardt Bold"/>
          <w:b/>
          <w:bCs/>
          <w:spacing w:val="-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Bei der Planung der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Mehr-</w:t>
      </w:r>
      <w:r>
        <w:rPr>
          <w:rFonts w:ascii="Theinhardt Bold" w:hAnsi="Theinhardt Bold" w:cs="Theinhardt Bold" w:eastAsia="Theinhardt Bold"/>
          <w:b/>
          <w:bCs/>
          <w:spacing w:val="5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familienhäuser</w:t>
      </w:r>
      <w:r>
        <w:rPr>
          <w:rFonts w:ascii="Theinhardt Bold" w:hAnsi="Theinhardt Bold" w:cs="Theinhardt Bold" w:eastAsia="Theinhardt Bold"/>
          <w:b/>
          <w:bCs/>
          <w:spacing w:val="1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(MFH)</w:t>
      </w:r>
      <w:r>
        <w:rPr>
          <w:rFonts w:ascii="Theinhardt Bold" w:hAnsi="Theinhardt Bold" w:cs="Theinhardt Bold" w:eastAsia="Theinhardt Bold"/>
          <w:b/>
          <w:bCs/>
          <w:spacing w:val="1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standen</w:t>
      </w:r>
      <w:r>
        <w:rPr>
          <w:rFonts w:ascii="Theinhardt Bold" w:hAnsi="Theinhardt Bold" w:cs="Theinhardt Bold" w:eastAsia="Theinhardt Bold"/>
          <w:b/>
          <w:bCs/>
          <w:spacing w:val="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Kriterien</w:t>
      </w:r>
      <w:r>
        <w:rPr>
          <w:rFonts w:ascii="Theinhardt Bold" w:hAnsi="Theinhardt Bold" w:cs="Theinhardt Bold" w:eastAsia="Theinhardt Bold"/>
          <w:b/>
          <w:bCs/>
          <w:spacing w:val="1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bezüglich</w:t>
      </w:r>
      <w:r>
        <w:rPr>
          <w:rFonts w:ascii="Theinhardt Bold" w:hAnsi="Theinhardt Bold" w:cs="Theinhardt Bold" w:eastAsia="Theinhardt Bold"/>
          <w:b/>
          <w:bCs/>
          <w:spacing w:val="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Sozialverträglichkeit,</w:t>
      </w:r>
      <w:r>
        <w:rPr>
          <w:rFonts w:ascii="Theinhardt Bold" w:hAnsi="Theinhardt Bold" w:cs="Theinhardt Bold" w:eastAsia="Theinhardt Bold"/>
          <w:b/>
          <w:bCs/>
          <w:spacing w:val="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Ökologie</w:t>
      </w:r>
      <w:r>
        <w:rPr>
          <w:rFonts w:ascii="Theinhardt Bold" w:hAnsi="Theinhardt Bold" w:cs="Theinhardt Bold" w:eastAsia="Theinhardt Bold"/>
          <w:b/>
          <w:bCs/>
          <w:spacing w:val="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und</w:t>
      </w:r>
      <w:r>
        <w:rPr>
          <w:rFonts w:ascii="Theinhardt Bold" w:hAnsi="Theinhardt Bold" w:cs="Theinhardt Bold" w:eastAsia="Theinhardt Bold"/>
          <w:b/>
          <w:bCs/>
          <w:spacing w:val="1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Effizienz</w:t>
      </w:r>
      <w:r>
        <w:rPr>
          <w:rFonts w:ascii="Theinhardt Bold" w:hAnsi="Theinhardt Bold" w:cs="Theinhardt Bold" w:eastAsia="Theinhardt Bold"/>
          <w:b/>
          <w:bCs/>
          <w:spacing w:val="5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im</w:t>
      </w:r>
      <w:r>
        <w:rPr>
          <w:rFonts w:ascii="Theinhardt Bold" w:hAnsi="Theinhardt Bold" w:cs="Theinhardt Bold" w:eastAsia="Theinhardt Bold"/>
          <w:b/>
          <w:bCs/>
          <w:spacing w:val="-1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Umgang</w:t>
      </w:r>
      <w:r>
        <w:rPr>
          <w:rFonts w:ascii="Theinhardt Bold" w:hAnsi="Theinhardt Bold" w:cs="Theinhardt Bold" w:eastAsia="Theinhardt Bold"/>
          <w:b/>
          <w:bCs/>
          <w:spacing w:val="-1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mit</w:t>
      </w:r>
      <w:r>
        <w:rPr>
          <w:rFonts w:ascii="Theinhardt Bold" w:hAnsi="Theinhardt Bold" w:cs="Theinhardt Bold" w:eastAsia="Theinhardt Bold"/>
          <w:b/>
          <w:bCs/>
          <w:spacing w:val="-1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Wohnfläche</w:t>
      </w:r>
      <w:r>
        <w:rPr>
          <w:rFonts w:ascii="Theinhardt Bold" w:hAnsi="Theinhardt Bold" w:cs="Theinhardt Bold" w:eastAsia="Theinhardt Bold"/>
          <w:b/>
          <w:bCs/>
          <w:spacing w:val="-1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und</w:t>
      </w:r>
      <w:r>
        <w:rPr>
          <w:rFonts w:ascii="Theinhardt Bold" w:hAnsi="Theinhardt Bold" w:cs="Theinhardt Bold" w:eastAsia="Theinhardt Bold"/>
          <w:b/>
          <w:bCs/>
          <w:spacing w:val="-1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Energieverbrauch</w:t>
      </w:r>
      <w:r>
        <w:rPr>
          <w:rFonts w:ascii="Theinhardt Bold" w:hAnsi="Theinhardt Bold" w:cs="Theinhardt Bold" w:eastAsia="Theinhardt Bold"/>
          <w:b/>
          <w:bCs/>
          <w:spacing w:val="-1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im</w:t>
      </w:r>
      <w:r>
        <w:rPr>
          <w:rFonts w:ascii="Theinhardt Bold" w:hAnsi="Theinhardt Bold" w:cs="Theinhardt Bold" w:eastAsia="Theinhardt Bold"/>
          <w:b/>
          <w:bCs/>
          <w:spacing w:val="-2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Vordergrund.</w:t>
      </w:r>
      <w:r>
        <w:rPr>
          <w:rFonts w:ascii="Theinhardt Bold" w:hAnsi="Theinhardt Bold" w:cs="Theinhardt Bold" w:eastAsia="Theinhardt Bold"/>
          <w:b/>
          <w:bCs/>
          <w:spacing w:val="-2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Die</w:t>
      </w:r>
      <w:r>
        <w:rPr>
          <w:rFonts w:ascii="Theinhardt Bold" w:hAnsi="Theinhardt Bold" w:cs="Theinhardt Bold" w:eastAsia="Theinhardt Bold"/>
          <w:b/>
          <w:bCs/>
          <w:spacing w:val="-1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ästhetisch</w:t>
      </w:r>
      <w:r>
        <w:rPr>
          <w:rFonts w:ascii="Theinhardt Bold" w:hAnsi="Theinhardt Bold" w:cs="Theinhardt Bold" w:eastAsia="Theinhardt Bold"/>
          <w:b/>
          <w:bCs/>
          <w:spacing w:val="-1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vorbildlich</w:t>
      </w:r>
      <w:r>
        <w:rPr>
          <w:rFonts w:ascii="Theinhardt Bold" w:hAnsi="Theinhardt Bold" w:cs="Theinhardt Bold" w:eastAsia="Theinhardt Bold"/>
          <w:b/>
          <w:bCs/>
          <w:spacing w:val="-1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und</w:t>
      </w:r>
      <w:r>
        <w:rPr>
          <w:rFonts w:ascii="Theinhardt Bold" w:hAnsi="Theinhardt Bold" w:cs="Theinhardt Bold" w:eastAsia="Theinhardt Bold"/>
          <w:b/>
          <w:bCs/>
          <w:spacing w:val="3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ganzflächig</w:t>
      </w:r>
      <w:r>
        <w:rPr>
          <w:rFonts w:ascii="Theinhardt Bold" w:hAnsi="Theinhardt Bold" w:cs="Theinhardt Bold" w:eastAsia="Theinhardt Bold"/>
          <w:b/>
          <w:bCs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integrierten</w:t>
      </w:r>
      <w:r>
        <w:rPr>
          <w:rFonts w:ascii="Theinhardt Bold" w:hAnsi="Theinhardt Bold" w:cs="Theinhardt Bold" w:eastAsia="Theinhardt Bold"/>
          <w:b/>
          <w:bCs/>
          <w:spacing w:val="-1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PV-Anlagen</w:t>
      </w:r>
      <w:r>
        <w:rPr>
          <w:rFonts w:ascii="Theinhardt Bold" w:hAnsi="Theinhardt Bold" w:cs="Theinhardt Bold" w:eastAsia="Theinhardt Bold"/>
          <w:b/>
          <w:bCs/>
          <w:spacing w:val="-1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weisen</w:t>
      </w:r>
      <w:r>
        <w:rPr>
          <w:rFonts w:ascii="Theinhardt Bold" w:hAnsi="Theinhardt Bold" w:cs="Theinhardt Bold" w:eastAsia="Theinhardt Bold"/>
          <w:b/>
          <w:bCs/>
          <w:spacing w:val="-1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eine</w:t>
      </w:r>
      <w:r>
        <w:rPr>
          <w:rFonts w:ascii="Theinhardt Bold" w:hAnsi="Theinhardt Bold" w:cs="Theinhardt Bold" w:eastAsia="Theinhardt Bold"/>
          <w:b/>
          <w:bCs/>
          <w:spacing w:val="-1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Leistung</w:t>
      </w:r>
      <w:r>
        <w:rPr>
          <w:rFonts w:ascii="Theinhardt Bold" w:hAnsi="Theinhardt Bold" w:cs="Theinhardt Bold" w:eastAsia="Theinhardt Bold"/>
          <w:b/>
          <w:bCs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von</w:t>
      </w:r>
      <w:r>
        <w:rPr>
          <w:rFonts w:ascii="Theinhardt Bold" w:hAnsi="Theinhardt Bold" w:cs="Theinhardt Bold" w:eastAsia="Theinhardt Bold"/>
          <w:b/>
          <w:bCs/>
          <w:spacing w:val="-1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556</w:t>
      </w:r>
      <w:r>
        <w:rPr>
          <w:rFonts w:ascii="Theinhardt Bold" w:hAnsi="Theinhardt Bold" w:cs="Theinhardt Bold" w:eastAsia="Theinhardt Bold"/>
          <w:b/>
          <w:bCs/>
          <w:spacing w:val="-1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kW</w:t>
      </w:r>
      <w:r>
        <w:rPr>
          <w:rFonts w:ascii="Theinhardt Bold" w:hAnsi="Theinhardt Bold" w:cs="Theinhardt Bold" w:eastAsia="Theinhardt Bold"/>
          <w:b/>
          <w:bCs/>
          <w:spacing w:val="-1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auf</w:t>
      </w:r>
      <w:r>
        <w:rPr>
          <w:rFonts w:ascii="Theinhardt Bold" w:hAnsi="Theinhardt Bold" w:cs="Theinhardt Bold" w:eastAsia="Theinhardt Bold"/>
          <w:b/>
          <w:bCs/>
          <w:spacing w:val="-1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und</w:t>
      </w:r>
      <w:r>
        <w:rPr>
          <w:rFonts w:ascii="Theinhardt Bold" w:hAnsi="Theinhardt Bold" w:cs="Theinhardt Bold" w:eastAsia="Theinhardt Bold"/>
          <w:b/>
          <w:bCs/>
          <w:spacing w:val="-1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erzeugen</w:t>
      </w:r>
      <w:r>
        <w:rPr>
          <w:rFonts w:ascii="Theinhardt Bold" w:hAnsi="Theinhardt Bold" w:cs="Theinhardt Bold" w:eastAsia="Theinhardt Bold"/>
          <w:b/>
          <w:bCs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466’300</w:t>
      </w:r>
      <w:r>
        <w:rPr>
          <w:rFonts w:ascii="Theinhardt Bold" w:hAnsi="Theinhardt Bold" w:cs="Theinhardt Bold" w:eastAsia="Theinhardt Bold"/>
          <w:b/>
          <w:bCs/>
          <w:spacing w:val="5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3"/>
          <w:sz w:val="18"/>
          <w:szCs w:val="18"/>
        </w:rPr>
        <w:t>kWh/a.</w:t>
      </w:r>
      <w:r>
        <w:rPr>
          <w:rFonts w:ascii="Theinhardt Bold" w:hAnsi="Theinhardt Bold" w:cs="Theinhardt Bold" w:eastAsia="Theinhardt Bold"/>
          <w:b/>
          <w:bCs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Beheizt</w:t>
      </w:r>
      <w:r>
        <w:rPr>
          <w:rFonts w:ascii="Theinhardt Bold" w:hAnsi="Theinhardt Bold" w:cs="Theinhardt Bold" w:eastAsia="Theinhardt Bold"/>
          <w:b/>
          <w:bCs/>
          <w:spacing w:val="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werden</w:t>
      </w:r>
      <w:r>
        <w:rPr>
          <w:rFonts w:ascii="Theinhardt Bold" w:hAnsi="Theinhardt Bold" w:cs="Theinhardt Bold" w:eastAsia="Theinhardt Bold"/>
          <w:b/>
          <w:bCs/>
          <w:spacing w:val="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die</w:t>
      </w:r>
      <w:r>
        <w:rPr>
          <w:rFonts w:ascii="Theinhardt Bold" w:hAnsi="Theinhardt Bold" w:cs="Theinhardt Bold" w:eastAsia="Theinhardt Bold"/>
          <w:b/>
          <w:bCs/>
          <w:spacing w:val="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68</w:t>
      </w:r>
      <w:r>
        <w:rPr>
          <w:rFonts w:ascii="Theinhardt Bold" w:hAnsi="Theinhardt Bold" w:cs="Theinhardt Bold" w:eastAsia="Theinhardt Bold"/>
          <w:b/>
          <w:bCs/>
          <w:spacing w:val="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neuen</w:t>
      </w:r>
      <w:r>
        <w:rPr>
          <w:rFonts w:ascii="Theinhardt Bold" w:hAnsi="Theinhardt Bold" w:cs="Theinhardt Bold" w:eastAsia="Theinhardt Bold"/>
          <w:b/>
          <w:bCs/>
          <w:spacing w:val="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Wohnungen</w:t>
      </w:r>
      <w:r>
        <w:rPr>
          <w:rFonts w:ascii="Theinhardt Bold" w:hAnsi="Theinhardt Bold" w:cs="Theinhardt Bold" w:eastAsia="Theinhardt Bold"/>
          <w:b/>
          <w:bCs/>
          <w:spacing w:val="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der</w:t>
      </w:r>
      <w:r>
        <w:rPr>
          <w:rFonts w:ascii="Theinhardt Bold" w:hAnsi="Theinhardt Bold" w:cs="Theinhardt Bold" w:eastAsia="Theinhardt Bold"/>
          <w:b/>
          <w:bCs/>
          <w:spacing w:val="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ersten</w:t>
      </w:r>
      <w:r>
        <w:rPr>
          <w:rFonts w:ascii="Theinhardt Bold" w:hAnsi="Theinhardt Bold" w:cs="Theinhardt Bold" w:eastAsia="Theinhardt Bold"/>
          <w:b/>
          <w:bCs/>
          <w:spacing w:val="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in</w:t>
      </w:r>
      <w:r>
        <w:rPr>
          <w:rFonts w:ascii="Theinhardt Bold" w:hAnsi="Theinhardt Bold" w:cs="Theinhardt Bold" w:eastAsia="Theinhardt Bold"/>
          <w:b/>
          <w:bCs/>
          <w:spacing w:val="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Holzbauweise</w:t>
      </w:r>
      <w:r>
        <w:rPr>
          <w:rFonts w:ascii="Theinhardt Bold" w:hAnsi="Theinhardt Bold" w:cs="Theinhardt Bold" w:eastAsia="Theinhardt Bold"/>
          <w:b/>
          <w:bCs/>
          <w:spacing w:val="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errichteten</w:t>
      </w:r>
      <w:r>
        <w:rPr>
          <w:rFonts w:ascii="Theinhardt Bold" w:hAnsi="Theinhardt Bold" w:cs="Theinhardt Bold" w:eastAsia="Theinhardt Bold"/>
          <w:b/>
          <w:bCs/>
          <w:spacing w:val="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Plus-</w:t>
      </w:r>
      <w:r>
        <w:rPr>
          <w:rFonts w:ascii="Theinhardt Bold" w:hAnsi="Theinhardt Bold" w:cs="Theinhardt Bold" w:eastAsia="Theinhardt Bold"/>
          <w:b/>
          <w:bCs/>
          <w:spacing w:val="7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EnergieBau-Siedlung</w:t>
      </w:r>
      <w:r>
        <w:rPr>
          <w:rFonts w:ascii="Theinhardt Bold" w:hAnsi="Theinhardt Bold" w:cs="Theinhardt Bold" w:eastAsia="Theinhardt Bold"/>
          <w:b/>
          <w:bCs/>
          <w:spacing w:val="2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der</w:t>
      </w:r>
      <w:r>
        <w:rPr>
          <w:rFonts w:ascii="Theinhardt Bold" w:hAnsi="Theinhardt Bold" w:cs="Theinhardt Bold" w:eastAsia="Theinhardt Bold"/>
          <w:b/>
          <w:bCs/>
          <w:spacing w:val="2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Schweiz</w:t>
      </w:r>
      <w:r>
        <w:rPr>
          <w:rFonts w:ascii="Theinhardt Bold" w:hAnsi="Theinhardt Bold" w:cs="Theinhardt Bold" w:eastAsia="Theinhardt Bold"/>
          <w:b/>
          <w:bCs/>
          <w:spacing w:val="2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mit</w:t>
      </w:r>
      <w:r>
        <w:rPr>
          <w:rFonts w:ascii="Theinhardt Bold" w:hAnsi="Theinhardt Bold" w:cs="Theinhardt Bold" w:eastAsia="Theinhardt Bold"/>
          <w:b/>
          <w:bCs/>
          <w:spacing w:val="2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solarbetriebenen</w:t>
      </w:r>
      <w:r>
        <w:rPr>
          <w:rFonts w:ascii="Theinhardt Bold" w:hAnsi="Theinhardt Bold" w:cs="Theinhardt Bold" w:eastAsia="Theinhardt Bold"/>
          <w:b/>
          <w:bCs/>
          <w:spacing w:val="2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Wärmepumpen</w:t>
      </w:r>
      <w:r>
        <w:rPr>
          <w:rFonts w:ascii="Theinhardt Bold" w:hAnsi="Theinhardt Bold" w:cs="Theinhardt Bold" w:eastAsia="Theinhardt Bold"/>
          <w:b/>
          <w:bCs/>
          <w:spacing w:val="2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und</w:t>
      </w:r>
      <w:r>
        <w:rPr>
          <w:rFonts w:ascii="Theinhardt Bold" w:hAnsi="Theinhardt Bold" w:cs="Theinhardt Bold" w:eastAsia="Theinhardt Bold"/>
          <w:b/>
          <w:bCs/>
          <w:spacing w:val="2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Erdsonden.</w:t>
      </w:r>
      <w:r>
        <w:rPr>
          <w:rFonts w:ascii="Theinhardt Bold" w:hAnsi="Theinhardt Bold" w:cs="Theinhardt Bold" w:eastAsia="Theinhardt Bold"/>
          <w:b/>
          <w:bCs/>
          <w:spacing w:val="1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Beim</w:t>
      </w:r>
      <w:r>
        <w:rPr>
          <w:rFonts w:ascii="Theinhardt Bold" w:hAnsi="Theinhardt Bold" w:cs="Theinhardt Bold" w:eastAsia="Theinhardt Bold"/>
          <w:b/>
          <w:bCs/>
          <w:spacing w:val="4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Gesamtenergieverbrauch</w:t>
      </w:r>
      <w:r>
        <w:rPr>
          <w:rFonts w:ascii="Theinhardt Bold" w:hAnsi="Theinhardt Bold" w:cs="Theinhardt Bold" w:eastAsia="Theinhardt Bold"/>
          <w:b/>
          <w:bCs/>
          <w:spacing w:val="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von</w:t>
      </w:r>
      <w:r>
        <w:rPr>
          <w:rFonts w:ascii="Theinhardt Bold" w:hAnsi="Theinhardt Bold" w:cs="Theinhardt Bold" w:eastAsia="Theinhardt Bold"/>
          <w:b/>
          <w:bCs/>
          <w:spacing w:val="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397’200</w:t>
      </w:r>
      <w:r>
        <w:rPr>
          <w:rFonts w:ascii="Theinhardt Bold" w:hAnsi="Theinhardt Bold" w:cs="Theinhardt Bold" w:eastAsia="Theinhardt Bold"/>
          <w:b/>
          <w:bCs/>
          <w:spacing w:val="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3"/>
          <w:sz w:val="18"/>
          <w:szCs w:val="18"/>
        </w:rPr>
        <w:t>kWh/a</w:t>
      </w:r>
      <w:r>
        <w:rPr>
          <w:rFonts w:ascii="Theinhardt Bold" w:hAnsi="Theinhardt Bold" w:cs="Theinhardt Bold" w:eastAsia="Theinhardt Bold"/>
          <w:b/>
          <w:bCs/>
          <w:spacing w:val="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weist</w:t>
      </w:r>
      <w:r>
        <w:rPr>
          <w:rFonts w:ascii="Theinhardt Bold" w:hAnsi="Theinhardt Bold" w:cs="Theinhardt Bold" w:eastAsia="Theinhardt Bold"/>
          <w:b/>
          <w:bCs/>
          <w:spacing w:val="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die</w:t>
      </w:r>
      <w:r>
        <w:rPr>
          <w:rFonts w:ascii="Theinhardt Bold" w:hAnsi="Theinhardt Bold" w:cs="Theinhardt Bold" w:eastAsia="Theinhardt Bold"/>
          <w:b/>
          <w:bCs/>
          <w:spacing w:val="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PEB-Siedlung</w:t>
      </w:r>
      <w:r>
        <w:rPr>
          <w:rFonts w:ascii="Theinhardt Bold" w:hAnsi="Theinhardt Bold" w:cs="Theinhardt Bold" w:eastAsia="Theinhardt Bold"/>
          <w:b/>
          <w:bCs/>
          <w:spacing w:val="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eine</w:t>
      </w:r>
      <w:r>
        <w:rPr>
          <w:rFonts w:ascii="Theinhardt Bold" w:hAnsi="Theinhardt Bold" w:cs="Theinhardt Bold" w:eastAsia="Theinhardt Bold"/>
          <w:b/>
          <w:bCs/>
          <w:spacing w:val="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Eigenenergieversor-</w:t>
      </w:r>
      <w:r>
        <w:rPr>
          <w:rFonts w:ascii="Theinhardt Bold" w:hAnsi="Theinhardt Bold" w:cs="Theinhardt Bold" w:eastAsia="Theinhardt Bold"/>
          <w:b/>
          <w:bCs/>
          <w:spacing w:val="2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gung</w:t>
      </w:r>
      <w:r>
        <w:rPr>
          <w:rFonts w:ascii="Theinhardt Bold" w:hAnsi="Theinhardt Bold" w:cs="Theinhardt Bold" w:eastAsia="Theinhardt Bold"/>
          <w:b/>
          <w:bCs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von</w:t>
      </w:r>
      <w:r>
        <w:rPr>
          <w:rFonts w:ascii="Theinhardt Bold" w:hAnsi="Theinhardt Bold" w:cs="Theinhardt Bold" w:eastAsia="Theinhardt Bold"/>
          <w:b/>
          <w:bCs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117%</w:t>
      </w:r>
      <w:r>
        <w:rPr>
          <w:rFonts w:ascii="Theinhardt Bold" w:hAnsi="Theinhardt Bold" w:cs="Theinhardt Bold" w:eastAsia="Theinhardt Bold"/>
          <w:b/>
          <w:bCs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3"/>
          <w:sz w:val="18"/>
          <w:szCs w:val="18"/>
        </w:rPr>
        <w:t>auf.</w:t>
      </w:r>
      <w:r>
        <w:rPr>
          <w:rFonts w:ascii="Theinhardt Bold" w:hAnsi="Theinhardt Bold" w:cs="Theinhardt Bold" w:eastAsia="Theinhardt Bold"/>
          <w:b/>
          <w:bCs/>
          <w:spacing w:val="-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Mit</w:t>
      </w:r>
      <w:r>
        <w:rPr>
          <w:rFonts w:ascii="Theinhardt Bold" w:hAnsi="Theinhardt Bold" w:cs="Theinhardt Bold" w:eastAsia="Theinhardt Bold"/>
          <w:b/>
          <w:bCs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dem</w:t>
      </w:r>
      <w:r>
        <w:rPr>
          <w:rFonts w:ascii="Theinhardt Bold" w:hAnsi="Theinhardt Bold" w:cs="Theinhardt Bold" w:eastAsia="Theinhardt Bold"/>
          <w:b/>
          <w:bCs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Solarstromüberschuss</w:t>
      </w:r>
      <w:r>
        <w:rPr>
          <w:rFonts w:ascii="Theinhardt Bold" w:hAnsi="Theinhardt Bold" w:cs="Theinhardt Bold" w:eastAsia="Theinhardt Bold"/>
          <w:b/>
          <w:bCs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von</w:t>
      </w:r>
      <w:r>
        <w:rPr>
          <w:rFonts w:ascii="Theinhardt Bold" w:hAnsi="Theinhardt Bold" w:cs="Theinhardt Bold" w:eastAsia="Theinhardt Bold"/>
          <w:b/>
          <w:bCs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69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’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200</w:t>
      </w:r>
      <w:r>
        <w:rPr>
          <w:rFonts w:ascii="Theinhardt Bold" w:hAnsi="Theinhardt Bold" w:cs="Theinhardt Bold" w:eastAsia="Theinhardt Bold"/>
          <w:b/>
          <w:bCs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3"/>
          <w:sz w:val="18"/>
          <w:szCs w:val="18"/>
        </w:rPr>
        <w:t>kWh/a</w:t>
      </w:r>
      <w:r>
        <w:rPr>
          <w:rFonts w:ascii="Theinhardt Bold" w:hAnsi="Theinhardt Bold" w:cs="Theinhardt Bold" w:eastAsia="Theinhardt Bold"/>
          <w:b/>
          <w:bCs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können</w:t>
      </w:r>
      <w:r>
        <w:rPr>
          <w:rFonts w:ascii="Theinhardt Bold" w:hAnsi="Theinhardt Bold" w:cs="Theinhardt Bold" w:eastAsia="Theinhardt Bold"/>
          <w:b/>
          <w:bCs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49</w:t>
      </w:r>
      <w:r>
        <w:rPr>
          <w:rFonts w:ascii="Theinhardt Bold" w:hAnsi="Theinhardt Bold" w:cs="Theinhardt Bold" w:eastAsia="Theinhardt Bold"/>
          <w:b/>
          <w:bCs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Elektroautos</w:t>
      </w:r>
      <w:r>
        <w:rPr>
          <w:rFonts w:ascii="Theinhardt Bold" w:hAnsi="Theinhardt Bold" w:cs="Theinhardt Bold" w:eastAsia="Theinhardt Bold"/>
          <w:b/>
          <w:bCs/>
          <w:spacing w:val="3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jeweils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etwa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12’000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km pro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Jahr</w:t>
      </w:r>
      <w:r>
        <w:rPr>
          <w:rFonts w:ascii="Theinhardt Bold" w:hAnsi="Theinhardt Bold" w:cs="Theinhardt Bold" w:eastAsia="Theinhardt Bold"/>
          <w:b/>
          <w:bCs/>
          <w:spacing w:val="4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CO</w:t>
      </w:r>
      <w:r>
        <w:rPr>
          <w:rFonts w:ascii="Theinhardt Bold" w:hAnsi="Theinhardt Bold" w:cs="Theinhardt Bold" w:eastAsia="Theinhardt Bold"/>
          <w:b/>
          <w:bCs/>
          <w:spacing w:val="-1"/>
          <w:position w:val="-5"/>
          <w:sz w:val="10"/>
          <w:szCs w:val="10"/>
        </w:rPr>
        <w:t>2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-frei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 fahren.</w:t>
      </w:r>
      <w:r>
        <w:rPr>
          <w:rFonts w:ascii="Theinhardt Bold" w:hAnsi="Theinhardt Bold" w:cs="Theinhardt Bold" w:eastAsia="Theinhardt Bold"/>
          <w:sz w:val="18"/>
          <w:szCs w:val="18"/>
        </w:rPr>
      </w:r>
    </w:p>
    <w:p>
      <w:pPr>
        <w:spacing w:after="0" w:line="230" w:lineRule="exact"/>
        <w:jc w:val="both"/>
        <w:rPr>
          <w:rFonts w:ascii="Theinhardt Bold" w:hAnsi="Theinhardt Bold" w:cs="Theinhardt Bold" w:eastAsia="Theinhardt Bold"/>
          <w:sz w:val="18"/>
          <w:szCs w:val="18"/>
        </w:rPr>
        <w:sectPr>
          <w:type w:val="continuous"/>
          <w:pgSz w:w="11910" w:h="16840"/>
          <w:pgMar w:top="860" w:bottom="280" w:left="460" w:right="740"/>
          <w:cols w:num="2" w:equalWidth="0">
            <w:col w:w="2547" w:space="132"/>
            <w:col w:w="8031"/>
          </w:cols>
        </w:sect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11"/>
        <w:rPr>
          <w:rFonts w:ascii="Theinhardt Bold" w:hAnsi="Theinhardt Bold" w:cs="Theinhardt Bold" w:eastAsia="Theinhardt Bold"/>
          <w:b/>
          <w:bCs/>
          <w:sz w:val="26"/>
          <w:szCs w:val="26"/>
        </w:rPr>
      </w:pPr>
    </w:p>
    <w:p>
      <w:pPr>
        <w:spacing w:before="5"/>
        <w:ind w:left="106" w:right="0" w:firstLine="0"/>
        <w:jc w:val="left"/>
        <w:rPr>
          <w:rFonts w:ascii="Theinhardt Black" w:hAnsi="Theinhardt Black" w:cs="Theinhardt Black" w:eastAsia="Theinhardt Black"/>
          <w:sz w:val="40"/>
          <w:szCs w:val="40"/>
        </w:rPr>
      </w:pPr>
      <w:r>
        <w:rPr>
          <w:rFonts w:ascii="Theinhardt Black" w:hAnsi="Theinhardt Black"/>
          <w:b/>
          <w:color w:val="0067B1"/>
          <w:spacing w:val="-1"/>
          <w:sz w:val="40"/>
        </w:rPr>
        <w:t>117%-PEB-MFH-Gesamtüberbauung</w:t>
      </w:r>
      <w:r>
        <w:rPr>
          <w:rFonts w:ascii="Theinhardt Black" w:hAnsi="Theinhardt Black"/>
          <w:b/>
          <w:color w:val="0067B1"/>
          <w:spacing w:val="-8"/>
          <w:sz w:val="40"/>
        </w:rPr>
        <w:t> </w:t>
      </w:r>
      <w:r>
        <w:rPr>
          <w:rFonts w:ascii="Theinhardt Black" w:hAnsi="Theinhardt Black"/>
          <w:b/>
          <w:color w:val="0067B1"/>
          <w:spacing w:val="1"/>
          <w:sz w:val="40"/>
        </w:rPr>
        <w:t>ABZ,</w:t>
      </w:r>
      <w:r>
        <w:rPr>
          <w:rFonts w:ascii="Theinhardt Black" w:hAnsi="Theinhardt Black"/>
          <w:b/>
          <w:color w:val="0067B1"/>
          <w:spacing w:val="-33"/>
          <w:sz w:val="40"/>
        </w:rPr>
        <w:t> </w:t>
      </w:r>
      <w:r>
        <w:rPr>
          <w:rFonts w:ascii="Theinhardt Black" w:hAnsi="Theinhardt Black"/>
          <w:b/>
          <w:color w:val="0067B1"/>
          <w:spacing w:val="-3"/>
          <w:sz w:val="40"/>
        </w:rPr>
        <w:t>8038</w:t>
      </w:r>
      <w:r>
        <w:rPr>
          <w:rFonts w:ascii="Theinhardt Black" w:hAnsi="Theinhardt Black"/>
          <w:b/>
          <w:color w:val="0067B1"/>
          <w:spacing w:val="-8"/>
          <w:sz w:val="40"/>
        </w:rPr>
        <w:t> </w:t>
      </w:r>
      <w:r>
        <w:rPr>
          <w:rFonts w:ascii="Theinhardt Black" w:hAnsi="Theinhardt Black"/>
          <w:b/>
          <w:color w:val="0067B1"/>
          <w:sz w:val="40"/>
        </w:rPr>
        <w:t>Zürich</w:t>
      </w:r>
      <w:r>
        <w:rPr>
          <w:rFonts w:ascii="Theinhardt Black" w:hAnsi="Theinhardt Black"/>
          <w:sz w:val="40"/>
        </w:rPr>
      </w:r>
    </w:p>
    <w:p>
      <w:pPr>
        <w:spacing w:line="240" w:lineRule="auto" w:before="1"/>
        <w:rPr>
          <w:rFonts w:ascii="Theinhardt Black" w:hAnsi="Theinhardt Black" w:cs="Theinhardt Black" w:eastAsia="Theinhardt Black"/>
          <w:b/>
          <w:bCs/>
          <w:sz w:val="22"/>
          <w:szCs w:val="22"/>
        </w:rPr>
      </w:pPr>
    </w:p>
    <w:p>
      <w:pPr>
        <w:spacing w:after="0" w:line="240" w:lineRule="auto"/>
        <w:rPr>
          <w:rFonts w:ascii="Theinhardt Black" w:hAnsi="Theinhardt Black" w:cs="Theinhardt Black" w:eastAsia="Theinhardt Black"/>
          <w:sz w:val="22"/>
          <w:szCs w:val="22"/>
        </w:rPr>
        <w:sectPr>
          <w:type w:val="continuous"/>
          <w:pgSz w:w="11910" w:h="16840"/>
          <w:pgMar w:top="860" w:bottom="280" w:left="460" w:right="740"/>
        </w:sectPr>
      </w:pPr>
    </w:p>
    <w:p>
      <w:pPr>
        <w:spacing w:line="230" w:lineRule="exact" w:before="74"/>
        <w:ind w:left="106" w:right="8" w:firstLine="0"/>
        <w:jc w:val="both"/>
        <w:rPr>
          <w:rFonts w:ascii="Theinhardt Regular" w:hAnsi="Theinhardt Regular" w:cs="Theinhardt Regular" w:eastAsia="Theinhardt Regular"/>
          <w:sz w:val="18"/>
          <w:szCs w:val="18"/>
        </w:rPr>
      </w:pP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Die</w:t>
      </w:r>
      <w:r>
        <w:rPr>
          <w:rFonts w:ascii="Theinhardt Regular" w:hAnsi="Theinhardt Regular" w:cs="Theinhardt Regular" w:eastAsia="Theinhardt Regular"/>
          <w:spacing w:val="35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ABZ</w:t>
      </w:r>
      <w:r>
        <w:rPr>
          <w:rFonts w:ascii="Theinhardt Regular" w:hAnsi="Theinhardt Regular" w:cs="Theinhardt Regular" w:eastAsia="Theinhardt Regular"/>
          <w:spacing w:val="36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ist</w:t>
      </w:r>
      <w:r>
        <w:rPr>
          <w:rFonts w:ascii="Theinhardt Regular" w:hAnsi="Theinhardt Regular" w:cs="Theinhardt Regular" w:eastAsia="Theinhardt Regular"/>
          <w:spacing w:val="35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mit</w:t>
      </w:r>
      <w:r>
        <w:rPr>
          <w:rFonts w:ascii="Theinhardt Regular" w:hAnsi="Theinhardt Regular" w:cs="Theinhardt Regular" w:eastAsia="Theinhardt Regular"/>
          <w:spacing w:val="36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zurzeit</w:t>
      </w:r>
      <w:r>
        <w:rPr>
          <w:rFonts w:ascii="Theinhardt Regular" w:hAnsi="Theinhardt Regular" w:cs="Theinhardt Regular" w:eastAsia="Theinhardt Regular"/>
          <w:spacing w:val="36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4’552</w:t>
      </w:r>
      <w:r>
        <w:rPr>
          <w:rFonts w:ascii="Theinhardt Regular" w:hAnsi="Theinhardt Regular" w:cs="Theinhardt Regular" w:eastAsia="Theinhardt Regular"/>
          <w:spacing w:val="35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4"/>
          <w:sz w:val="18"/>
          <w:szCs w:val="18"/>
        </w:rPr>
        <w:t>Wohnungen</w:t>
      </w:r>
      <w:r>
        <w:rPr>
          <w:rFonts w:ascii="Theinhardt Regular" w:hAnsi="Theinhardt Regular" w:cs="Theinhardt Regular" w:eastAsia="Theinhardt Regular"/>
          <w:spacing w:val="31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die</w:t>
      </w:r>
      <w:r>
        <w:rPr>
          <w:rFonts w:ascii="Theinhardt Regular" w:hAnsi="Theinhardt Regular" w:cs="Theinhardt Regular" w:eastAsia="Theinhardt Regular"/>
          <w:spacing w:val="21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3"/>
          <w:sz w:val="18"/>
          <w:szCs w:val="18"/>
        </w:rPr>
        <w:t>grösste</w:t>
      </w:r>
      <w:r>
        <w:rPr>
          <w:rFonts w:ascii="Theinhardt Regular" w:hAnsi="Theinhardt Regular" w:cs="Theinhardt Regular" w:eastAsia="Theinhardt Regular"/>
          <w:spacing w:val="21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4"/>
          <w:sz w:val="18"/>
          <w:szCs w:val="18"/>
        </w:rPr>
        <w:t>Wohn-</w:t>
      </w:r>
      <w:r>
        <w:rPr>
          <w:rFonts w:ascii="Theinhardt Regular" w:hAnsi="Theinhardt Regular" w:cs="Theinhardt Regular" w:eastAsia="Theinhardt Regular"/>
          <w:spacing w:val="21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und</w:t>
      </w:r>
      <w:r>
        <w:rPr>
          <w:rFonts w:ascii="Theinhardt Regular" w:hAnsi="Theinhardt Regular" w:cs="Theinhardt Regular" w:eastAsia="Theinhardt Regular"/>
          <w:spacing w:val="21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Baugenossenschaft</w:t>
      </w:r>
      <w:r>
        <w:rPr>
          <w:rFonts w:ascii="Theinhardt Regular" w:hAnsi="Theinhardt Regular" w:cs="Theinhardt Regular" w:eastAsia="Theinhardt Regular"/>
          <w:spacing w:val="35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der</w:t>
      </w:r>
      <w:r>
        <w:rPr>
          <w:rFonts w:ascii="Theinhardt Regular" w:hAnsi="Theinhardt Regular" w:cs="Theinhardt Regular" w:eastAsia="Theinhardt Regular"/>
          <w:spacing w:val="45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3"/>
          <w:sz w:val="18"/>
          <w:szCs w:val="18"/>
        </w:rPr>
        <w:t>Schweiz.</w:t>
      </w:r>
      <w:r>
        <w:rPr>
          <w:rFonts w:ascii="Theinhardt Regular" w:hAnsi="Theinhardt Regular" w:cs="Theinhardt Regular" w:eastAsia="Theinhardt Regular"/>
          <w:spacing w:val="35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Sie</w:t>
      </w:r>
      <w:r>
        <w:rPr>
          <w:rFonts w:ascii="Theinhardt Regular" w:hAnsi="Theinhardt Regular" w:cs="Theinhardt Regular" w:eastAsia="Theinhardt Regular"/>
          <w:spacing w:val="45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hat</w:t>
      </w:r>
      <w:r>
        <w:rPr>
          <w:rFonts w:ascii="Theinhardt Regular" w:hAnsi="Theinhardt Regular" w:cs="Theinhardt Regular" w:eastAsia="Theinhardt Regular"/>
          <w:spacing w:val="46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sich</w:t>
      </w:r>
      <w:r>
        <w:rPr>
          <w:rFonts w:ascii="Theinhardt Regular" w:hAnsi="Theinhardt Regular" w:cs="Theinhardt Regular" w:eastAsia="Theinhardt Regular"/>
          <w:spacing w:val="46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den</w:t>
      </w:r>
      <w:r>
        <w:rPr>
          <w:rFonts w:ascii="Theinhardt Regular" w:hAnsi="Theinhardt Regular" w:cs="Theinhardt Regular" w:eastAsia="Theinhardt Regular"/>
          <w:spacing w:val="45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Zielen</w:t>
      </w:r>
      <w:r>
        <w:rPr>
          <w:rFonts w:ascii="Theinhardt Regular" w:hAnsi="Theinhardt Regular" w:cs="Theinhardt Regular" w:eastAsia="Theinhardt Regular"/>
          <w:spacing w:val="46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der</w:t>
      </w:r>
      <w:r>
        <w:rPr>
          <w:rFonts w:ascii="Theinhardt Regular" w:hAnsi="Theinhardt Regular" w:cs="Theinhardt Regular" w:eastAsia="Theinhardt Regular"/>
          <w:spacing w:val="37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2’000-Watt-Gesellschaft</w:t>
      </w:r>
      <w:r>
        <w:rPr>
          <w:rFonts w:ascii="Theinhardt Regular" w:hAnsi="Theinhardt Regular" w:cs="Theinhardt Regular" w:eastAsia="Theinhardt Regular"/>
          <w:spacing w:val="25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verpflichtet.</w:t>
      </w:r>
      <w:r>
        <w:rPr>
          <w:rFonts w:ascii="Theinhardt Regular" w:hAnsi="Theinhardt Regular" w:cs="Theinhardt Regular" w:eastAsia="Theinhardt Regular"/>
          <w:spacing w:val="14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Der</w:t>
      </w:r>
      <w:r>
        <w:rPr>
          <w:rFonts w:ascii="Theinhardt Regular" w:hAnsi="Theinhardt Regular" w:cs="Theinhardt Regular" w:eastAsia="Theinhardt Regular"/>
          <w:spacing w:val="23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von</w:t>
      </w:r>
      <w:r>
        <w:rPr>
          <w:rFonts w:ascii="Theinhardt Regular" w:hAnsi="Theinhardt Regular" w:cs="Theinhardt Regular" w:eastAsia="Theinhardt Regular"/>
          <w:spacing w:val="41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den</w:t>
      </w:r>
      <w:r>
        <w:rPr>
          <w:rFonts w:ascii="Theinhardt Regular" w:hAnsi="Theinhardt Regular" w:cs="Theinhardt Regular" w:eastAsia="Theinhardt Regular"/>
          <w:spacing w:val="42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Genossenschaftern</w:t>
      </w:r>
      <w:r>
        <w:rPr>
          <w:rFonts w:ascii="Theinhardt Regular" w:hAnsi="Theinhardt Regular" w:cs="Theinhardt Regular" w:eastAsia="Theinhardt Regular"/>
          <w:spacing w:val="41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3"/>
          <w:sz w:val="18"/>
          <w:szCs w:val="18"/>
        </w:rPr>
        <w:t>genehmigte</w:t>
      </w:r>
      <w:r>
        <w:rPr>
          <w:rFonts w:ascii="Theinhardt Regular" w:hAnsi="Theinhardt Regular" w:cs="Theinhardt Regular" w:eastAsia="Theinhardt Regular"/>
          <w:spacing w:val="37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3"/>
          <w:sz w:val="18"/>
          <w:szCs w:val="18"/>
        </w:rPr>
        <w:t>Erneuerungsplan</w:t>
      </w:r>
      <w:r>
        <w:rPr>
          <w:rFonts w:ascii="Theinhardt Regular" w:hAnsi="Theinhardt Regular" w:cs="Theinhardt Regular" w:eastAsia="Theinhardt Regular"/>
          <w:spacing w:val="35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2010-2019</w:t>
      </w:r>
      <w:r>
        <w:rPr>
          <w:rFonts w:ascii="Theinhardt Regular" w:hAnsi="Theinhardt Regular" w:cs="Theinhardt Regular" w:eastAsia="Theinhardt Regular"/>
          <w:spacing w:val="36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sieht</w:t>
      </w:r>
      <w:r>
        <w:rPr>
          <w:rFonts w:ascii="Theinhardt Regular" w:hAnsi="Theinhardt Regular" w:cs="Theinhardt Regular" w:eastAsia="Theinhardt Regular"/>
          <w:spacing w:val="35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die</w:t>
      </w:r>
      <w:r>
        <w:rPr>
          <w:rFonts w:ascii="Theinhardt Regular" w:hAnsi="Theinhardt Regular" w:cs="Theinhardt Regular" w:eastAsia="Theinhardt Regular"/>
          <w:spacing w:val="36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Er-</w:t>
      </w:r>
      <w:r>
        <w:rPr>
          <w:rFonts w:ascii="Theinhardt Regular" w:hAnsi="Theinhardt Regular" w:cs="Theinhardt Regular" w:eastAsia="Theinhardt Regular"/>
          <w:spacing w:val="43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neuerung,</w:t>
      </w:r>
      <w:r>
        <w:rPr>
          <w:rFonts w:ascii="Theinhardt Regular" w:hAnsi="Theinhardt Regular" w:cs="Theinhardt Regular" w:eastAsia="Theinhardt Regular"/>
          <w:spacing w:val="6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3"/>
          <w:sz w:val="18"/>
          <w:szCs w:val="18"/>
        </w:rPr>
        <w:t>respektive</w:t>
      </w:r>
      <w:r>
        <w:rPr>
          <w:rFonts w:ascii="Theinhardt Regular" w:hAnsi="Theinhardt Regular" w:cs="Theinhardt Regular" w:eastAsia="Theinhardt Regular"/>
          <w:spacing w:val="17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den</w:t>
      </w:r>
      <w:r>
        <w:rPr>
          <w:rFonts w:ascii="Theinhardt Regular" w:hAnsi="Theinhardt Regular" w:cs="Theinhardt Regular" w:eastAsia="Theinhardt Regular"/>
          <w:spacing w:val="17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Ersatz</w:t>
      </w:r>
      <w:r>
        <w:rPr>
          <w:rFonts w:ascii="Theinhardt Regular" w:hAnsi="Theinhardt Regular" w:cs="Theinhardt Regular" w:eastAsia="Theinhardt Regular"/>
          <w:spacing w:val="17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von</w:t>
      </w:r>
      <w:r>
        <w:rPr>
          <w:rFonts w:ascii="Theinhardt Regular" w:hAnsi="Theinhardt Regular" w:cs="Theinhardt Regular" w:eastAsia="Theinhardt Regular"/>
          <w:spacing w:val="17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3"/>
          <w:sz w:val="18"/>
          <w:szCs w:val="18"/>
        </w:rPr>
        <w:t>knapp</w:t>
      </w:r>
      <w:r>
        <w:rPr>
          <w:rFonts w:ascii="Theinhardt Regular" w:hAnsi="Theinhardt Regular" w:cs="Theinhardt Regular" w:eastAsia="Theinhardt Regular"/>
          <w:spacing w:val="33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einem</w:t>
      </w:r>
      <w:r>
        <w:rPr>
          <w:rFonts w:ascii="Theinhardt Regular" w:hAnsi="Theinhardt Regular" w:cs="Theinhardt Regular" w:eastAsia="Theinhardt Regular"/>
          <w:spacing w:val="-27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Viertel</w:t>
      </w:r>
      <w:r>
        <w:rPr>
          <w:rFonts w:ascii="Theinhardt Regular" w:hAnsi="Theinhardt Regular" w:cs="Theinhardt Regular" w:eastAsia="Theinhardt Regular"/>
          <w:spacing w:val="-16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des</w:t>
      </w:r>
      <w:r>
        <w:rPr>
          <w:rFonts w:ascii="Theinhardt Regular" w:hAnsi="Theinhardt Regular" w:cs="Theinhardt Regular" w:eastAsia="Theinhardt Regular"/>
          <w:spacing w:val="-16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3"/>
          <w:sz w:val="18"/>
          <w:szCs w:val="18"/>
        </w:rPr>
        <w:t>ABZ-Wohnbestandes</w:t>
      </w:r>
      <w:r>
        <w:rPr>
          <w:rFonts w:ascii="Theinhardt Regular" w:hAnsi="Theinhardt Regular" w:cs="Theinhardt Regular" w:eastAsia="Theinhardt Regular"/>
          <w:spacing w:val="-16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6"/>
          <w:sz w:val="18"/>
          <w:szCs w:val="18"/>
        </w:rPr>
        <w:t>vor.</w:t>
      </w:r>
      <w:r>
        <w:rPr>
          <w:rFonts w:ascii="Theinhardt Regular" w:hAnsi="Theinhardt Regular" w:cs="Theinhardt Regular" w:eastAsia="Theinhardt Regular"/>
          <w:spacing w:val="-27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z w:val="18"/>
          <w:szCs w:val="18"/>
        </w:rPr>
        <w:t>In</w:t>
      </w:r>
      <w:r>
        <w:rPr>
          <w:rFonts w:ascii="Theinhardt Regular" w:hAnsi="Theinhardt Regular" w:cs="Theinhardt Regular" w:eastAsia="Theinhardt Regular"/>
          <w:spacing w:val="29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diesem</w:t>
      </w:r>
      <w:r>
        <w:rPr>
          <w:rFonts w:ascii="Theinhardt Regular" w:hAnsi="Theinhardt Regular" w:cs="Theinhardt Regular" w:eastAsia="Theinhardt Regular"/>
          <w:spacing w:val="-3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Rahmen</w:t>
      </w:r>
      <w:r>
        <w:rPr>
          <w:rFonts w:ascii="Theinhardt Regular" w:hAnsi="Theinhardt Regular" w:cs="Theinhardt Regular" w:eastAsia="Theinhardt Regular"/>
          <w:spacing w:val="-3"/>
          <w:sz w:val="18"/>
          <w:szCs w:val="18"/>
        </w:rPr>
        <w:t> wurde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die</w:t>
      </w:r>
      <w:r>
        <w:rPr>
          <w:rFonts w:ascii="Theinhardt Regular" w:hAnsi="Theinhardt Regular" w:cs="Theinhardt Regular" w:eastAsia="Theinhardt Regular"/>
          <w:spacing w:val="-3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Siedlung</w:t>
      </w:r>
      <w:r>
        <w:rPr>
          <w:rFonts w:ascii="Theinhardt Regular" w:hAnsi="Theinhardt Regular" w:cs="Theinhardt Regular" w:eastAsia="Theinhardt Regular"/>
          <w:spacing w:val="-3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Balber-</w:t>
      </w:r>
      <w:r>
        <w:rPr>
          <w:rFonts w:ascii="Theinhardt Regular" w:hAnsi="Theinhardt Regular" w:cs="Theinhardt Regular" w:eastAsia="Theinhardt Regular"/>
          <w:spacing w:val="27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strasse</w:t>
      </w:r>
      <w:r>
        <w:rPr>
          <w:rFonts w:ascii="Theinhardt Regular" w:hAnsi="Theinhardt Regular" w:cs="Theinhardt Regular" w:eastAsia="Theinhardt Regular"/>
          <w:spacing w:val="2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als</w:t>
      </w:r>
      <w:r>
        <w:rPr>
          <w:rFonts w:ascii="Theinhardt Regular" w:hAnsi="Theinhardt Regular" w:cs="Theinhardt Regular" w:eastAsia="Theinhardt Regular"/>
          <w:spacing w:val="2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erste</w:t>
      </w:r>
      <w:r>
        <w:rPr>
          <w:rFonts w:ascii="Theinhardt Regular" w:hAnsi="Theinhardt Regular" w:cs="Theinhardt Regular" w:eastAsia="Theinhardt Regular"/>
          <w:spacing w:val="2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ersetzt.</w:t>
      </w:r>
      <w:r>
        <w:rPr>
          <w:rFonts w:ascii="Theinhardt Regular" w:hAnsi="Theinhardt Regular" w:cs="Theinhardt Regular" w:eastAsia="Theinhardt Regular"/>
          <w:spacing w:val="-9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Die</w:t>
      </w:r>
      <w:r>
        <w:rPr>
          <w:rFonts w:ascii="Theinhardt Regular" w:hAnsi="Theinhardt Regular" w:cs="Theinhardt Regular" w:eastAsia="Theinhardt Regular"/>
          <w:spacing w:val="2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68</w:t>
      </w:r>
      <w:r>
        <w:rPr>
          <w:rFonts w:ascii="Theinhardt Regular" w:hAnsi="Theinhardt Regular" w:cs="Theinhardt Regular" w:eastAsia="Theinhardt Regular"/>
          <w:spacing w:val="2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4"/>
          <w:sz w:val="18"/>
          <w:szCs w:val="18"/>
        </w:rPr>
        <w:t>Wohnungen</w:t>
      </w:r>
      <w:r>
        <w:rPr>
          <w:rFonts w:ascii="Theinhardt Regular" w:hAnsi="Theinhardt Regular" w:cs="Theinhardt Regular" w:eastAsia="Theinhardt Regular"/>
          <w:spacing w:val="33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und</w:t>
      </w:r>
      <w:r>
        <w:rPr>
          <w:rFonts w:ascii="Theinhardt Regular" w:hAnsi="Theinhardt Regular" w:cs="Theinhardt Regular" w:eastAsia="Theinhardt Regular"/>
          <w:spacing w:val="35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der</w:t>
      </w:r>
      <w:r>
        <w:rPr>
          <w:rFonts w:ascii="Theinhardt Regular" w:hAnsi="Theinhardt Regular" w:cs="Theinhardt Regular" w:eastAsia="Theinhardt Regular"/>
          <w:spacing w:val="36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eingemietete</w:t>
      </w:r>
      <w:r>
        <w:rPr>
          <w:rFonts w:ascii="Theinhardt Regular" w:hAnsi="Theinhardt Regular" w:cs="Theinhardt Regular" w:eastAsia="Theinhardt Regular"/>
          <w:spacing w:val="35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städtische</w:t>
      </w:r>
      <w:r>
        <w:rPr>
          <w:rFonts w:ascii="Theinhardt Regular" w:hAnsi="Theinhardt Regular" w:cs="Theinhardt Regular" w:eastAsia="Theinhardt Regular"/>
          <w:spacing w:val="36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z w:val="18"/>
          <w:szCs w:val="18"/>
        </w:rPr>
        <w:t>Hort</w:t>
      </w:r>
      <w:r>
        <w:rPr>
          <w:rFonts w:ascii="Theinhardt Regular" w:hAnsi="Theinhardt Regular" w:cs="Theinhardt Regular" w:eastAsia="Theinhardt Regular"/>
          <w:spacing w:val="36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ver-</w:t>
      </w:r>
      <w:r>
        <w:rPr>
          <w:rFonts w:ascii="Theinhardt Regular" w:hAnsi="Theinhardt Regular" w:cs="Theinhardt Regular" w:eastAsia="Theinhardt Regular"/>
          <w:spacing w:val="29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fügen</w:t>
      </w:r>
      <w:r>
        <w:rPr>
          <w:rFonts w:ascii="Theinhardt Regular" w:hAnsi="Theinhardt Regular" w:cs="Theinhardt Regular" w:eastAsia="Theinhardt Regular"/>
          <w:spacing w:val="16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über</w:t>
      </w:r>
      <w:r>
        <w:rPr>
          <w:rFonts w:ascii="Theinhardt Regular" w:hAnsi="Theinhardt Regular" w:cs="Theinhardt Regular" w:eastAsia="Theinhardt Regular"/>
          <w:spacing w:val="16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eine</w:t>
      </w:r>
      <w:r>
        <w:rPr>
          <w:rFonts w:ascii="Theinhardt Regular" w:hAnsi="Theinhardt Regular" w:cs="Theinhardt Regular" w:eastAsia="Theinhardt Regular"/>
          <w:spacing w:val="16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3"/>
          <w:sz w:val="18"/>
          <w:szCs w:val="18"/>
        </w:rPr>
        <w:t>Energiebezugsfläche</w:t>
      </w:r>
      <w:r>
        <w:rPr>
          <w:rFonts w:ascii="Theinhardt Regular" w:hAnsi="Theinhardt Regular" w:cs="Theinhardt Regular" w:eastAsia="Theinhardt Regular"/>
          <w:spacing w:val="16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3"/>
          <w:sz w:val="18"/>
          <w:szCs w:val="18"/>
        </w:rPr>
        <w:t>(EBF)</w:t>
      </w:r>
      <w:r>
        <w:rPr>
          <w:rFonts w:ascii="Theinhardt Regular" w:hAnsi="Theinhardt Regular" w:cs="Theinhardt Regular" w:eastAsia="Theinhardt Regular"/>
          <w:spacing w:val="51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von</w:t>
      </w:r>
      <w:r>
        <w:rPr>
          <w:rFonts w:ascii="Theinhardt Regular" w:hAnsi="Theinhardt Regular" w:cs="Theinhardt Regular" w:eastAsia="Theinhardt Regular"/>
          <w:spacing w:val="-3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10’392</w:t>
      </w:r>
      <w:r>
        <w:rPr>
          <w:rFonts w:ascii="Theinhardt Regular" w:hAnsi="Theinhardt Regular" w:cs="Theinhardt Regular" w:eastAsia="Theinhardt Regular"/>
          <w:spacing w:val="-3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m</w:t>
      </w:r>
      <w:r>
        <w:rPr>
          <w:rFonts w:ascii="Theinhardt Regular" w:hAnsi="Theinhardt Regular" w:cs="Theinhardt Regular" w:eastAsia="Theinhardt Regular"/>
          <w:spacing w:val="-2"/>
          <w:position w:val="6"/>
          <w:sz w:val="10"/>
          <w:szCs w:val="10"/>
        </w:rPr>
        <w:t>2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.</w:t>
      </w:r>
    </w:p>
    <w:p>
      <w:pPr>
        <w:spacing w:line="232" w:lineRule="auto" w:before="14"/>
        <w:ind w:left="106" w:right="8" w:firstLine="226"/>
        <w:jc w:val="both"/>
        <w:rPr>
          <w:rFonts w:ascii="Theinhardt Regular" w:hAnsi="Theinhardt Regular" w:cs="Theinhardt Regular" w:eastAsia="Theinhardt Regular"/>
          <w:sz w:val="18"/>
          <w:szCs w:val="18"/>
        </w:rPr>
      </w:pP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Die</w:t>
      </w:r>
      <w:r>
        <w:rPr>
          <w:rFonts w:ascii="Theinhardt Regular" w:hAnsi="Theinhardt Regular" w:cs="Theinhardt Regular" w:eastAsia="Theinhardt Regular"/>
          <w:spacing w:val="37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Neubauten</w:t>
      </w:r>
      <w:r>
        <w:rPr>
          <w:rFonts w:ascii="Theinhardt Regular" w:hAnsi="Theinhardt Regular" w:cs="Theinhardt Regular" w:eastAsia="Theinhardt Regular"/>
          <w:spacing w:val="38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haben</w:t>
      </w:r>
      <w:r>
        <w:rPr>
          <w:rFonts w:ascii="Theinhardt Regular" w:hAnsi="Theinhardt Regular" w:cs="Theinhardt Regular" w:eastAsia="Theinhardt Regular"/>
          <w:spacing w:val="37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eine</w:t>
      </w:r>
      <w:r>
        <w:rPr>
          <w:rFonts w:ascii="Theinhardt Regular" w:hAnsi="Theinhardt Regular" w:cs="Theinhardt Regular" w:eastAsia="Theinhardt Regular"/>
          <w:spacing w:val="38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unauffällige</w:t>
      </w:r>
      <w:r>
        <w:rPr>
          <w:rFonts w:ascii="Theinhardt Regular" w:hAnsi="Theinhardt Regular" w:cs="Theinhardt Regular" w:eastAsia="Theinhardt Regular"/>
          <w:spacing w:val="31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und</w:t>
      </w:r>
      <w:r>
        <w:rPr>
          <w:rFonts w:ascii="Theinhardt Regular" w:hAnsi="Theinhardt Regular" w:cs="Theinhardt Regular" w:eastAsia="Theinhardt Regular"/>
          <w:spacing w:val="46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schlichte</w:t>
      </w:r>
      <w:r>
        <w:rPr>
          <w:rFonts w:ascii="Theinhardt Regular" w:hAnsi="Theinhardt Regular" w:cs="Theinhardt Regular" w:eastAsia="Theinhardt Regular"/>
          <w:spacing w:val="47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Holzfassade.</w:t>
      </w:r>
      <w:r>
        <w:rPr>
          <w:rFonts w:ascii="Theinhardt Regular" w:hAnsi="Theinhardt Regular" w:cs="Theinhardt Regular" w:eastAsia="Theinhardt Regular"/>
          <w:spacing w:val="36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Die</w:t>
      </w:r>
      <w:r>
        <w:rPr>
          <w:rFonts w:ascii="Theinhardt Regular" w:hAnsi="Theinhardt Regular" w:cs="Theinhardt Regular" w:eastAsia="Theinhardt Regular"/>
          <w:spacing w:val="47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für</w:t>
      </w:r>
      <w:r>
        <w:rPr>
          <w:rFonts w:ascii="Theinhardt Regular" w:hAnsi="Theinhardt Regular" w:cs="Theinhardt Regular" w:eastAsia="Theinhardt Regular"/>
          <w:spacing w:val="47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dieses</w:t>
      </w:r>
      <w:r>
        <w:rPr>
          <w:rFonts w:ascii="Theinhardt Regular" w:hAnsi="Theinhardt Regular" w:cs="Theinhardt Regular" w:eastAsia="Theinhardt Regular"/>
          <w:spacing w:val="31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Quartier</w:t>
      </w:r>
      <w:r>
        <w:rPr>
          <w:rFonts w:ascii="Theinhardt Regular" w:hAnsi="Theinhardt Regular" w:cs="Theinhardt Regular" w:eastAsia="Theinhardt Regular"/>
          <w:spacing w:val="32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typischen,</w:t>
      </w:r>
      <w:r>
        <w:rPr>
          <w:rFonts w:ascii="Theinhardt Regular" w:hAnsi="Theinhardt Regular" w:cs="Theinhardt Regular" w:eastAsia="Theinhardt Regular"/>
          <w:spacing w:val="22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traditionellen</w:t>
      </w:r>
      <w:r>
        <w:rPr>
          <w:rFonts w:ascii="Theinhardt Regular" w:hAnsi="Theinhardt Regular" w:cs="Theinhardt Regular" w:eastAsia="Theinhardt Regular"/>
          <w:spacing w:val="33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Giebeldä-</w:t>
      </w:r>
      <w:r>
        <w:rPr>
          <w:rFonts w:ascii="Theinhardt Regular" w:hAnsi="Theinhardt Regular" w:cs="Theinhardt Regular" w:eastAsia="Theinhardt Regular"/>
          <w:spacing w:val="37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cher</w:t>
      </w:r>
      <w:r>
        <w:rPr>
          <w:rFonts w:ascii="Theinhardt Regular" w:hAnsi="Theinhardt Regular" w:cs="Theinhardt Regular" w:eastAsia="Theinhardt Regular"/>
          <w:spacing w:val="-4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sind</w:t>
      </w:r>
      <w:r>
        <w:rPr>
          <w:rFonts w:ascii="Theinhardt Regular" w:hAnsi="Theinhardt Regular" w:cs="Theinhardt Regular" w:eastAsia="Theinhardt Regular"/>
          <w:spacing w:val="-4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mit</w:t>
      </w:r>
      <w:r>
        <w:rPr>
          <w:rFonts w:ascii="Theinhardt Regular" w:hAnsi="Theinhardt Regular" w:cs="Theinhardt Regular" w:eastAsia="Theinhardt Regular"/>
          <w:spacing w:val="-4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3"/>
          <w:sz w:val="18"/>
          <w:szCs w:val="18"/>
        </w:rPr>
        <w:t>architektonisch,</w:t>
      </w:r>
      <w:r>
        <w:rPr>
          <w:rFonts w:ascii="Theinhardt Regular" w:hAnsi="Theinhardt Regular" w:cs="Theinhardt Regular" w:eastAsia="Theinhardt Regular"/>
          <w:spacing w:val="-15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ästhetisch</w:t>
      </w:r>
      <w:r>
        <w:rPr>
          <w:rFonts w:ascii="Theinhardt Regular" w:hAnsi="Theinhardt Regular" w:cs="Theinhardt Regular" w:eastAsia="Theinhardt Regular"/>
          <w:spacing w:val="-4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und</w:t>
      </w:r>
      <w:r>
        <w:rPr>
          <w:rFonts w:ascii="Theinhardt Regular" w:hAnsi="Theinhardt Regular" w:cs="Theinhardt Regular" w:eastAsia="Theinhardt Regular"/>
          <w:spacing w:val="39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3"/>
          <w:sz w:val="18"/>
          <w:szCs w:val="18"/>
        </w:rPr>
        <w:t>technisch</w:t>
      </w:r>
      <w:r>
        <w:rPr>
          <w:rFonts w:ascii="Theinhardt Regular" w:hAnsi="Theinhardt Regular" w:cs="Theinhardt Regular" w:eastAsia="Theinhardt Regular"/>
          <w:spacing w:val="46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optimal</w:t>
      </w:r>
      <w:r>
        <w:rPr>
          <w:rFonts w:ascii="Theinhardt Regular" w:hAnsi="Theinhardt Regular" w:cs="Theinhardt Regular" w:eastAsia="Theinhardt Regular"/>
          <w:spacing w:val="47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integrierten</w:t>
      </w:r>
      <w:r>
        <w:rPr>
          <w:rFonts w:ascii="Theinhardt Regular" w:hAnsi="Theinhardt Regular" w:cs="Theinhardt Regular" w:eastAsia="Theinhardt Regular"/>
          <w:spacing w:val="46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monokris-</w:t>
      </w:r>
      <w:r>
        <w:rPr>
          <w:rFonts w:ascii="Theinhardt Regular" w:hAnsi="Theinhardt Regular" w:cs="Theinhardt Regular" w:eastAsia="Theinhardt Regular"/>
          <w:spacing w:val="39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tallinen</w:t>
      </w:r>
      <w:r>
        <w:rPr>
          <w:rFonts w:ascii="Theinhardt Regular" w:hAnsi="Theinhardt Regular" w:cs="Theinhardt Regular" w:eastAsia="Theinhardt Regular"/>
          <w:spacing w:val="32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3"/>
          <w:sz w:val="18"/>
          <w:szCs w:val="18"/>
        </w:rPr>
        <w:t>PV-Zellen</w:t>
      </w:r>
      <w:r>
        <w:rPr>
          <w:rFonts w:ascii="Theinhardt Regular" w:hAnsi="Theinhardt Regular" w:cs="Theinhardt Regular" w:eastAsia="Theinhardt Regular"/>
          <w:spacing w:val="33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ausgestattet.</w:t>
      </w:r>
      <w:r>
        <w:rPr>
          <w:rFonts w:ascii="Theinhardt Regular" w:hAnsi="Theinhardt Regular" w:cs="Theinhardt Regular" w:eastAsia="Theinhardt Regular"/>
          <w:spacing w:val="21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Die</w:t>
      </w:r>
      <w:r>
        <w:rPr>
          <w:rFonts w:ascii="Theinhardt Regular" w:hAnsi="Theinhardt Regular" w:cs="Theinhardt Regular" w:eastAsia="Theinhardt Regular"/>
          <w:spacing w:val="32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perfekt</w:t>
      </w:r>
      <w:r>
        <w:rPr>
          <w:rFonts w:ascii="Theinhardt Regular" w:hAnsi="Theinhardt Regular" w:cs="Theinhardt Regular" w:eastAsia="Theinhardt Regular"/>
          <w:spacing w:val="45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vollflächig</w:t>
      </w:r>
      <w:r>
        <w:rPr>
          <w:rFonts w:ascii="Theinhardt Regular" w:hAnsi="Theinhardt Regular" w:cs="Theinhardt Regular" w:eastAsia="Theinhardt Regular"/>
          <w:spacing w:val="5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integrierten</w:t>
      </w:r>
      <w:r>
        <w:rPr>
          <w:rFonts w:ascii="Theinhardt Regular" w:hAnsi="Theinhardt Regular" w:cs="Theinhardt Regular" w:eastAsia="Theinhardt Regular"/>
          <w:spacing w:val="5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3"/>
          <w:sz w:val="18"/>
          <w:szCs w:val="18"/>
        </w:rPr>
        <w:t>PV-Anlagen</w:t>
      </w:r>
      <w:r>
        <w:rPr>
          <w:rFonts w:ascii="Theinhardt Regular" w:hAnsi="Theinhardt Regular" w:cs="Theinhardt Regular" w:eastAsia="Theinhardt Regular"/>
          <w:spacing w:val="5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mit</w:t>
      </w:r>
      <w:r>
        <w:rPr>
          <w:rFonts w:ascii="Theinhardt Regular" w:hAnsi="Theinhardt Regular" w:cs="Theinhardt Regular" w:eastAsia="Theinhardt Regular"/>
          <w:spacing w:val="5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einer</w:t>
      </w:r>
      <w:r>
        <w:rPr>
          <w:rFonts w:ascii="Theinhardt Regular" w:hAnsi="Theinhardt Regular" w:cs="Theinhardt Regular" w:eastAsia="Theinhardt Regular"/>
          <w:spacing w:val="39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Gesamtleistung</w:t>
      </w:r>
      <w:r>
        <w:rPr>
          <w:rFonts w:ascii="Theinhardt Regular" w:hAnsi="Theinhardt Regular" w:cs="Theinhardt Regular" w:eastAsia="Theinhardt Regular"/>
          <w:spacing w:val="1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von</w:t>
      </w:r>
      <w:r>
        <w:rPr>
          <w:rFonts w:ascii="Theinhardt Regular" w:hAnsi="Theinhardt Regular" w:cs="Theinhardt Regular" w:eastAsia="Theinhardt Regular"/>
          <w:spacing w:val="1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556</w:t>
      </w:r>
      <w:r>
        <w:rPr>
          <w:rFonts w:ascii="Theinhardt Regular" w:hAnsi="Theinhardt Regular" w:cs="Theinhardt Regular" w:eastAsia="Theinhardt Regular"/>
          <w:spacing w:val="1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kW</w:t>
      </w:r>
      <w:r>
        <w:rPr>
          <w:rFonts w:ascii="Theinhardt Regular" w:hAnsi="Theinhardt Regular" w:cs="Theinhardt Regular" w:eastAsia="Theinhardt Regular"/>
          <w:spacing w:val="1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fügen</w:t>
      </w:r>
      <w:r>
        <w:rPr>
          <w:rFonts w:ascii="Theinhardt Regular" w:hAnsi="Theinhardt Regular" w:cs="Theinhardt Regular" w:eastAsia="Theinhardt Regular"/>
          <w:spacing w:val="1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sich</w:t>
      </w:r>
      <w:r>
        <w:rPr>
          <w:rFonts w:ascii="Theinhardt Regular" w:hAnsi="Theinhardt Regular" w:cs="Theinhardt Regular" w:eastAsia="Theinhardt Regular"/>
          <w:spacing w:val="1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har-</w:t>
      </w:r>
      <w:r>
        <w:rPr>
          <w:rFonts w:ascii="Theinhardt Regular" w:hAnsi="Theinhardt Regular" w:cs="Theinhardt Regular" w:eastAsia="Theinhardt Regular"/>
          <w:spacing w:val="27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monisch</w:t>
      </w:r>
      <w:r>
        <w:rPr>
          <w:rFonts w:ascii="Theinhardt Regular" w:hAnsi="Theinhardt Regular" w:cs="Theinhardt Regular" w:eastAsia="Theinhardt Regular"/>
          <w:spacing w:val="-15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in</w:t>
      </w:r>
      <w:r>
        <w:rPr>
          <w:rFonts w:ascii="Theinhardt Regular" w:hAnsi="Theinhardt Regular" w:cs="Theinhardt Regular" w:eastAsia="Theinhardt Regular"/>
          <w:spacing w:val="-15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das</w:t>
      </w:r>
      <w:r>
        <w:rPr>
          <w:rFonts w:ascii="Theinhardt Regular" w:hAnsi="Theinhardt Regular" w:cs="Theinhardt Regular" w:eastAsia="Theinhardt Regular"/>
          <w:spacing w:val="-15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Stadtbild</w:t>
      </w:r>
      <w:r>
        <w:rPr>
          <w:rFonts w:ascii="Theinhardt Regular" w:hAnsi="Theinhardt Regular" w:cs="Theinhardt Regular" w:eastAsia="Theinhardt Regular"/>
          <w:spacing w:val="-15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ein</w:t>
      </w:r>
      <w:r>
        <w:rPr>
          <w:rFonts w:ascii="Theinhardt Regular" w:hAnsi="Theinhardt Regular" w:cs="Theinhardt Regular" w:eastAsia="Theinhardt Regular"/>
          <w:spacing w:val="-15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und</w:t>
      </w:r>
      <w:r>
        <w:rPr>
          <w:rFonts w:ascii="Theinhardt Regular" w:hAnsi="Theinhardt Regular" w:cs="Theinhardt Regular" w:eastAsia="Theinhardt Regular"/>
          <w:spacing w:val="-15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4"/>
          <w:sz w:val="18"/>
          <w:szCs w:val="18"/>
        </w:rPr>
        <w:t>produzieren</w:t>
      </w:r>
      <w:r>
        <w:rPr>
          <w:rFonts w:ascii="Theinhardt Regular" w:hAnsi="Theinhardt Regular" w:cs="Theinhardt Regular" w:eastAsia="Theinhardt Regular"/>
          <w:spacing w:val="29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jährlich</w:t>
      </w:r>
      <w:r>
        <w:rPr>
          <w:rFonts w:ascii="Theinhardt Regular" w:hAnsi="Theinhardt Regular" w:cs="Theinhardt Regular" w:eastAsia="Theinhardt Regular"/>
          <w:spacing w:val="-4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466’300</w:t>
      </w:r>
      <w:r>
        <w:rPr>
          <w:rFonts w:ascii="Theinhardt Regular" w:hAnsi="Theinhardt Regular" w:cs="Theinhardt Regular" w:eastAsia="Theinhardt Regular"/>
          <w:spacing w:val="-4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kWh</w:t>
      </w:r>
      <w:r>
        <w:rPr>
          <w:rFonts w:ascii="Theinhardt Regular" w:hAnsi="Theinhardt Regular" w:cs="Theinhardt Regular" w:eastAsia="Theinhardt Regular"/>
          <w:spacing w:val="-4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3"/>
          <w:sz w:val="18"/>
          <w:szCs w:val="18"/>
        </w:rPr>
        <w:t>Solarstrom.</w:t>
      </w:r>
      <w:r>
        <w:rPr>
          <w:rFonts w:ascii="Theinhardt Regular" w:hAnsi="Theinhardt Regular" w:cs="Theinhardt Regular" w:eastAsia="Theinhardt Regular"/>
          <w:sz w:val="18"/>
          <w:szCs w:val="18"/>
        </w:rPr>
      </w:r>
    </w:p>
    <w:p>
      <w:pPr>
        <w:spacing w:line="232" w:lineRule="auto" w:before="0"/>
        <w:ind w:left="106" w:right="0" w:firstLine="226"/>
        <w:jc w:val="both"/>
        <w:rPr>
          <w:rFonts w:ascii="Theinhardt Regular" w:hAnsi="Theinhardt Regular" w:cs="Theinhardt Regular" w:eastAsia="Theinhardt Regular"/>
          <w:sz w:val="18"/>
          <w:szCs w:val="18"/>
        </w:rPr>
      </w:pP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Dank</w:t>
      </w:r>
      <w:r>
        <w:rPr>
          <w:rFonts w:ascii="Theinhardt Regular" w:hAnsi="Theinhardt Regular" w:cs="Theinhardt Regular" w:eastAsia="Theinhardt Regular"/>
          <w:spacing w:val="42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dreifach</w:t>
      </w:r>
      <w:r>
        <w:rPr>
          <w:rFonts w:ascii="Theinhardt Regular" w:hAnsi="Theinhardt Regular" w:cs="Theinhardt Regular" w:eastAsia="Theinhardt Regular"/>
          <w:spacing w:val="43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verglasten</w:t>
      </w:r>
      <w:r>
        <w:rPr>
          <w:rFonts w:ascii="Theinhardt Regular" w:hAnsi="Theinhardt Regular" w:cs="Theinhardt Regular" w:eastAsia="Theinhardt Regular"/>
          <w:spacing w:val="42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Fenstern,</w:t>
      </w:r>
      <w:r>
        <w:rPr>
          <w:rFonts w:ascii="Theinhardt Regular" w:hAnsi="Theinhardt Regular" w:cs="Theinhardt Regular" w:eastAsia="Theinhardt Regular"/>
          <w:spacing w:val="32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op-</w:t>
      </w:r>
      <w:r>
        <w:rPr>
          <w:rFonts w:ascii="Theinhardt Regular" w:hAnsi="Theinhardt Regular" w:cs="Theinhardt Regular" w:eastAsia="Theinhardt Regular"/>
          <w:spacing w:val="41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timaler</w:t>
      </w:r>
      <w:r>
        <w:rPr>
          <w:rFonts w:ascii="Theinhardt Regular" w:hAnsi="Theinhardt Regular" w:cs="Theinhardt Regular" w:eastAsia="Theinhardt Regular"/>
          <w:spacing w:val="18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Wärmedämmung,</w:t>
      </w:r>
      <w:r>
        <w:rPr>
          <w:rFonts w:ascii="Theinhardt Regular" w:hAnsi="Theinhardt Regular" w:cs="Theinhardt Regular" w:eastAsia="Theinhardt Regular"/>
          <w:spacing w:val="8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solarbetriebener</w:t>
      </w:r>
      <w:r>
        <w:rPr>
          <w:rFonts w:ascii="Theinhardt Regular" w:hAnsi="Theinhardt Regular" w:cs="Theinhardt Regular" w:eastAsia="Theinhardt Regular"/>
          <w:spacing w:val="26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Wärmepumpen</w:t>
      </w:r>
      <w:r>
        <w:rPr>
          <w:rFonts w:ascii="Theinhardt Regular" w:hAnsi="Theinhardt Regular" w:cs="Theinhardt Regular" w:eastAsia="Theinhardt Regular"/>
          <w:spacing w:val="16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und</w:t>
      </w:r>
      <w:r>
        <w:rPr>
          <w:rFonts w:ascii="Theinhardt Regular" w:hAnsi="Theinhardt Regular" w:cs="Theinhardt Regular" w:eastAsia="Theinhardt Regular"/>
          <w:spacing w:val="16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Erdsonden</w:t>
      </w:r>
      <w:r>
        <w:rPr>
          <w:rFonts w:ascii="Theinhardt Regular" w:hAnsi="Theinhardt Regular" w:cs="Theinhardt Regular" w:eastAsia="Theinhardt Regular"/>
          <w:spacing w:val="16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beträgt</w:t>
      </w:r>
      <w:r>
        <w:rPr>
          <w:rFonts w:ascii="Theinhardt Regular" w:hAnsi="Theinhardt Regular" w:cs="Theinhardt Regular" w:eastAsia="Theinhardt Regular"/>
          <w:spacing w:val="16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der</w:t>
      </w:r>
      <w:r>
        <w:rPr>
          <w:rFonts w:ascii="Theinhardt Regular" w:hAnsi="Theinhardt Regular" w:cs="Theinhardt Regular" w:eastAsia="Theinhardt Regular"/>
          <w:spacing w:val="27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Energiebedarf</w:t>
      </w:r>
      <w:r>
        <w:rPr>
          <w:rFonts w:ascii="Theinhardt Regular" w:hAnsi="Theinhardt Regular" w:cs="Theinhardt Regular" w:eastAsia="Theinhardt Regular"/>
          <w:spacing w:val="9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bloss</w:t>
      </w:r>
      <w:r>
        <w:rPr>
          <w:rFonts w:ascii="Theinhardt Regular" w:hAnsi="Theinhardt Regular" w:cs="Theinhardt Regular" w:eastAsia="Theinhardt Regular"/>
          <w:spacing w:val="11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38.2</w:t>
      </w:r>
      <w:r>
        <w:rPr>
          <w:rFonts w:ascii="Theinhardt Regular" w:hAnsi="Theinhardt Regular" w:cs="Theinhardt Regular" w:eastAsia="Theinhardt Regular"/>
          <w:spacing w:val="10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kWh/m</w:t>
      </w:r>
      <w:r>
        <w:rPr>
          <w:rFonts w:ascii="Theinhardt Regular" w:hAnsi="Theinhardt Regular" w:cs="Theinhardt Regular" w:eastAsia="Theinhardt Regular"/>
          <w:spacing w:val="-1"/>
          <w:position w:val="6"/>
          <w:sz w:val="10"/>
          <w:szCs w:val="10"/>
        </w:rPr>
        <w:t>2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a</w:t>
      </w:r>
      <w:r>
        <w:rPr>
          <w:rFonts w:ascii="Theinhardt Regular" w:hAnsi="Theinhardt Regular" w:cs="Theinhardt Regular" w:eastAsia="Theinhardt Regular"/>
          <w:spacing w:val="11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oder</w:t>
      </w:r>
      <w:r>
        <w:rPr>
          <w:rFonts w:ascii="Theinhardt Regular" w:hAnsi="Theinhardt Regular" w:cs="Theinhardt Regular" w:eastAsia="Theinhardt Regular"/>
          <w:spacing w:val="26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rund</w:t>
      </w:r>
      <w:r>
        <w:rPr>
          <w:rFonts w:ascii="Theinhardt Regular" w:hAnsi="Theinhardt Regular" w:cs="Theinhardt Regular" w:eastAsia="Theinhardt Regular"/>
          <w:spacing w:val="17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397’200</w:t>
      </w:r>
      <w:r>
        <w:rPr>
          <w:rFonts w:ascii="Theinhardt Regular" w:hAnsi="Theinhardt Regular" w:cs="Theinhardt Regular" w:eastAsia="Theinhardt Regular"/>
          <w:spacing w:val="17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3"/>
          <w:sz w:val="18"/>
          <w:szCs w:val="18"/>
        </w:rPr>
        <w:t>kWh/a.</w:t>
      </w:r>
      <w:r>
        <w:rPr>
          <w:rFonts w:ascii="Theinhardt Regular" w:hAnsi="Theinhardt Regular" w:cs="Theinhardt Regular" w:eastAsia="Theinhardt Regular"/>
          <w:spacing w:val="6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Damit</w:t>
      </w:r>
      <w:r>
        <w:rPr>
          <w:rFonts w:ascii="Theinhardt Regular" w:hAnsi="Theinhardt Regular" w:cs="Theinhardt Regular" w:eastAsia="Theinhardt Regular"/>
          <w:spacing w:val="17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weist</w:t>
      </w:r>
      <w:r>
        <w:rPr>
          <w:rFonts w:ascii="Theinhardt Regular" w:hAnsi="Theinhardt Regular" w:cs="Theinhardt Regular" w:eastAsia="Theinhardt Regular"/>
          <w:spacing w:val="17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die</w:t>
      </w:r>
      <w:r>
        <w:rPr>
          <w:rFonts w:ascii="Theinhardt Regular" w:hAnsi="Theinhardt Regular" w:cs="Theinhardt Regular" w:eastAsia="Theinhardt Regular"/>
          <w:spacing w:val="17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ers-</w:t>
      </w:r>
      <w:r>
        <w:rPr>
          <w:rFonts w:ascii="Theinhardt Regular" w:hAnsi="Theinhardt Regular" w:cs="Theinhardt Regular" w:eastAsia="Theinhardt Regular"/>
          <w:spacing w:val="31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te</w:t>
      </w:r>
      <w:r>
        <w:rPr>
          <w:rFonts w:ascii="Theinhardt Regular" w:hAnsi="Theinhardt Regular" w:cs="Theinhardt Regular" w:eastAsia="Theinhardt Regular"/>
          <w:spacing w:val="41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PlusEnergie-Siedlung</w:t>
      </w:r>
      <w:r>
        <w:rPr>
          <w:rFonts w:ascii="Theinhardt Regular" w:hAnsi="Theinhardt Regular" w:cs="Theinhardt Regular" w:eastAsia="Theinhardt Regular"/>
          <w:spacing w:val="42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der</w:t>
      </w:r>
      <w:r>
        <w:rPr>
          <w:rFonts w:ascii="Theinhardt Regular" w:hAnsi="Theinhardt Regular" w:cs="Theinhardt Regular" w:eastAsia="Theinhardt Regular"/>
          <w:spacing w:val="41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Schweiz</w:t>
      </w:r>
      <w:r>
        <w:rPr>
          <w:rFonts w:ascii="Theinhardt Regular" w:hAnsi="Theinhardt Regular" w:cs="Theinhardt Regular" w:eastAsia="Theinhardt Regular"/>
          <w:spacing w:val="42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eine</w:t>
      </w:r>
      <w:r>
        <w:rPr>
          <w:rFonts w:ascii="Theinhardt Regular" w:hAnsi="Theinhardt Regular" w:cs="Theinhardt Regular" w:eastAsia="Theinhardt Regular"/>
          <w:spacing w:val="24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Eigenenergieversorgung</w:t>
      </w:r>
      <w:r>
        <w:rPr>
          <w:rFonts w:ascii="Theinhardt Regular" w:hAnsi="Theinhardt Regular" w:cs="Theinhardt Regular" w:eastAsia="Theinhardt Regular"/>
          <w:spacing w:val="10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von</w:t>
      </w:r>
      <w:r>
        <w:rPr>
          <w:rFonts w:ascii="Theinhardt Regular" w:hAnsi="Theinhardt Regular" w:cs="Theinhardt Regular" w:eastAsia="Theinhardt Regular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10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117%</w:t>
      </w:r>
      <w:r>
        <w:rPr>
          <w:rFonts w:ascii="Theinhardt Regular" w:hAnsi="Theinhardt Regular" w:cs="Theinhardt Regular" w:eastAsia="Theinhardt Regular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10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3"/>
          <w:sz w:val="18"/>
          <w:szCs w:val="18"/>
        </w:rPr>
        <w:t>auf.</w:t>
      </w:r>
      <w:r>
        <w:rPr>
          <w:rFonts w:ascii="Theinhardt Regular" w:hAnsi="Theinhardt Regular" w:cs="Theinhardt Regular" w:eastAsia="Theinhardt Regular"/>
          <w:spacing w:val="30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z w:val="18"/>
          <w:szCs w:val="18"/>
        </w:rPr>
        <w:t>Mit</w:t>
      </w:r>
      <w:r>
        <w:rPr>
          <w:rFonts w:ascii="Theinhardt Regular" w:hAnsi="Theinhardt Regular" w:cs="Theinhardt Regular" w:eastAsia="Theinhardt Regular"/>
          <w:spacing w:val="9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dem</w:t>
      </w:r>
      <w:r>
        <w:rPr>
          <w:rFonts w:ascii="Theinhardt Regular" w:hAnsi="Theinhardt Regular" w:cs="Theinhardt Regular" w:eastAsia="Theinhardt Regular"/>
          <w:spacing w:val="9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Solarstromüberschuss</w:t>
      </w:r>
      <w:r>
        <w:rPr>
          <w:rFonts w:ascii="Theinhardt Regular" w:hAnsi="Theinhardt Regular" w:cs="Theinhardt Regular" w:eastAsia="Theinhardt Regular"/>
          <w:spacing w:val="9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von</w:t>
      </w:r>
      <w:r>
        <w:rPr>
          <w:rFonts w:ascii="Theinhardt Regular" w:hAnsi="Theinhardt Regular" w:cs="Theinhardt Regular" w:eastAsia="Theinhardt Regular"/>
          <w:spacing w:val="9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69’200</w:t>
      </w:r>
      <w:r>
        <w:rPr>
          <w:rFonts w:ascii="Theinhardt Regular" w:hAnsi="Theinhardt Regular" w:cs="Theinhardt Regular" w:eastAsia="Theinhardt Regular"/>
          <w:spacing w:val="30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3"/>
          <w:sz w:val="18"/>
          <w:szCs w:val="18"/>
        </w:rPr>
        <w:t>kWh/a</w:t>
      </w:r>
      <w:r>
        <w:rPr>
          <w:rFonts w:ascii="Theinhardt Regular" w:hAnsi="Theinhardt Regular" w:cs="Theinhardt Regular" w:eastAsia="Theinhardt Regular"/>
          <w:spacing w:val="-6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könnten</w:t>
      </w:r>
      <w:r>
        <w:rPr>
          <w:rFonts w:ascii="Theinhardt Regular" w:hAnsi="Theinhardt Regular" w:cs="Theinhardt Regular" w:eastAsia="Theinhardt Regular"/>
          <w:spacing w:val="-6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alle</w:t>
      </w:r>
      <w:r>
        <w:rPr>
          <w:rFonts w:ascii="Theinhardt Regular" w:hAnsi="Theinhardt Regular" w:cs="Theinhardt Regular" w:eastAsia="Theinhardt Regular"/>
          <w:spacing w:val="-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39</w:t>
      </w:r>
      <w:r>
        <w:rPr>
          <w:rFonts w:ascii="Theinhardt Bold" w:hAnsi="Theinhardt Bold" w:cs="Theinhardt Bold" w:eastAsia="Theinhardt Bold"/>
          <w:b/>
          <w:bCs/>
          <w:spacing w:val="-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Fahrzeuge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der</w:t>
      </w:r>
      <w:r>
        <w:rPr>
          <w:rFonts w:ascii="Theinhardt Regular" w:hAnsi="Theinhardt Regular" w:cs="Theinhardt Regular" w:eastAsia="Theinhardt Regular"/>
          <w:spacing w:val="-6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Sied-</w:t>
      </w:r>
      <w:r>
        <w:rPr>
          <w:rFonts w:ascii="Theinhardt Regular" w:hAnsi="Theinhardt Regular" w:cs="Theinhardt Regular" w:eastAsia="Theinhardt Regular"/>
          <w:spacing w:val="29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lung</w:t>
      </w:r>
      <w:r>
        <w:rPr>
          <w:rFonts w:ascii="Theinhardt Regular" w:hAnsi="Theinhardt Regular" w:cs="Theinhardt Regular" w:eastAsia="Theinhardt Regular"/>
          <w:spacing w:val="31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sowie</w:t>
      </w:r>
      <w:r>
        <w:rPr>
          <w:rFonts w:ascii="Theinhardt Regular" w:hAnsi="Theinhardt Regular" w:cs="Theinhardt Regular" w:eastAsia="Theinhardt Regular"/>
          <w:spacing w:val="32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weitere</w:t>
      </w:r>
      <w:r>
        <w:rPr>
          <w:rFonts w:ascii="Theinhardt Regular" w:hAnsi="Theinhardt Regular" w:cs="Theinhardt Regular" w:eastAsia="Theinhardt Regular"/>
          <w:spacing w:val="3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10</w:t>
      </w:r>
      <w:r>
        <w:rPr>
          <w:rFonts w:ascii="Theinhardt Bold" w:hAnsi="Theinhardt Bold" w:cs="Theinhardt Bold" w:eastAsia="Theinhardt Bold"/>
          <w:b/>
          <w:bCs/>
          <w:spacing w:val="2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Fahrzeuge</w:t>
      </w:r>
      <w:r>
        <w:rPr>
          <w:rFonts w:ascii="Theinhardt Bold" w:hAnsi="Theinhardt Bold" w:cs="Theinhardt Bold" w:eastAsia="Theinhardt Bold"/>
          <w:b/>
          <w:bCs/>
          <w:spacing w:val="35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jährlich</w:t>
      </w:r>
      <w:r>
        <w:rPr>
          <w:rFonts w:ascii="Theinhardt Regular" w:hAnsi="Theinhardt Regular" w:cs="Theinhardt Regular" w:eastAsia="Theinhardt Regular"/>
          <w:spacing w:val="20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rund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12’000 km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CO</w:t>
      </w:r>
      <w:r>
        <w:rPr>
          <w:rFonts w:ascii="Theinhardt Bold" w:hAnsi="Theinhardt Bold" w:cs="Theinhardt Bold" w:eastAsia="Theinhardt Bold"/>
          <w:b/>
          <w:bCs/>
          <w:spacing w:val="-1"/>
          <w:position w:val="-5"/>
          <w:sz w:val="10"/>
          <w:szCs w:val="10"/>
        </w:rPr>
        <w:t>2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-frei</w:t>
      </w:r>
      <w:r>
        <w:rPr>
          <w:rFonts w:ascii="Theinhardt Bold" w:hAnsi="Theinhardt Bold" w:cs="Theinhardt Bold" w:eastAsia="Theinhardt Bold"/>
          <w:b/>
          <w:bCs/>
          <w:spacing w:val="2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fahren.</w:t>
      </w:r>
      <w:r>
        <w:rPr>
          <w:rFonts w:ascii="Theinhardt Regular" w:hAnsi="Theinhardt Regular" w:cs="Theinhardt Regular" w:eastAsia="Theinhardt Regular"/>
          <w:sz w:val="18"/>
          <w:szCs w:val="18"/>
        </w:rPr>
      </w:r>
    </w:p>
    <w:p>
      <w:pPr>
        <w:spacing w:line="197" w:lineRule="exact" w:before="0"/>
        <w:ind w:left="106" w:right="0" w:firstLine="226"/>
        <w:jc w:val="both"/>
        <w:rPr>
          <w:rFonts w:ascii="Theinhardt Regular" w:hAnsi="Theinhardt Regular" w:cs="Theinhardt Regular" w:eastAsia="Theinhardt Regular"/>
          <w:sz w:val="18"/>
          <w:szCs w:val="18"/>
        </w:rPr>
      </w:pPr>
      <w:r>
        <w:rPr>
          <w:rFonts w:ascii="Theinhardt Regular"/>
          <w:spacing w:val="-2"/>
          <w:sz w:val="18"/>
        </w:rPr>
        <w:t>Aus</w:t>
      </w:r>
      <w:r>
        <w:rPr>
          <w:rFonts w:ascii="Theinhardt Regular"/>
          <w:sz w:val="18"/>
        </w:rPr>
        <w:t> </w:t>
      </w:r>
      <w:r>
        <w:rPr>
          <w:rFonts w:ascii="Theinhardt Regular"/>
          <w:spacing w:val="-2"/>
          <w:sz w:val="18"/>
        </w:rPr>
        <w:t>der</w:t>
      </w:r>
      <w:r>
        <w:rPr>
          <w:rFonts w:ascii="Theinhardt Regular"/>
          <w:sz w:val="18"/>
        </w:rPr>
        <w:t> </w:t>
      </w:r>
      <w:r>
        <w:rPr>
          <w:rFonts w:ascii="Theinhardt Regular"/>
          <w:spacing w:val="-2"/>
          <w:sz w:val="18"/>
        </w:rPr>
        <w:t>wegweisenden</w:t>
      </w:r>
      <w:r>
        <w:rPr>
          <w:rFonts w:ascii="Theinhardt Regular"/>
          <w:spacing w:val="-11"/>
          <w:sz w:val="18"/>
        </w:rPr>
        <w:t> </w:t>
      </w:r>
      <w:r>
        <w:rPr>
          <w:rFonts w:ascii="Theinhardt Regular"/>
          <w:spacing w:val="-3"/>
          <w:sz w:val="18"/>
        </w:rPr>
        <w:t>Verbindung</w:t>
      </w:r>
      <w:r>
        <w:rPr>
          <w:rFonts w:ascii="Theinhardt Regular"/>
          <w:sz w:val="18"/>
        </w:rPr>
        <w:t> </w:t>
      </w:r>
      <w:r>
        <w:rPr>
          <w:rFonts w:ascii="Theinhardt Regular"/>
          <w:spacing w:val="-2"/>
          <w:sz w:val="18"/>
        </w:rPr>
        <w:t>tradi-</w:t>
      </w:r>
    </w:p>
    <w:p>
      <w:pPr>
        <w:spacing w:line="232" w:lineRule="auto" w:before="2"/>
        <w:ind w:left="106" w:right="8" w:firstLine="0"/>
        <w:jc w:val="both"/>
        <w:rPr>
          <w:rFonts w:ascii="Theinhardt Regular" w:hAnsi="Theinhardt Regular" w:cs="Theinhardt Regular" w:eastAsia="Theinhardt Regular"/>
          <w:sz w:val="18"/>
          <w:szCs w:val="18"/>
        </w:rPr>
      </w:pPr>
      <w:r>
        <w:rPr>
          <w:rFonts w:ascii="Theinhardt Regular" w:hAnsi="Theinhardt Regular"/>
          <w:spacing w:val="-2"/>
          <w:sz w:val="18"/>
        </w:rPr>
        <w:t>tioneller</w:t>
      </w:r>
      <w:r>
        <w:rPr>
          <w:rFonts w:ascii="Theinhardt Regular" w:hAnsi="Theinhardt Regular"/>
          <w:spacing w:val="-11"/>
          <w:sz w:val="18"/>
        </w:rPr>
        <w:t> </w:t>
      </w:r>
      <w:r>
        <w:rPr>
          <w:rFonts w:ascii="Theinhardt Regular" w:hAnsi="Theinhardt Regular"/>
          <w:spacing w:val="-2"/>
          <w:sz w:val="18"/>
        </w:rPr>
        <w:t>Baukultur</w:t>
      </w:r>
      <w:r>
        <w:rPr>
          <w:rFonts w:ascii="Theinhardt Regular" w:hAnsi="Theinhardt Regular"/>
          <w:spacing w:val="-11"/>
          <w:sz w:val="18"/>
        </w:rPr>
        <w:t> </w:t>
      </w:r>
      <w:r>
        <w:rPr>
          <w:rFonts w:ascii="Theinhardt Regular" w:hAnsi="Theinhardt Regular"/>
          <w:spacing w:val="-1"/>
          <w:sz w:val="18"/>
        </w:rPr>
        <w:t>mit</w:t>
      </w:r>
      <w:r>
        <w:rPr>
          <w:rFonts w:ascii="Theinhardt Regular" w:hAnsi="Theinhardt Regular"/>
          <w:spacing w:val="-11"/>
          <w:sz w:val="18"/>
        </w:rPr>
        <w:t> </w:t>
      </w:r>
      <w:r>
        <w:rPr>
          <w:rFonts w:ascii="Theinhardt Regular" w:hAnsi="Theinhardt Regular"/>
          <w:spacing w:val="-2"/>
          <w:sz w:val="18"/>
        </w:rPr>
        <w:t>innovativer</w:t>
      </w:r>
      <w:r>
        <w:rPr>
          <w:rFonts w:ascii="Theinhardt Regular" w:hAnsi="Theinhardt Regular"/>
          <w:spacing w:val="-11"/>
          <w:sz w:val="18"/>
        </w:rPr>
        <w:t> </w:t>
      </w:r>
      <w:r>
        <w:rPr>
          <w:rFonts w:ascii="Theinhardt Regular" w:hAnsi="Theinhardt Regular"/>
          <w:spacing w:val="-3"/>
          <w:sz w:val="18"/>
        </w:rPr>
        <w:t>Solararchi-</w:t>
      </w:r>
      <w:r>
        <w:rPr>
          <w:rFonts w:ascii="Theinhardt Regular" w:hAnsi="Theinhardt Regular"/>
          <w:spacing w:val="41"/>
          <w:sz w:val="18"/>
        </w:rPr>
        <w:t> </w:t>
      </w:r>
      <w:r>
        <w:rPr>
          <w:rFonts w:ascii="Theinhardt Regular" w:hAnsi="Theinhardt Regular"/>
          <w:spacing w:val="-2"/>
          <w:sz w:val="18"/>
        </w:rPr>
        <w:t>tektur</w:t>
      </w:r>
      <w:r>
        <w:rPr>
          <w:rFonts w:ascii="Theinhardt Regular" w:hAnsi="Theinhardt Regular"/>
          <w:spacing w:val="8"/>
          <w:sz w:val="18"/>
        </w:rPr>
        <w:t> </w:t>
      </w:r>
      <w:r>
        <w:rPr>
          <w:rFonts w:ascii="Theinhardt Regular" w:hAnsi="Theinhardt Regular"/>
          <w:spacing w:val="-2"/>
          <w:sz w:val="18"/>
        </w:rPr>
        <w:t>und</w:t>
      </w:r>
      <w:r>
        <w:rPr>
          <w:rFonts w:ascii="Theinhardt Regular" w:hAnsi="Theinhardt Regular"/>
          <w:spacing w:val="8"/>
          <w:sz w:val="18"/>
        </w:rPr>
        <w:t> </w:t>
      </w:r>
      <w:r>
        <w:rPr>
          <w:rFonts w:ascii="Theinhardt Regular" w:hAnsi="Theinhardt Regular"/>
          <w:spacing w:val="-2"/>
          <w:sz w:val="18"/>
        </w:rPr>
        <w:t>den</w:t>
      </w:r>
      <w:r>
        <w:rPr>
          <w:rFonts w:ascii="Theinhardt Regular" w:hAnsi="Theinhardt Regular"/>
          <w:spacing w:val="8"/>
          <w:sz w:val="18"/>
        </w:rPr>
        <w:t> </w:t>
      </w:r>
      <w:r>
        <w:rPr>
          <w:rFonts w:ascii="Theinhardt Regular" w:hAnsi="Theinhardt Regular"/>
          <w:spacing w:val="-3"/>
          <w:sz w:val="18"/>
        </w:rPr>
        <w:t>harmonisch</w:t>
      </w:r>
      <w:r>
        <w:rPr>
          <w:rFonts w:ascii="Theinhardt Regular" w:hAnsi="Theinhardt Regular"/>
          <w:spacing w:val="8"/>
          <w:sz w:val="18"/>
        </w:rPr>
        <w:t> </w:t>
      </w:r>
      <w:r>
        <w:rPr>
          <w:rFonts w:ascii="Theinhardt Regular" w:hAnsi="Theinhardt Regular"/>
          <w:spacing w:val="-2"/>
          <w:sz w:val="18"/>
        </w:rPr>
        <w:t>gestalteten</w:t>
      </w:r>
      <w:r>
        <w:rPr>
          <w:rFonts w:ascii="Theinhardt Regular" w:hAnsi="Theinhardt Regular"/>
          <w:spacing w:val="8"/>
          <w:sz w:val="18"/>
        </w:rPr>
        <w:t> </w:t>
      </w:r>
      <w:r>
        <w:rPr>
          <w:rFonts w:ascii="Theinhardt Regular" w:hAnsi="Theinhardt Regular"/>
          <w:spacing w:val="-1"/>
          <w:sz w:val="18"/>
        </w:rPr>
        <w:t>Gie-</w:t>
      </w:r>
      <w:r>
        <w:rPr>
          <w:rFonts w:ascii="Theinhardt Regular" w:hAnsi="Theinhardt Regular"/>
          <w:spacing w:val="49"/>
          <w:sz w:val="18"/>
        </w:rPr>
        <w:t> </w:t>
      </w:r>
      <w:r>
        <w:rPr>
          <w:rFonts w:ascii="Theinhardt Regular" w:hAnsi="Theinhardt Regular"/>
          <w:spacing w:val="-2"/>
          <w:sz w:val="18"/>
        </w:rPr>
        <w:t>beldächern</w:t>
      </w:r>
      <w:r>
        <w:rPr>
          <w:rFonts w:ascii="Theinhardt Regular" w:hAnsi="Theinhardt Regular"/>
          <w:spacing w:val="-6"/>
          <w:sz w:val="18"/>
        </w:rPr>
        <w:t> </w:t>
      </w:r>
      <w:r>
        <w:rPr>
          <w:rFonts w:ascii="Theinhardt Regular" w:hAnsi="Theinhardt Regular"/>
          <w:spacing w:val="-2"/>
          <w:sz w:val="18"/>
        </w:rPr>
        <w:t>entstand</w:t>
      </w:r>
      <w:r>
        <w:rPr>
          <w:rFonts w:ascii="Theinhardt Regular" w:hAnsi="Theinhardt Regular"/>
          <w:spacing w:val="-6"/>
          <w:sz w:val="18"/>
        </w:rPr>
        <w:t> </w:t>
      </w:r>
      <w:r>
        <w:rPr>
          <w:rFonts w:ascii="Theinhardt Regular" w:hAnsi="Theinhardt Regular"/>
          <w:spacing w:val="-1"/>
          <w:sz w:val="18"/>
        </w:rPr>
        <w:t>die</w:t>
      </w:r>
      <w:r>
        <w:rPr>
          <w:rFonts w:ascii="Theinhardt Regular" w:hAnsi="Theinhardt Regular"/>
          <w:spacing w:val="-6"/>
          <w:sz w:val="18"/>
        </w:rPr>
        <w:t> </w:t>
      </w:r>
      <w:r>
        <w:rPr>
          <w:rFonts w:ascii="Theinhardt Regular" w:hAnsi="Theinhardt Regular"/>
          <w:spacing w:val="-3"/>
          <w:sz w:val="18"/>
        </w:rPr>
        <w:t>kompakte</w:t>
      </w:r>
      <w:r>
        <w:rPr>
          <w:rFonts w:ascii="Theinhardt Regular" w:hAnsi="Theinhardt Regular"/>
          <w:spacing w:val="-6"/>
          <w:sz w:val="18"/>
        </w:rPr>
        <w:t> </w:t>
      </w:r>
      <w:r>
        <w:rPr>
          <w:rFonts w:ascii="Theinhardt Regular" w:hAnsi="Theinhardt Regular"/>
          <w:spacing w:val="-3"/>
          <w:sz w:val="18"/>
        </w:rPr>
        <w:t>Form</w:t>
      </w:r>
      <w:r>
        <w:rPr>
          <w:rFonts w:ascii="Theinhardt Regular" w:hAnsi="Theinhardt Regular"/>
          <w:spacing w:val="-6"/>
          <w:sz w:val="18"/>
        </w:rPr>
        <w:t> </w:t>
      </w:r>
      <w:r>
        <w:rPr>
          <w:rFonts w:ascii="Theinhardt Regular" w:hAnsi="Theinhardt Regular"/>
          <w:spacing w:val="-2"/>
          <w:sz w:val="18"/>
        </w:rPr>
        <w:t>der</w:t>
      </w:r>
      <w:r>
        <w:rPr>
          <w:rFonts w:ascii="Theinhardt Regular" w:hAnsi="Theinhardt Regular"/>
          <w:spacing w:val="27"/>
          <w:sz w:val="18"/>
        </w:rPr>
        <w:t> </w:t>
      </w:r>
      <w:r>
        <w:rPr>
          <w:rFonts w:ascii="Theinhardt Regular" w:hAnsi="Theinhardt Regular"/>
          <w:spacing w:val="-3"/>
          <w:sz w:val="18"/>
        </w:rPr>
        <w:t>ABZ-Wohnsiedlung,</w:t>
      </w:r>
      <w:r>
        <w:rPr>
          <w:rFonts w:ascii="Theinhardt Regular" w:hAnsi="Theinhardt Regular"/>
          <w:spacing w:val="20"/>
          <w:sz w:val="18"/>
        </w:rPr>
        <w:t> </w:t>
      </w:r>
      <w:r>
        <w:rPr>
          <w:rFonts w:ascii="Theinhardt Regular" w:hAnsi="Theinhardt Regular"/>
          <w:spacing w:val="-1"/>
          <w:sz w:val="18"/>
        </w:rPr>
        <w:t>die</w:t>
      </w:r>
      <w:r>
        <w:rPr>
          <w:rFonts w:ascii="Theinhardt Regular" w:hAnsi="Theinhardt Regular"/>
          <w:spacing w:val="30"/>
          <w:sz w:val="18"/>
        </w:rPr>
        <w:t> </w:t>
      </w:r>
      <w:r>
        <w:rPr>
          <w:rFonts w:ascii="Theinhardt Regular" w:hAnsi="Theinhardt Regular"/>
          <w:spacing w:val="-2"/>
          <w:sz w:val="18"/>
        </w:rPr>
        <w:t>sich</w:t>
      </w:r>
      <w:r>
        <w:rPr>
          <w:rFonts w:ascii="Theinhardt Regular" w:hAnsi="Theinhardt Regular"/>
          <w:spacing w:val="31"/>
          <w:sz w:val="18"/>
        </w:rPr>
        <w:t> </w:t>
      </w:r>
      <w:r>
        <w:rPr>
          <w:rFonts w:ascii="Theinhardt Regular" w:hAnsi="Theinhardt Regular"/>
          <w:spacing w:val="-2"/>
          <w:sz w:val="18"/>
        </w:rPr>
        <w:t>optimal</w:t>
      </w:r>
      <w:r>
        <w:rPr>
          <w:rFonts w:ascii="Theinhardt Regular" w:hAnsi="Theinhardt Regular"/>
          <w:spacing w:val="30"/>
          <w:sz w:val="18"/>
        </w:rPr>
        <w:t> </w:t>
      </w:r>
      <w:r>
        <w:rPr>
          <w:rFonts w:ascii="Theinhardt Regular" w:hAnsi="Theinhardt Regular"/>
          <w:spacing w:val="-1"/>
          <w:sz w:val="18"/>
        </w:rPr>
        <w:t>in</w:t>
      </w:r>
      <w:r>
        <w:rPr>
          <w:rFonts w:ascii="Theinhardt Regular" w:hAnsi="Theinhardt Regular"/>
          <w:spacing w:val="31"/>
          <w:sz w:val="18"/>
        </w:rPr>
        <w:t> </w:t>
      </w:r>
      <w:r>
        <w:rPr>
          <w:rFonts w:ascii="Theinhardt Regular" w:hAnsi="Theinhardt Regular"/>
          <w:spacing w:val="-2"/>
          <w:sz w:val="18"/>
        </w:rPr>
        <w:t>die</w:t>
      </w:r>
      <w:r>
        <w:rPr>
          <w:rFonts w:ascii="Theinhardt Regular" w:hAnsi="Theinhardt Regular"/>
          <w:spacing w:val="28"/>
          <w:sz w:val="18"/>
        </w:rPr>
        <w:t> </w:t>
      </w:r>
      <w:r>
        <w:rPr>
          <w:rFonts w:ascii="Theinhardt Regular" w:hAnsi="Theinhardt Regular"/>
          <w:spacing w:val="-2"/>
          <w:sz w:val="18"/>
        </w:rPr>
        <w:t>städtische</w:t>
      </w:r>
      <w:r>
        <w:rPr>
          <w:rFonts w:ascii="Theinhardt Regular" w:hAnsi="Theinhardt Regular"/>
          <w:spacing w:val="-9"/>
          <w:sz w:val="18"/>
        </w:rPr>
        <w:t> </w:t>
      </w:r>
      <w:r>
        <w:rPr>
          <w:rFonts w:ascii="Theinhardt Regular" w:hAnsi="Theinhardt Regular"/>
          <w:spacing w:val="-2"/>
          <w:sz w:val="18"/>
        </w:rPr>
        <w:t>Landschaft</w:t>
      </w:r>
      <w:r>
        <w:rPr>
          <w:rFonts w:ascii="Theinhardt Regular" w:hAnsi="Theinhardt Regular"/>
          <w:spacing w:val="-9"/>
          <w:sz w:val="18"/>
        </w:rPr>
        <w:t> </w:t>
      </w:r>
      <w:r>
        <w:rPr>
          <w:rFonts w:ascii="Theinhardt Regular" w:hAnsi="Theinhardt Regular"/>
          <w:spacing w:val="-2"/>
          <w:sz w:val="18"/>
        </w:rPr>
        <w:t>einfügt.</w:t>
      </w:r>
      <w:r>
        <w:rPr>
          <w:rFonts w:ascii="Theinhardt Regular" w:hAnsi="Theinhardt Regular"/>
          <w:spacing w:val="-20"/>
          <w:sz w:val="18"/>
        </w:rPr>
        <w:t> </w:t>
      </w:r>
      <w:r>
        <w:rPr>
          <w:rFonts w:ascii="Theinhardt Regular" w:hAnsi="Theinhardt Regular"/>
          <w:spacing w:val="-1"/>
          <w:sz w:val="18"/>
        </w:rPr>
        <w:t>16</w:t>
      </w:r>
      <w:r>
        <w:rPr>
          <w:rFonts w:ascii="Theinhardt Regular" w:hAnsi="Theinhardt Regular"/>
          <w:spacing w:val="-9"/>
          <w:sz w:val="18"/>
        </w:rPr>
        <w:t> </w:t>
      </w:r>
      <w:r>
        <w:rPr>
          <w:rFonts w:ascii="Theinhardt Regular" w:hAnsi="Theinhardt Regular"/>
          <w:spacing w:val="-3"/>
          <w:sz w:val="18"/>
        </w:rPr>
        <w:t>Jahre</w:t>
      </w:r>
      <w:r>
        <w:rPr>
          <w:rFonts w:ascii="Theinhardt Regular" w:hAnsi="Theinhardt Regular"/>
          <w:spacing w:val="-9"/>
          <w:sz w:val="18"/>
        </w:rPr>
        <w:t> </w:t>
      </w:r>
      <w:r>
        <w:rPr>
          <w:rFonts w:ascii="Theinhardt Regular" w:hAnsi="Theinhardt Regular"/>
          <w:spacing w:val="-3"/>
          <w:sz w:val="18"/>
        </w:rPr>
        <w:t>nach</w:t>
      </w:r>
      <w:r>
        <w:rPr>
          <w:rFonts w:ascii="Theinhardt Regular" w:hAnsi="Theinhardt Regular"/>
          <w:spacing w:val="35"/>
          <w:sz w:val="18"/>
        </w:rPr>
        <w:t> </w:t>
      </w:r>
      <w:r>
        <w:rPr>
          <w:rFonts w:ascii="Theinhardt Regular" w:hAnsi="Theinhardt Regular"/>
          <w:spacing w:val="-2"/>
          <w:sz w:val="18"/>
        </w:rPr>
        <w:t>den</w:t>
      </w:r>
      <w:r>
        <w:rPr>
          <w:rFonts w:ascii="Theinhardt Regular" w:hAnsi="Theinhardt Regular"/>
          <w:spacing w:val="21"/>
          <w:sz w:val="18"/>
        </w:rPr>
        <w:t> </w:t>
      </w:r>
      <w:r>
        <w:rPr>
          <w:rFonts w:ascii="Theinhardt Regular" w:hAnsi="Theinhardt Regular"/>
          <w:spacing w:val="-2"/>
          <w:sz w:val="18"/>
        </w:rPr>
        <w:t>ersten</w:t>
      </w:r>
      <w:r>
        <w:rPr>
          <w:rFonts w:ascii="Theinhardt Regular" w:hAnsi="Theinhardt Regular"/>
          <w:spacing w:val="21"/>
          <w:sz w:val="18"/>
        </w:rPr>
        <w:t> </w:t>
      </w:r>
      <w:r>
        <w:rPr>
          <w:rFonts w:ascii="Theinhardt Regular" w:hAnsi="Theinhardt Regular"/>
          <w:spacing w:val="-3"/>
          <w:sz w:val="18"/>
        </w:rPr>
        <w:t>PlusEnergieBauten</w:t>
      </w:r>
      <w:r>
        <w:rPr>
          <w:rFonts w:ascii="Theinhardt Regular" w:hAnsi="Theinhardt Regular"/>
          <w:spacing w:val="21"/>
          <w:sz w:val="18"/>
        </w:rPr>
        <w:t> </w:t>
      </w:r>
      <w:r>
        <w:rPr>
          <w:rFonts w:ascii="Theinhardt Regular" w:hAnsi="Theinhardt Regular"/>
          <w:spacing w:val="-1"/>
          <w:sz w:val="18"/>
        </w:rPr>
        <w:t>in</w:t>
      </w:r>
      <w:r>
        <w:rPr>
          <w:rFonts w:ascii="Theinhardt Regular" w:hAnsi="Theinhardt Regular"/>
          <w:spacing w:val="21"/>
          <w:sz w:val="18"/>
        </w:rPr>
        <w:t> </w:t>
      </w:r>
      <w:r>
        <w:rPr>
          <w:rFonts w:ascii="Theinhardt Regular" w:hAnsi="Theinhardt Regular"/>
          <w:spacing w:val="-1"/>
          <w:sz w:val="18"/>
        </w:rPr>
        <w:t>Bern</w:t>
      </w:r>
      <w:r>
        <w:rPr>
          <w:rFonts w:ascii="Theinhardt Regular" w:hAnsi="Theinhardt Regular"/>
          <w:spacing w:val="21"/>
          <w:sz w:val="18"/>
        </w:rPr>
        <w:t> </w:t>
      </w:r>
      <w:r>
        <w:rPr>
          <w:rFonts w:ascii="Theinhardt Regular" w:hAnsi="Theinhardt Regular"/>
          <w:spacing w:val="-2"/>
          <w:sz w:val="18"/>
        </w:rPr>
        <w:t>und</w:t>
      </w:r>
      <w:r>
        <w:rPr>
          <w:rFonts w:ascii="Theinhardt Regular" w:hAnsi="Theinhardt Regular"/>
          <w:spacing w:val="39"/>
          <w:sz w:val="18"/>
        </w:rPr>
        <w:t> </w:t>
      </w:r>
      <w:r>
        <w:rPr>
          <w:rFonts w:ascii="Theinhardt Regular" w:hAnsi="Theinhardt Regular"/>
          <w:spacing w:val="-2"/>
          <w:sz w:val="18"/>
        </w:rPr>
        <w:t>Graubünden</w:t>
      </w:r>
      <w:r>
        <w:rPr>
          <w:rFonts w:ascii="Theinhardt Regular" w:hAnsi="Theinhardt Regular"/>
          <w:spacing w:val="34"/>
          <w:sz w:val="18"/>
        </w:rPr>
        <w:t> </w:t>
      </w:r>
      <w:r>
        <w:rPr>
          <w:rFonts w:ascii="Theinhardt Regular" w:hAnsi="Theinhardt Regular"/>
          <w:spacing w:val="-2"/>
          <w:sz w:val="18"/>
        </w:rPr>
        <w:t>errichtete</w:t>
      </w:r>
      <w:r>
        <w:rPr>
          <w:rFonts w:ascii="Theinhardt Regular" w:hAnsi="Theinhardt Regular"/>
          <w:spacing w:val="35"/>
          <w:sz w:val="18"/>
        </w:rPr>
        <w:t> </w:t>
      </w:r>
      <w:r>
        <w:rPr>
          <w:rFonts w:ascii="Theinhardt Regular" w:hAnsi="Theinhardt Regular"/>
          <w:spacing w:val="-1"/>
          <w:sz w:val="18"/>
        </w:rPr>
        <w:t>die</w:t>
      </w:r>
      <w:r>
        <w:rPr>
          <w:rFonts w:ascii="Theinhardt Regular" w:hAnsi="Theinhardt Regular"/>
          <w:spacing w:val="34"/>
          <w:sz w:val="18"/>
        </w:rPr>
        <w:t> </w:t>
      </w:r>
      <w:r>
        <w:rPr>
          <w:rFonts w:ascii="Theinhardt Regular" w:hAnsi="Theinhardt Regular"/>
          <w:spacing w:val="-1"/>
          <w:sz w:val="18"/>
        </w:rPr>
        <w:t>ABZ</w:t>
      </w:r>
      <w:r>
        <w:rPr>
          <w:rFonts w:ascii="Theinhardt Regular" w:hAnsi="Theinhardt Regular"/>
          <w:spacing w:val="35"/>
          <w:sz w:val="18"/>
        </w:rPr>
        <w:t> </w:t>
      </w:r>
      <w:r>
        <w:rPr>
          <w:rFonts w:ascii="Theinhardt Regular" w:hAnsi="Theinhardt Regular"/>
          <w:spacing w:val="-1"/>
          <w:sz w:val="18"/>
        </w:rPr>
        <w:t>die</w:t>
      </w:r>
      <w:r>
        <w:rPr>
          <w:rFonts w:ascii="Theinhardt Regular" w:hAnsi="Theinhardt Regular"/>
          <w:spacing w:val="35"/>
          <w:sz w:val="18"/>
        </w:rPr>
        <w:t> </w:t>
      </w:r>
      <w:r>
        <w:rPr>
          <w:rFonts w:ascii="Theinhardt Regular" w:hAnsi="Theinhardt Regular"/>
          <w:spacing w:val="-2"/>
          <w:sz w:val="18"/>
        </w:rPr>
        <w:t>ersten</w:t>
      </w:r>
      <w:r>
        <w:rPr>
          <w:rFonts w:ascii="Theinhardt Regular" w:hAnsi="Theinhardt Regular"/>
          <w:spacing w:val="26"/>
          <w:sz w:val="18"/>
        </w:rPr>
        <w:t> </w:t>
      </w:r>
      <w:r>
        <w:rPr>
          <w:rFonts w:ascii="Theinhardt Regular" w:hAnsi="Theinhardt Regular"/>
          <w:spacing w:val="-2"/>
          <w:sz w:val="18"/>
        </w:rPr>
        <w:t>PEB-Neubauten</w:t>
      </w:r>
      <w:r>
        <w:rPr>
          <w:rFonts w:ascii="Theinhardt Regular" w:hAnsi="Theinhardt Regular"/>
          <w:spacing w:val="19"/>
          <w:sz w:val="18"/>
        </w:rPr>
        <w:t> </w:t>
      </w:r>
      <w:r>
        <w:rPr>
          <w:rFonts w:ascii="Theinhardt Regular" w:hAnsi="Theinhardt Regular"/>
          <w:spacing w:val="-2"/>
          <w:sz w:val="18"/>
        </w:rPr>
        <w:t>der</w:t>
      </w:r>
      <w:r>
        <w:rPr>
          <w:rFonts w:ascii="Theinhardt Regular" w:hAnsi="Theinhardt Regular"/>
          <w:spacing w:val="19"/>
          <w:sz w:val="18"/>
        </w:rPr>
        <w:t> </w:t>
      </w:r>
      <w:r>
        <w:rPr>
          <w:rFonts w:ascii="Theinhardt Regular" w:hAnsi="Theinhardt Regular"/>
          <w:spacing w:val="-1"/>
          <w:sz w:val="18"/>
        </w:rPr>
        <w:t>Stadt</w:t>
      </w:r>
      <w:r>
        <w:rPr>
          <w:rFonts w:ascii="Theinhardt Regular" w:hAnsi="Theinhardt Regular"/>
          <w:spacing w:val="19"/>
          <w:sz w:val="18"/>
        </w:rPr>
        <w:t> </w:t>
      </w:r>
      <w:r>
        <w:rPr>
          <w:rFonts w:ascii="Theinhardt Regular" w:hAnsi="Theinhardt Regular"/>
          <w:spacing w:val="-2"/>
          <w:sz w:val="18"/>
        </w:rPr>
        <w:t>Zürich.</w:t>
      </w:r>
      <w:r>
        <w:rPr>
          <w:rFonts w:ascii="Theinhardt Regular" w:hAnsi="Theinhardt Regular"/>
          <w:spacing w:val="8"/>
          <w:sz w:val="18"/>
        </w:rPr>
        <w:t> </w:t>
      </w:r>
      <w:r>
        <w:rPr>
          <w:rFonts w:ascii="Theinhardt Regular" w:hAnsi="Theinhardt Regular"/>
          <w:spacing w:val="-2"/>
          <w:sz w:val="18"/>
        </w:rPr>
        <w:t>Die</w:t>
      </w:r>
      <w:r>
        <w:rPr>
          <w:rFonts w:ascii="Theinhardt Regular" w:hAnsi="Theinhardt Regular"/>
          <w:spacing w:val="19"/>
          <w:sz w:val="18"/>
        </w:rPr>
        <w:t> </w:t>
      </w:r>
      <w:r>
        <w:rPr>
          <w:rFonts w:ascii="Theinhardt Regular" w:hAnsi="Theinhardt Regular"/>
          <w:spacing w:val="-4"/>
          <w:sz w:val="18"/>
        </w:rPr>
        <w:t>PEB-</w:t>
      </w:r>
      <w:r>
        <w:rPr>
          <w:rFonts w:ascii="Theinhardt Regular" w:hAnsi="Theinhardt Regular"/>
          <w:spacing w:val="28"/>
          <w:sz w:val="18"/>
        </w:rPr>
        <w:t> </w:t>
      </w:r>
      <w:r>
        <w:rPr>
          <w:rFonts w:ascii="Theinhardt Regular" w:hAnsi="Theinhardt Regular"/>
          <w:spacing w:val="-2"/>
          <w:sz w:val="18"/>
        </w:rPr>
        <w:t>Siedlung</w:t>
      </w:r>
      <w:r>
        <w:rPr>
          <w:rFonts w:ascii="Theinhardt Regular" w:hAnsi="Theinhardt Regular"/>
          <w:spacing w:val="17"/>
          <w:sz w:val="18"/>
        </w:rPr>
        <w:t> </w:t>
      </w:r>
      <w:r>
        <w:rPr>
          <w:rFonts w:ascii="Theinhardt Regular" w:hAnsi="Theinhardt Regular"/>
          <w:spacing w:val="-2"/>
          <w:sz w:val="18"/>
        </w:rPr>
        <w:t>der</w:t>
      </w:r>
      <w:r>
        <w:rPr>
          <w:rFonts w:ascii="Theinhardt Regular" w:hAnsi="Theinhardt Regular"/>
          <w:spacing w:val="17"/>
          <w:sz w:val="18"/>
        </w:rPr>
        <w:t> </w:t>
      </w:r>
      <w:r>
        <w:rPr>
          <w:rFonts w:ascii="Theinhardt Regular" w:hAnsi="Theinhardt Regular"/>
          <w:spacing w:val="-1"/>
          <w:sz w:val="18"/>
        </w:rPr>
        <w:t>ABZ</w:t>
      </w:r>
      <w:r>
        <w:rPr>
          <w:rFonts w:ascii="Theinhardt Regular" w:hAnsi="Theinhardt Regular"/>
          <w:spacing w:val="17"/>
          <w:sz w:val="18"/>
        </w:rPr>
        <w:t> </w:t>
      </w:r>
      <w:r>
        <w:rPr>
          <w:rFonts w:ascii="Theinhardt Regular" w:hAnsi="Theinhardt Regular"/>
          <w:spacing w:val="-3"/>
          <w:sz w:val="18"/>
        </w:rPr>
        <w:t>wird</w:t>
      </w:r>
      <w:r>
        <w:rPr>
          <w:rFonts w:ascii="Theinhardt Regular" w:hAnsi="Theinhardt Regular"/>
          <w:spacing w:val="17"/>
          <w:sz w:val="18"/>
        </w:rPr>
        <w:t> </w:t>
      </w:r>
      <w:r>
        <w:rPr>
          <w:rFonts w:ascii="Theinhardt Regular" w:hAnsi="Theinhardt Regular"/>
          <w:spacing w:val="-1"/>
          <w:sz w:val="18"/>
        </w:rPr>
        <w:t>mit</w:t>
      </w:r>
      <w:r>
        <w:rPr>
          <w:rFonts w:ascii="Theinhardt Regular" w:hAnsi="Theinhardt Regular"/>
          <w:spacing w:val="17"/>
          <w:sz w:val="18"/>
        </w:rPr>
        <w:t> </w:t>
      </w:r>
      <w:r>
        <w:rPr>
          <w:rFonts w:ascii="Theinhardt Regular" w:hAnsi="Theinhardt Regular"/>
          <w:spacing w:val="-2"/>
          <w:sz w:val="18"/>
        </w:rPr>
        <w:t>dem</w:t>
      </w:r>
      <w:r>
        <w:rPr>
          <w:rFonts w:ascii="Theinhardt Regular" w:hAnsi="Theinhardt Regular"/>
          <w:spacing w:val="17"/>
          <w:sz w:val="18"/>
        </w:rPr>
        <w:t> </w:t>
      </w:r>
      <w:r>
        <w:rPr>
          <w:rFonts w:ascii="Theinhardt Regular" w:hAnsi="Theinhardt Regular"/>
          <w:spacing w:val="-1"/>
          <w:sz w:val="18"/>
        </w:rPr>
        <w:t>1.</w:t>
      </w:r>
      <w:r>
        <w:rPr>
          <w:rFonts w:ascii="Theinhardt Regular" w:hAnsi="Theinhardt Regular"/>
          <w:spacing w:val="6"/>
          <w:sz w:val="18"/>
        </w:rPr>
        <w:t> </w:t>
      </w:r>
      <w:r>
        <w:rPr>
          <w:rFonts w:ascii="Theinhardt Regular" w:hAnsi="Theinhardt Regular"/>
          <w:spacing w:val="-2"/>
          <w:sz w:val="18"/>
        </w:rPr>
        <w:t>Norman</w:t>
      </w:r>
      <w:r>
        <w:rPr>
          <w:rFonts w:ascii="Theinhardt Regular" w:hAnsi="Theinhardt Regular"/>
          <w:spacing w:val="25"/>
          <w:sz w:val="18"/>
        </w:rPr>
        <w:t> </w:t>
      </w:r>
      <w:r>
        <w:rPr>
          <w:rFonts w:ascii="Theinhardt Regular" w:hAnsi="Theinhardt Regular"/>
          <w:spacing w:val="-3"/>
          <w:sz w:val="18"/>
        </w:rPr>
        <w:t>Foster</w:t>
      </w:r>
      <w:r>
        <w:rPr>
          <w:rFonts w:ascii="Theinhardt Regular" w:hAnsi="Theinhardt Regular"/>
          <w:spacing w:val="-4"/>
          <w:sz w:val="18"/>
        </w:rPr>
        <w:t> </w:t>
      </w:r>
      <w:r>
        <w:rPr>
          <w:rFonts w:ascii="Theinhardt Regular" w:hAnsi="Theinhardt Regular"/>
          <w:spacing w:val="-2"/>
          <w:sz w:val="18"/>
        </w:rPr>
        <w:t>Solar</w:t>
      </w:r>
      <w:r>
        <w:rPr>
          <w:rFonts w:ascii="Theinhardt Regular" w:hAnsi="Theinhardt Regular"/>
          <w:spacing w:val="-4"/>
          <w:sz w:val="18"/>
        </w:rPr>
        <w:t> Award </w:t>
      </w:r>
      <w:r>
        <w:rPr>
          <w:rFonts w:ascii="Theinhardt Regular" w:hAnsi="Theinhardt Regular"/>
          <w:spacing w:val="-2"/>
          <w:sz w:val="18"/>
        </w:rPr>
        <w:t>2016</w:t>
      </w:r>
      <w:r>
        <w:rPr>
          <w:rFonts w:ascii="Theinhardt Regular" w:hAnsi="Theinhardt Regular"/>
          <w:spacing w:val="-4"/>
          <w:sz w:val="18"/>
        </w:rPr>
        <w:t> </w:t>
      </w:r>
      <w:r>
        <w:rPr>
          <w:rFonts w:ascii="Theinhardt Regular" w:hAnsi="Theinhardt Regular"/>
          <w:spacing w:val="-2"/>
          <w:sz w:val="18"/>
        </w:rPr>
        <w:t>ausgezeichnet.</w:t>
      </w:r>
    </w:p>
    <w:p>
      <w:pPr>
        <w:pStyle w:val="BodyText"/>
        <w:spacing w:line="230" w:lineRule="exact" w:before="74"/>
        <w:ind w:left="107" w:right="0" w:firstLine="0"/>
        <w:jc w:val="both"/>
        <w:rPr>
          <w:i w:val="0"/>
        </w:rPr>
      </w:pPr>
      <w:r>
        <w:rPr>
          <w:i w:val="0"/>
        </w:rPr>
        <w:br w:type="column"/>
      </w:r>
      <w:r>
        <w:rPr>
          <w:spacing w:val="-1"/>
        </w:rPr>
        <w:t>Avec</w:t>
      </w:r>
      <w:r>
        <w:rPr>
          <w:spacing w:val="21"/>
        </w:rPr>
        <w:t> </w:t>
      </w:r>
      <w:r>
        <w:rPr/>
        <w:t>un</w:t>
      </w:r>
      <w:r>
        <w:rPr>
          <w:spacing w:val="21"/>
        </w:rPr>
        <w:t> </w:t>
      </w:r>
      <w:r>
        <w:rPr>
          <w:spacing w:val="-1"/>
        </w:rPr>
        <w:t>total</w:t>
      </w:r>
      <w:r>
        <w:rPr>
          <w:spacing w:val="21"/>
        </w:rPr>
        <w:t> </w:t>
      </w:r>
      <w:r>
        <w:rPr>
          <w:spacing w:val="-2"/>
        </w:rPr>
        <w:t>de</w:t>
      </w:r>
      <w:r>
        <w:rPr>
          <w:spacing w:val="21"/>
        </w:rPr>
        <w:t> </w:t>
      </w:r>
      <w:r>
        <w:rPr/>
        <w:t>4’552</w:t>
      </w:r>
      <w:r>
        <w:rPr>
          <w:spacing w:val="21"/>
        </w:rPr>
        <w:t> </w:t>
      </w:r>
      <w:r>
        <w:rPr/>
        <w:t>appartements,</w:t>
      </w:r>
      <w:r>
        <w:rPr>
          <w:spacing w:val="14"/>
        </w:rPr>
        <w:t> </w:t>
      </w:r>
      <w:r>
        <w:rPr/>
        <w:t>ABZ</w:t>
      </w:r>
      <w:r>
        <w:rPr>
          <w:spacing w:val="24"/>
        </w:rPr>
        <w:t> </w:t>
      </w:r>
      <w:r>
        <w:rPr>
          <w:spacing w:val="-1"/>
        </w:rPr>
        <w:t>est</w:t>
      </w:r>
      <w:r>
        <w:rPr>
          <w:spacing w:val="-11"/>
        </w:rPr>
        <w:t> </w:t>
      </w:r>
      <w:r>
        <w:rPr/>
        <w:t>la</w:t>
      </w:r>
      <w:r>
        <w:rPr>
          <w:spacing w:val="-11"/>
        </w:rPr>
        <w:t> </w:t>
      </w:r>
      <w:r>
        <w:rPr/>
        <w:t>plus</w:t>
      </w:r>
      <w:r>
        <w:rPr>
          <w:spacing w:val="-11"/>
        </w:rPr>
        <w:t> </w:t>
      </w:r>
      <w:r>
        <w:rPr>
          <w:spacing w:val="-1"/>
        </w:rPr>
        <w:t>grande</w:t>
      </w:r>
      <w:r>
        <w:rPr>
          <w:spacing w:val="-11"/>
        </w:rPr>
        <w:t> </w:t>
      </w:r>
      <w:r>
        <w:rPr>
          <w:spacing w:val="-1"/>
        </w:rPr>
        <w:t>coopérative</w:t>
      </w:r>
      <w:r>
        <w:rPr>
          <w:spacing w:val="-11"/>
        </w:rPr>
        <w:t> </w:t>
      </w:r>
      <w:r>
        <w:rPr/>
        <w:t>d’habitation</w:t>
      </w:r>
      <w:r>
        <w:rPr>
          <w:spacing w:val="-11"/>
        </w:rPr>
        <w:t> </w:t>
      </w:r>
      <w:r>
        <w:rPr/>
        <w:t>et</w:t>
      </w:r>
      <w:r>
        <w:rPr>
          <w:spacing w:val="23"/>
        </w:rPr>
        <w:t> </w:t>
      </w:r>
      <w:r>
        <w:rPr>
          <w:spacing w:val="-2"/>
        </w:rPr>
        <w:t>de</w:t>
      </w:r>
      <w:r>
        <w:rPr>
          <w:spacing w:val="20"/>
        </w:rPr>
        <w:t> </w:t>
      </w:r>
      <w:r>
        <w:rPr>
          <w:spacing w:val="-1"/>
        </w:rPr>
        <w:t>construction</w:t>
      </w:r>
      <w:r>
        <w:rPr>
          <w:spacing w:val="20"/>
        </w:rPr>
        <w:t> </w:t>
      </w:r>
      <w:r>
        <w:rPr>
          <w:spacing w:val="-1"/>
        </w:rPr>
        <w:t>en</w:t>
      </w:r>
      <w:r>
        <w:rPr>
          <w:spacing w:val="20"/>
        </w:rPr>
        <w:t> </w:t>
      </w:r>
      <w:r>
        <w:rPr>
          <w:spacing w:val="-1"/>
        </w:rPr>
        <w:t>Suisse</w:t>
      </w:r>
      <w:r>
        <w:rPr>
          <w:spacing w:val="20"/>
        </w:rPr>
        <w:t> </w:t>
      </w:r>
      <w:r>
        <w:rPr/>
        <w:t>et</w:t>
      </w:r>
      <w:r>
        <w:rPr>
          <w:spacing w:val="20"/>
        </w:rPr>
        <w:t> </w:t>
      </w:r>
      <w:r>
        <w:rPr>
          <w:spacing w:val="-3"/>
        </w:rPr>
        <w:t>s’engage</w:t>
      </w:r>
      <w:r>
        <w:rPr>
          <w:spacing w:val="20"/>
        </w:rPr>
        <w:t> </w:t>
      </w:r>
      <w:r>
        <w:rPr/>
        <w:t>plus</w:t>
      </w:r>
      <w:r>
        <w:rPr>
          <w:spacing w:val="31"/>
        </w:rPr>
        <w:t> </w:t>
      </w:r>
      <w:r>
        <w:rPr>
          <w:spacing w:val="-1"/>
        </w:rPr>
        <w:t>résolument</w:t>
      </w:r>
      <w:r>
        <w:rPr>
          <w:spacing w:val="-6"/>
        </w:rPr>
        <w:t> </w:t>
      </w:r>
      <w:r>
        <w:rPr>
          <w:spacing w:val="-2"/>
        </w:rPr>
        <w:t>que</w:t>
      </w:r>
      <w:r>
        <w:rPr>
          <w:spacing w:val="-6"/>
        </w:rPr>
        <w:t> </w:t>
      </w:r>
      <w:r>
        <w:rPr/>
        <w:t>jamais</w:t>
      </w:r>
      <w:r>
        <w:rPr>
          <w:spacing w:val="-6"/>
        </w:rPr>
        <w:t> </w:t>
      </w:r>
      <w:r>
        <w:rPr>
          <w:spacing w:val="1"/>
        </w:rPr>
        <w:t>au</w:t>
      </w:r>
      <w:r>
        <w:rPr>
          <w:spacing w:val="-6"/>
        </w:rPr>
        <w:t> </w:t>
      </w:r>
      <w:r>
        <w:rPr>
          <w:spacing w:val="-1"/>
        </w:rPr>
        <w:t>respect</w:t>
      </w:r>
      <w:r>
        <w:rPr>
          <w:spacing w:val="-6"/>
        </w:rPr>
        <w:t> </w:t>
      </w:r>
      <w:r>
        <w:rPr>
          <w:spacing w:val="-1"/>
        </w:rPr>
        <w:t>des</w:t>
      </w:r>
      <w:r>
        <w:rPr>
          <w:spacing w:val="-6"/>
        </w:rPr>
        <w:t> </w:t>
      </w:r>
      <w:r>
        <w:rPr>
          <w:spacing w:val="-1"/>
        </w:rPr>
        <w:t>objec-</w:t>
      </w:r>
      <w:r>
        <w:rPr>
          <w:spacing w:val="25"/>
        </w:rPr>
        <w:t> </w:t>
      </w:r>
      <w:r>
        <w:rPr/>
        <w:t>tifs</w:t>
      </w:r>
      <w:r>
        <w:rPr>
          <w:spacing w:val="-2"/>
        </w:rPr>
        <w:t> de </w:t>
      </w:r>
      <w:r>
        <w:rPr/>
        <w:t>la</w:t>
      </w:r>
      <w:r>
        <w:rPr>
          <w:spacing w:val="-2"/>
        </w:rPr>
        <w:t> société </w:t>
      </w:r>
      <w:r>
        <w:rPr/>
        <w:t>à</w:t>
      </w:r>
      <w:r>
        <w:rPr>
          <w:spacing w:val="-2"/>
        </w:rPr>
        <w:t> </w:t>
      </w:r>
      <w:r>
        <w:rPr/>
        <w:t>2’000</w:t>
      </w:r>
      <w:r>
        <w:rPr>
          <w:spacing w:val="-2"/>
        </w:rPr>
        <w:t> </w:t>
      </w:r>
      <w:r>
        <w:rPr/>
        <w:t>watts.</w:t>
      </w:r>
      <w:r>
        <w:rPr>
          <w:spacing w:val="-9"/>
        </w:rPr>
        <w:t> </w:t>
      </w:r>
      <w:r>
        <w:rPr>
          <w:spacing w:val="-5"/>
        </w:rPr>
        <w:t>Le</w:t>
      </w:r>
      <w:r>
        <w:rPr>
          <w:spacing w:val="-2"/>
        </w:rPr>
        <w:t> </w:t>
      </w:r>
      <w:r>
        <w:rPr>
          <w:spacing w:val="-1"/>
        </w:rPr>
        <w:t>program-</w:t>
      </w:r>
      <w:r>
        <w:rPr>
          <w:spacing w:val="35"/>
        </w:rPr>
        <w:t> </w:t>
      </w:r>
      <w:r>
        <w:rPr>
          <w:spacing w:val="-2"/>
        </w:rPr>
        <w:t>me</w:t>
      </w:r>
      <w:r>
        <w:rPr>
          <w:spacing w:val="1"/>
        </w:rPr>
        <w:t> </w:t>
      </w:r>
      <w:r>
        <w:rPr>
          <w:spacing w:val="-2"/>
        </w:rPr>
        <w:t>de</w:t>
      </w:r>
      <w:r>
        <w:rPr>
          <w:spacing w:val="1"/>
        </w:rPr>
        <w:t> </w:t>
      </w:r>
      <w:r>
        <w:rPr>
          <w:spacing w:val="-2"/>
        </w:rPr>
        <w:t>réaménagement</w:t>
      </w:r>
      <w:r>
        <w:rPr>
          <w:spacing w:val="1"/>
        </w:rPr>
        <w:t> </w:t>
      </w:r>
      <w:r>
        <w:rPr/>
        <w:t>2010-2019</w:t>
      </w:r>
      <w:r>
        <w:rPr>
          <w:spacing w:val="1"/>
        </w:rPr>
        <w:t> </w:t>
      </w:r>
      <w:r>
        <w:rPr>
          <w:spacing w:val="-2"/>
        </w:rPr>
        <w:t>accepté</w:t>
      </w:r>
      <w:r>
        <w:rPr>
          <w:spacing w:val="27"/>
        </w:rPr>
        <w:t> </w:t>
      </w:r>
      <w:r>
        <w:rPr/>
        <w:t>par</w:t>
      </w:r>
      <w:r>
        <w:rPr>
          <w:spacing w:val="-6"/>
        </w:rPr>
        <w:t> </w:t>
      </w:r>
      <w:r>
        <w:rPr>
          <w:spacing w:val="-1"/>
        </w:rPr>
        <w:t>les</w:t>
      </w:r>
      <w:r>
        <w:rPr>
          <w:spacing w:val="-6"/>
        </w:rPr>
        <w:t> </w:t>
      </w:r>
      <w:r>
        <w:rPr>
          <w:spacing w:val="-1"/>
        </w:rPr>
        <w:t>sociétaires</w:t>
      </w:r>
      <w:r>
        <w:rPr>
          <w:spacing w:val="-6"/>
        </w:rPr>
        <w:t> </w:t>
      </w:r>
      <w:r>
        <w:rPr>
          <w:spacing w:val="-2"/>
        </w:rPr>
        <w:t>prévoit</w:t>
      </w:r>
      <w:r>
        <w:rPr>
          <w:spacing w:val="-6"/>
        </w:rPr>
        <w:t> </w:t>
      </w:r>
      <w:r>
        <w:rPr/>
        <w:t>la</w:t>
      </w:r>
      <w:r>
        <w:rPr>
          <w:spacing w:val="-6"/>
        </w:rPr>
        <w:t> </w:t>
      </w:r>
      <w:r>
        <w:rPr>
          <w:spacing w:val="-2"/>
        </w:rPr>
        <w:t>rénovation</w:t>
      </w:r>
      <w:r>
        <w:rPr>
          <w:spacing w:val="-6"/>
        </w:rPr>
        <w:t> </w:t>
      </w:r>
      <w:r>
        <w:rPr>
          <w:spacing w:val="-2"/>
        </w:rPr>
        <w:t>et/ou</w:t>
      </w:r>
      <w:r>
        <w:rPr>
          <w:spacing w:val="31"/>
        </w:rPr>
        <w:t> </w:t>
      </w:r>
      <w:r>
        <w:rPr>
          <w:spacing w:val="-2"/>
        </w:rPr>
        <w:t>le</w:t>
      </w:r>
      <w:r>
        <w:rPr>
          <w:spacing w:val="4"/>
        </w:rPr>
        <w:t> </w:t>
      </w:r>
      <w:r>
        <w:rPr>
          <w:spacing w:val="-2"/>
        </w:rPr>
        <w:t>remplacement</w:t>
      </w:r>
      <w:r>
        <w:rPr>
          <w:spacing w:val="4"/>
        </w:rPr>
        <w:t> </w:t>
      </w:r>
      <w:r>
        <w:rPr>
          <w:spacing w:val="-2"/>
        </w:rPr>
        <w:t>de</w:t>
      </w:r>
      <w:r>
        <w:rPr>
          <w:spacing w:val="4"/>
        </w:rPr>
        <w:t> </w:t>
      </w:r>
      <w:r>
        <w:rPr>
          <w:spacing w:val="-1"/>
        </w:rPr>
        <w:t>près</w:t>
      </w:r>
      <w:r>
        <w:rPr>
          <w:spacing w:val="4"/>
        </w:rPr>
        <w:t> </w:t>
      </w:r>
      <w:r>
        <w:rPr/>
        <w:t>d’un</w:t>
      </w:r>
      <w:r>
        <w:rPr>
          <w:spacing w:val="4"/>
        </w:rPr>
        <w:t> </w:t>
      </w:r>
      <w:r>
        <w:rPr>
          <w:spacing w:val="1"/>
        </w:rPr>
        <w:t>quart</w:t>
      </w:r>
      <w:r>
        <w:rPr>
          <w:spacing w:val="4"/>
        </w:rPr>
        <w:t> </w:t>
      </w:r>
      <w:r>
        <w:rPr/>
        <w:t>du</w:t>
      </w:r>
      <w:r>
        <w:rPr>
          <w:spacing w:val="4"/>
        </w:rPr>
        <w:t> </w:t>
      </w:r>
      <w:r>
        <w:rPr>
          <w:spacing w:val="-1"/>
        </w:rPr>
        <w:t>parc</w:t>
      </w:r>
      <w:r>
        <w:rPr>
          <w:spacing w:val="31"/>
        </w:rPr>
        <w:t> </w:t>
      </w:r>
      <w:r>
        <w:rPr>
          <w:spacing w:val="-1"/>
        </w:rPr>
        <w:t>immobilier</w:t>
      </w:r>
      <w:r>
        <w:rPr>
          <w:spacing w:val="20"/>
        </w:rPr>
        <w:t> </w:t>
      </w:r>
      <w:r>
        <w:rPr/>
        <w:t>d’ABZ.</w:t>
      </w:r>
      <w:r>
        <w:rPr>
          <w:spacing w:val="12"/>
        </w:rPr>
        <w:t> </w:t>
      </w:r>
      <w:r>
        <w:rPr>
          <w:spacing w:val="-3"/>
        </w:rPr>
        <w:t>Les</w:t>
      </w:r>
      <w:r>
        <w:rPr>
          <w:spacing w:val="20"/>
        </w:rPr>
        <w:t> </w:t>
      </w:r>
      <w:r>
        <w:rPr>
          <w:spacing w:val="-1"/>
        </w:rPr>
        <w:t>bâtiments</w:t>
      </w:r>
      <w:r>
        <w:rPr>
          <w:spacing w:val="20"/>
        </w:rPr>
        <w:t> </w:t>
      </w:r>
      <w:r>
        <w:rPr>
          <w:spacing w:val="-2"/>
        </w:rPr>
        <w:t>de</w:t>
      </w:r>
      <w:r>
        <w:rPr>
          <w:spacing w:val="20"/>
        </w:rPr>
        <w:t> </w:t>
      </w:r>
      <w:r>
        <w:rPr/>
        <w:t>la</w:t>
      </w:r>
      <w:r>
        <w:rPr>
          <w:spacing w:val="20"/>
        </w:rPr>
        <w:t> </w:t>
      </w:r>
      <w:r>
        <w:rPr/>
        <w:t>Bal-</w:t>
      </w:r>
      <w:r>
        <w:rPr>
          <w:spacing w:val="29"/>
        </w:rPr>
        <w:t> </w:t>
      </w:r>
      <w:r>
        <w:rPr>
          <w:spacing w:val="-1"/>
        </w:rPr>
        <w:t>berstrasse</w:t>
      </w:r>
      <w:r>
        <w:rPr>
          <w:spacing w:val="18"/>
        </w:rPr>
        <w:t> </w:t>
      </w:r>
      <w:r>
        <w:rPr/>
        <w:t>ont</w:t>
      </w:r>
      <w:r>
        <w:rPr>
          <w:spacing w:val="18"/>
        </w:rPr>
        <w:t> </w:t>
      </w:r>
      <w:r>
        <w:rPr>
          <w:spacing w:val="-2"/>
        </w:rPr>
        <w:t>été</w:t>
      </w:r>
      <w:r>
        <w:rPr>
          <w:spacing w:val="18"/>
        </w:rPr>
        <w:t> </w:t>
      </w:r>
      <w:r>
        <w:rPr>
          <w:spacing w:val="-1"/>
        </w:rPr>
        <w:t>les</w:t>
      </w:r>
      <w:r>
        <w:rPr>
          <w:spacing w:val="18"/>
        </w:rPr>
        <w:t> </w:t>
      </w:r>
      <w:r>
        <w:rPr>
          <w:spacing w:val="-2"/>
        </w:rPr>
        <w:t>premiers</w:t>
      </w:r>
      <w:r>
        <w:rPr>
          <w:spacing w:val="18"/>
        </w:rPr>
        <w:t> </w:t>
      </w:r>
      <w:r>
        <w:rPr/>
        <w:t>à</w:t>
      </w:r>
      <w:r>
        <w:rPr>
          <w:spacing w:val="18"/>
        </w:rPr>
        <w:t> </w:t>
      </w:r>
      <w:r>
        <w:rPr>
          <w:spacing w:val="-1"/>
        </w:rPr>
        <w:t>laisser</w:t>
      </w:r>
      <w:r>
        <w:rPr>
          <w:spacing w:val="18"/>
        </w:rPr>
        <w:t> </w:t>
      </w:r>
      <w:r>
        <w:rPr/>
        <w:t>sa</w:t>
      </w:r>
      <w:r>
        <w:rPr>
          <w:spacing w:val="43"/>
        </w:rPr>
        <w:t> </w:t>
      </w:r>
      <w:r>
        <w:rPr>
          <w:spacing w:val="-1"/>
        </w:rPr>
        <w:t>place</w:t>
      </w:r>
      <w:r>
        <w:rPr>
          <w:spacing w:val="-9"/>
        </w:rPr>
        <w:t> </w:t>
      </w:r>
      <w:r>
        <w:rPr/>
        <w:t>à</w:t>
      </w:r>
      <w:r>
        <w:rPr>
          <w:spacing w:val="-9"/>
        </w:rPr>
        <w:t> </w:t>
      </w:r>
      <w:r>
        <w:rPr/>
        <w:t>un</w:t>
      </w:r>
      <w:r>
        <w:rPr>
          <w:spacing w:val="-9"/>
        </w:rPr>
        <w:t> </w:t>
      </w:r>
      <w:r>
        <w:rPr>
          <w:spacing w:val="-1"/>
        </w:rPr>
        <w:t>nouvel</w:t>
      </w:r>
      <w:r>
        <w:rPr>
          <w:spacing w:val="-9"/>
        </w:rPr>
        <w:t> </w:t>
      </w:r>
      <w:r>
        <w:rPr>
          <w:spacing w:val="-1"/>
        </w:rPr>
        <w:t>immeuble.</w:t>
      </w:r>
      <w:r>
        <w:rPr>
          <w:spacing w:val="-16"/>
        </w:rPr>
        <w:t> </w:t>
      </w:r>
      <w:r>
        <w:rPr>
          <w:spacing w:val="-3"/>
        </w:rPr>
        <w:t>Les</w:t>
      </w:r>
      <w:r>
        <w:rPr>
          <w:spacing w:val="-9"/>
        </w:rPr>
        <w:t> </w:t>
      </w:r>
      <w:r>
        <w:rPr/>
        <w:t>68</w:t>
      </w:r>
      <w:r>
        <w:rPr>
          <w:spacing w:val="-9"/>
        </w:rPr>
        <w:t> </w:t>
      </w:r>
      <w:r>
        <w:rPr/>
        <w:t>apparte-</w:t>
      </w:r>
      <w:r>
        <w:rPr>
          <w:spacing w:val="28"/>
        </w:rPr>
        <w:t> </w:t>
      </w:r>
      <w:r>
        <w:rPr>
          <w:spacing w:val="-1"/>
        </w:rPr>
        <w:t>ments</w:t>
      </w:r>
      <w:r>
        <w:rPr>
          <w:spacing w:val="5"/>
        </w:rPr>
        <w:t> </w:t>
      </w:r>
      <w:r>
        <w:rPr/>
        <w:t>ainsi</w:t>
      </w:r>
      <w:r>
        <w:rPr>
          <w:spacing w:val="5"/>
        </w:rPr>
        <w:t> </w:t>
      </w:r>
      <w:r>
        <w:rPr>
          <w:spacing w:val="-2"/>
        </w:rPr>
        <w:t>que</w:t>
      </w:r>
      <w:r>
        <w:rPr>
          <w:spacing w:val="5"/>
        </w:rPr>
        <w:t> </w:t>
      </w:r>
      <w:r>
        <w:rPr>
          <w:spacing w:val="-1"/>
        </w:rPr>
        <w:t>les</w:t>
      </w:r>
      <w:r>
        <w:rPr>
          <w:spacing w:val="5"/>
        </w:rPr>
        <w:t> </w:t>
      </w:r>
      <w:r>
        <w:rPr>
          <w:spacing w:val="-1"/>
        </w:rPr>
        <w:t>espaces</w:t>
      </w:r>
      <w:r>
        <w:rPr>
          <w:spacing w:val="5"/>
        </w:rPr>
        <w:t> </w:t>
      </w:r>
      <w:r>
        <w:rPr/>
        <w:t>mis</w:t>
      </w:r>
      <w:r>
        <w:rPr>
          <w:spacing w:val="5"/>
        </w:rPr>
        <w:t> </w:t>
      </w:r>
      <w:r>
        <w:rPr>
          <w:spacing w:val="-1"/>
        </w:rPr>
        <w:t>en</w:t>
      </w:r>
      <w:r>
        <w:rPr>
          <w:spacing w:val="5"/>
        </w:rPr>
        <w:t> </w:t>
      </w:r>
      <w:r>
        <w:rPr>
          <w:spacing w:val="-1"/>
        </w:rPr>
        <w:t>location</w:t>
      </w:r>
      <w:r>
        <w:rPr>
          <w:spacing w:val="23"/>
        </w:rPr>
        <w:t> </w:t>
      </w:r>
      <w:r>
        <w:rPr/>
        <w:t>ont</w:t>
      </w:r>
      <w:r>
        <w:rPr>
          <w:spacing w:val="-3"/>
        </w:rPr>
        <w:t> </w:t>
      </w:r>
      <w:r>
        <w:rPr>
          <w:spacing w:val="-1"/>
        </w:rPr>
        <w:t>une</w:t>
      </w:r>
      <w:r>
        <w:rPr>
          <w:spacing w:val="-3"/>
        </w:rPr>
        <w:t> </w:t>
      </w:r>
      <w:r>
        <w:rPr>
          <w:spacing w:val="1"/>
        </w:rPr>
        <w:t>surface</w:t>
      </w:r>
      <w:r>
        <w:rPr>
          <w:spacing w:val="-3"/>
        </w:rPr>
        <w:t> </w:t>
      </w:r>
      <w:r>
        <w:rPr>
          <w:spacing w:val="-2"/>
        </w:rPr>
        <w:t>de</w:t>
      </w:r>
      <w:r>
        <w:rPr>
          <w:spacing w:val="-3"/>
        </w:rPr>
        <w:t> référence </w:t>
      </w:r>
      <w:r>
        <w:rPr>
          <w:spacing w:val="-2"/>
        </w:rPr>
        <w:t>énergétique</w:t>
      </w:r>
      <w:r>
        <w:rPr>
          <w:spacing w:val="-3"/>
        </w:rPr>
        <w:t> </w:t>
      </w:r>
      <w:r>
        <w:rPr>
          <w:spacing w:val="-2"/>
        </w:rPr>
        <w:t>de</w:t>
      </w:r>
      <w:r>
        <w:rPr>
          <w:spacing w:val="23"/>
        </w:rPr>
        <w:t> </w:t>
      </w:r>
      <w:r>
        <w:rPr/>
        <w:t>10’392</w:t>
      </w:r>
      <w:r>
        <w:rPr>
          <w:spacing w:val="2"/>
        </w:rPr>
        <w:t> </w:t>
      </w:r>
      <w:r>
        <w:rPr>
          <w:spacing w:val="-1"/>
        </w:rPr>
        <w:t>m</w:t>
      </w:r>
      <w:r>
        <w:rPr>
          <w:spacing w:val="-1"/>
          <w:position w:val="6"/>
          <w:sz w:val="10"/>
          <w:szCs w:val="10"/>
        </w:rPr>
        <w:t>2</w:t>
      </w:r>
      <w:r>
        <w:rPr>
          <w:spacing w:val="-1"/>
        </w:rPr>
        <w:t>.</w:t>
      </w:r>
      <w:r>
        <w:rPr>
          <w:i w:val="0"/>
        </w:rPr>
      </w:r>
    </w:p>
    <w:p>
      <w:pPr>
        <w:pStyle w:val="BodyText"/>
        <w:spacing w:line="232" w:lineRule="auto" w:before="14"/>
        <w:ind w:right="0"/>
        <w:jc w:val="both"/>
        <w:rPr>
          <w:i w:val="0"/>
        </w:rPr>
      </w:pPr>
      <w:r>
        <w:rPr>
          <w:spacing w:val="-3"/>
        </w:rPr>
        <w:t>Les</w:t>
      </w:r>
      <w:r>
        <w:rPr>
          <w:spacing w:val="2"/>
        </w:rPr>
        <w:t> </w:t>
      </w:r>
      <w:r>
        <w:rPr>
          <w:spacing w:val="-1"/>
        </w:rPr>
        <w:t>façades</w:t>
      </w:r>
      <w:r>
        <w:rPr>
          <w:spacing w:val="2"/>
        </w:rPr>
        <w:t> </w:t>
      </w:r>
      <w:r>
        <w:rPr>
          <w:spacing w:val="-1"/>
        </w:rPr>
        <w:t>en</w:t>
      </w:r>
      <w:r>
        <w:rPr>
          <w:spacing w:val="2"/>
        </w:rPr>
        <w:t> </w:t>
      </w:r>
      <w:r>
        <w:rPr/>
        <w:t>bois</w:t>
      </w:r>
      <w:r>
        <w:rPr>
          <w:spacing w:val="2"/>
        </w:rPr>
        <w:t> </w:t>
      </w:r>
      <w:r>
        <w:rPr>
          <w:spacing w:val="-1"/>
        </w:rPr>
        <w:t>sont</w:t>
      </w:r>
      <w:r>
        <w:rPr>
          <w:spacing w:val="2"/>
        </w:rPr>
        <w:t> </w:t>
      </w:r>
      <w:r>
        <w:rPr>
          <w:spacing w:val="-1"/>
        </w:rPr>
        <w:t>simples</w:t>
      </w:r>
      <w:r>
        <w:rPr>
          <w:spacing w:val="2"/>
        </w:rPr>
        <w:t> </w:t>
      </w:r>
      <w:r>
        <w:rPr/>
        <w:t>et</w:t>
      </w:r>
      <w:r>
        <w:rPr>
          <w:spacing w:val="2"/>
        </w:rPr>
        <w:t> </w:t>
      </w:r>
      <w:r>
        <w:rPr>
          <w:spacing w:val="-1"/>
        </w:rPr>
        <w:t>disc-</w:t>
      </w:r>
      <w:r>
        <w:rPr>
          <w:spacing w:val="31"/>
        </w:rPr>
        <w:t> </w:t>
      </w:r>
      <w:r>
        <w:rPr>
          <w:spacing w:val="-1"/>
        </w:rPr>
        <w:t>rètes.</w:t>
      </w:r>
      <w:r>
        <w:rPr>
          <w:spacing w:val="39"/>
        </w:rPr>
        <w:t> </w:t>
      </w:r>
      <w:r>
        <w:rPr>
          <w:spacing w:val="-3"/>
        </w:rPr>
        <w:t>Les</w:t>
      </w:r>
      <w:r>
        <w:rPr>
          <w:spacing w:val="47"/>
        </w:rPr>
        <w:t> </w:t>
      </w:r>
      <w:r>
        <w:rPr>
          <w:spacing w:val="-1"/>
        </w:rPr>
        <w:t>traditionnels</w:t>
      </w:r>
      <w:r>
        <w:rPr>
          <w:spacing w:val="46"/>
        </w:rPr>
        <w:t> </w:t>
      </w:r>
      <w:r>
        <w:rPr>
          <w:spacing w:val="-1"/>
        </w:rPr>
        <w:t>toits</w:t>
      </w:r>
      <w:r>
        <w:rPr>
          <w:spacing w:val="47"/>
        </w:rPr>
        <w:t> </w:t>
      </w:r>
      <w:r>
        <w:rPr/>
        <w:t>à</w:t>
      </w:r>
      <w:r>
        <w:rPr>
          <w:spacing w:val="47"/>
        </w:rPr>
        <w:t> </w:t>
      </w:r>
      <w:r>
        <w:rPr>
          <w:spacing w:val="-1"/>
        </w:rPr>
        <w:t>pignon,</w:t>
      </w:r>
      <w:r>
        <w:rPr>
          <w:spacing w:val="39"/>
        </w:rPr>
        <w:t> </w:t>
      </w:r>
      <w:r>
        <w:rPr/>
        <w:t>ty-</w:t>
      </w:r>
      <w:r>
        <w:rPr>
          <w:spacing w:val="31"/>
        </w:rPr>
        <w:t> </w:t>
      </w:r>
      <w:r>
        <w:rPr>
          <w:spacing w:val="-2"/>
        </w:rPr>
        <w:t>piques</w:t>
      </w:r>
      <w:r>
        <w:rPr>
          <w:spacing w:val="-14"/>
        </w:rPr>
        <w:t> </w:t>
      </w:r>
      <w:r>
        <w:rPr>
          <w:spacing w:val="-2"/>
        </w:rPr>
        <w:t>de</w:t>
      </w:r>
      <w:r>
        <w:rPr>
          <w:spacing w:val="-14"/>
        </w:rPr>
        <w:t> </w:t>
      </w:r>
      <w:r>
        <w:rPr>
          <w:spacing w:val="-2"/>
        </w:rPr>
        <w:t>ce</w:t>
      </w:r>
      <w:r>
        <w:rPr>
          <w:spacing w:val="-14"/>
        </w:rPr>
        <w:t> </w:t>
      </w:r>
      <w:r>
        <w:rPr>
          <w:spacing w:val="-2"/>
        </w:rPr>
        <w:t>quartier,</w:t>
      </w:r>
      <w:r>
        <w:rPr>
          <w:spacing w:val="-21"/>
        </w:rPr>
        <w:t> </w:t>
      </w:r>
      <w:r>
        <w:rPr>
          <w:spacing w:val="-1"/>
        </w:rPr>
        <w:t>abritent</w:t>
      </w:r>
      <w:r>
        <w:rPr>
          <w:spacing w:val="-14"/>
        </w:rPr>
        <w:t> </w:t>
      </w:r>
      <w:r>
        <w:rPr>
          <w:spacing w:val="-1"/>
        </w:rPr>
        <w:t>des</w:t>
      </w:r>
      <w:r>
        <w:rPr>
          <w:spacing w:val="-14"/>
        </w:rPr>
        <w:t> </w:t>
      </w:r>
      <w:r>
        <w:rPr>
          <w:spacing w:val="-1"/>
        </w:rPr>
        <w:t>cellules</w:t>
      </w:r>
      <w:r>
        <w:rPr>
          <w:spacing w:val="-14"/>
        </w:rPr>
        <w:t> </w:t>
      </w:r>
      <w:r>
        <w:rPr>
          <w:spacing w:val="1"/>
        </w:rPr>
        <w:t>PV</w:t>
      </w:r>
      <w:r>
        <w:rPr>
          <w:spacing w:val="39"/>
        </w:rPr>
        <w:t> </w:t>
      </w:r>
      <w:r>
        <w:rPr>
          <w:spacing w:val="-1"/>
        </w:rPr>
        <w:t>monocristallines</w:t>
      </w:r>
      <w:r>
        <w:rPr>
          <w:spacing w:val="-5"/>
        </w:rPr>
        <w:t> </w:t>
      </w:r>
      <w:r>
        <w:rPr/>
        <w:t>qui</w:t>
      </w:r>
      <w:r>
        <w:rPr>
          <w:spacing w:val="-5"/>
        </w:rPr>
        <w:t> </w:t>
      </w:r>
      <w:r>
        <w:rPr>
          <w:spacing w:val="-2"/>
        </w:rPr>
        <w:t>s’intègrent</w:t>
      </w:r>
      <w:r>
        <w:rPr>
          <w:spacing w:val="-5"/>
        </w:rPr>
        <w:t> </w:t>
      </w:r>
      <w:r>
        <w:rPr/>
        <w:t>parfaitement</w:t>
      </w:r>
      <w:r>
        <w:rPr>
          <w:spacing w:val="29"/>
        </w:rPr>
        <w:t> </w:t>
      </w:r>
      <w:r>
        <w:rPr/>
        <w:t>à</w:t>
      </w:r>
      <w:r>
        <w:rPr>
          <w:spacing w:val="31"/>
        </w:rPr>
        <w:t> </w:t>
      </w:r>
      <w:r>
        <w:rPr>
          <w:spacing w:val="-2"/>
        </w:rPr>
        <w:t>l’ensemble,</w:t>
      </w:r>
      <w:r>
        <w:rPr>
          <w:spacing w:val="25"/>
        </w:rPr>
        <w:t> </w:t>
      </w:r>
      <w:r>
        <w:rPr/>
        <w:t>tant</w:t>
      </w:r>
      <w:r>
        <w:rPr>
          <w:spacing w:val="31"/>
        </w:rPr>
        <w:t> </w:t>
      </w:r>
      <w:r>
        <w:rPr/>
        <w:t>du</w:t>
      </w:r>
      <w:r>
        <w:rPr>
          <w:spacing w:val="32"/>
        </w:rPr>
        <w:t> </w:t>
      </w:r>
      <w:r>
        <w:rPr/>
        <w:t>point</w:t>
      </w:r>
      <w:r>
        <w:rPr>
          <w:spacing w:val="32"/>
        </w:rPr>
        <w:t> </w:t>
      </w:r>
      <w:r>
        <w:rPr>
          <w:spacing w:val="-2"/>
        </w:rPr>
        <w:t>de</w:t>
      </w:r>
      <w:r>
        <w:rPr>
          <w:spacing w:val="31"/>
        </w:rPr>
        <w:t> </w:t>
      </w:r>
      <w:r>
        <w:rPr>
          <w:spacing w:val="-2"/>
        </w:rPr>
        <w:t>vue</w:t>
      </w:r>
      <w:r>
        <w:rPr>
          <w:spacing w:val="32"/>
        </w:rPr>
        <w:t> </w:t>
      </w:r>
      <w:r>
        <w:rPr>
          <w:spacing w:val="-2"/>
        </w:rPr>
        <w:t>de</w:t>
      </w:r>
      <w:r>
        <w:rPr>
          <w:spacing w:val="27"/>
        </w:rPr>
        <w:t> </w:t>
      </w:r>
      <w:r>
        <w:rPr>
          <w:spacing w:val="-2"/>
        </w:rPr>
        <w:t>l’architecture</w:t>
      </w:r>
      <w:r>
        <w:rPr>
          <w:spacing w:val="44"/>
        </w:rPr>
        <w:t> </w:t>
      </w:r>
      <w:r>
        <w:rPr/>
        <w:t>et</w:t>
      </w:r>
      <w:r>
        <w:rPr>
          <w:spacing w:val="45"/>
        </w:rPr>
        <w:t> </w:t>
      </w:r>
      <w:r>
        <w:rPr>
          <w:spacing w:val="-2"/>
        </w:rPr>
        <w:t>de</w:t>
      </w:r>
      <w:r>
        <w:rPr>
          <w:spacing w:val="44"/>
        </w:rPr>
        <w:t> </w:t>
      </w:r>
      <w:r>
        <w:rPr>
          <w:spacing w:val="-2"/>
        </w:rPr>
        <w:t>l’esthétique</w:t>
      </w:r>
      <w:r>
        <w:rPr>
          <w:spacing w:val="45"/>
        </w:rPr>
        <w:t> </w:t>
      </w:r>
      <w:r>
        <w:rPr>
          <w:spacing w:val="-2"/>
        </w:rPr>
        <w:t>que</w:t>
      </w:r>
      <w:r>
        <w:rPr>
          <w:spacing w:val="45"/>
        </w:rPr>
        <w:t> </w:t>
      </w:r>
      <w:r>
        <w:rPr>
          <w:spacing w:val="-2"/>
        </w:rPr>
        <w:t>de</w:t>
      </w:r>
      <w:r>
        <w:rPr>
          <w:spacing w:val="44"/>
        </w:rPr>
        <w:t> </w:t>
      </w:r>
      <w:r>
        <w:rPr/>
        <w:t>la</w:t>
      </w:r>
      <w:r>
        <w:rPr>
          <w:spacing w:val="49"/>
        </w:rPr>
        <w:t> </w:t>
      </w:r>
      <w:r>
        <w:rPr>
          <w:spacing w:val="-2"/>
        </w:rPr>
        <w:t>technique.</w:t>
      </w:r>
      <w:r>
        <w:rPr>
          <w:spacing w:val="20"/>
        </w:rPr>
        <w:t> </w:t>
      </w:r>
      <w:r>
        <w:rPr>
          <w:spacing w:val="-3"/>
        </w:rPr>
        <w:t>Les</w:t>
      </w:r>
      <w:r>
        <w:rPr>
          <w:spacing w:val="26"/>
        </w:rPr>
        <w:t> </w:t>
      </w:r>
      <w:r>
        <w:rPr>
          <w:spacing w:val="-1"/>
        </w:rPr>
        <w:t>installations</w:t>
      </w:r>
      <w:r>
        <w:rPr>
          <w:spacing w:val="27"/>
        </w:rPr>
        <w:t> </w:t>
      </w:r>
      <w:r>
        <w:rPr>
          <w:spacing w:val="1"/>
        </w:rPr>
        <w:t>PV</w:t>
      </w:r>
      <w:r>
        <w:rPr>
          <w:spacing w:val="26"/>
        </w:rPr>
        <w:t> </w:t>
      </w:r>
      <w:r>
        <w:rPr>
          <w:spacing w:val="-2"/>
        </w:rPr>
        <w:t>de</w:t>
      </w:r>
      <w:r>
        <w:rPr>
          <w:spacing w:val="27"/>
        </w:rPr>
        <w:t> </w:t>
      </w:r>
      <w:r>
        <w:rPr/>
        <w:t>556</w:t>
      </w:r>
      <w:r>
        <w:rPr>
          <w:spacing w:val="27"/>
        </w:rPr>
        <w:t> </w:t>
      </w:r>
      <w:r>
        <w:rPr/>
        <w:t>kW</w:t>
      </w:r>
      <w:r>
        <w:rPr>
          <w:spacing w:val="33"/>
        </w:rPr>
        <w:t> </w:t>
      </w:r>
      <w:r>
        <w:rPr>
          <w:spacing w:val="-2"/>
        </w:rPr>
        <w:t>étendues</w:t>
      </w:r>
      <w:r>
        <w:rPr>
          <w:spacing w:val="20"/>
        </w:rPr>
        <w:t> </w:t>
      </w:r>
      <w:r>
        <w:rPr/>
        <w:t>à</w:t>
      </w:r>
      <w:r>
        <w:rPr>
          <w:spacing w:val="20"/>
        </w:rPr>
        <w:t> </w:t>
      </w:r>
      <w:r>
        <w:rPr>
          <w:spacing w:val="-1"/>
        </w:rPr>
        <w:t>tous</w:t>
      </w:r>
      <w:r>
        <w:rPr>
          <w:spacing w:val="20"/>
        </w:rPr>
        <w:t> </w:t>
      </w:r>
      <w:r>
        <w:rPr>
          <w:spacing w:val="-1"/>
        </w:rPr>
        <w:t>les</w:t>
      </w:r>
      <w:r>
        <w:rPr>
          <w:spacing w:val="20"/>
        </w:rPr>
        <w:t> </w:t>
      </w:r>
      <w:r>
        <w:rPr>
          <w:spacing w:val="-2"/>
        </w:rPr>
        <w:t>côtés</w:t>
      </w:r>
      <w:r>
        <w:rPr>
          <w:spacing w:val="20"/>
        </w:rPr>
        <w:t> </w:t>
      </w:r>
      <w:r>
        <w:rPr>
          <w:spacing w:val="-1"/>
        </w:rPr>
        <w:t>produisent</w:t>
      </w:r>
      <w:r>
        <w:rPr>
          <w:spacing w:val="30"/>
        </w:rPr>
        <w:t> </w:t>
      </w:r>
      <w:r>
        <w:rPr/>
        <w:t>466’300</w:t>
      </w:r>
      <w:r>
        <w:rPr>
          <w:spacing w:val="21"/>
        </w:rPr>
        <w:t> </w:t>
      </w:r>
      <w:r>
        <w:rPr>
          <w:spacing w:val="-2"/>
        </w:rPr>
        <w:t>kWh/a.</w:t>
      </w:r>
      <w:r>
        <w:rPr>
          <w:spacing w:val="13"/>
        </w:rPr>
        <w:t> </w:t>
      </w:r>
      <w:r>
        <w:rPr>
          <w:spacing w:val="-1"/>
        </w:rPr>
        <w:t>Elles</w:t>
      </w:r>
      <w:r>
        <w:rPr>
          <w:spacing w:val="21"/>
        </w:rPr>
        <w:t> </w:t>
      </w:r>
      <w:r>
        <w:rPr>
          <w:spacing w:val="-1"/>
        </w:rPr>
        <w:t>se</w:t>
      </w:r>
      <w:r>
        <w:rPr>
          <w:spacing w:val="21"/>
        </w:rPr>
        <w:t> </w:t>
      </w:r>
      <w:r>
        <w:rPr>
          <w:spacing w:val="-2"/>
        </w:rPr>
        <w:t>fondent</w:t>
      </w:r>
      <w:r>
        <w:rPr>
          <w:spacing w:val="21"/>
        </w:rPr>
        <w:t> </w:t>
      </w:r>
      <w:r>
        <w:rPr>
          <w:spacing w:val="-1"/>
        </w:rPr>
        <w:t>harmoni-</w:t>
      </w:r>
      <w:r>
        <w:rPr>
          <w:spacing w:val="29"/>
        </w:rPr>
        <w:t> </w:t>
      </w:r>
      <w:r>
        <w:rPr>
          <w:spacing w:val="-1"/>
        </w:rPr>
        <w:t>eusement</w:t>
      </w:r>
      <w:r>
        <w:rPr/>
        <w:t> dans </w:t>
      </w:r>
      <w:r>
        <w:rPr>
          <w:spacing w:val="-2"/>
        </w:rPr>
        <w:t>le</w:t>
      </w:r>
      <w:r>
        <w:rPr/>
        <w:t> </w:t>
      </w:r>
      <w:r>
        <w:rPr>
          <w:spacing w:val="-1"/>
        </w:rPr>
        <w:t>paysage</w:t>
      </w:r>
      <w:r>
        <w:rPr/>
        <w:t> urbain.</w:t>
      </w:r>
      <w:r>
        <w:rPr>
          <w:i w:val="0"/>
        </w:rPr>
      </w:r>
    </w:p>
    <w:p>
      <w:pPr>
        <w:pStyle w:val="BodyText"/>
        <w:spacing w:line="232" w:lineRule="auto"/>
        <w:ind w:right="0"/>
        <w:jc w:val="both"/>
        <w:rPr>
          <w:i w:val="0"/>
        </w:rPr>
      </w:pPr>
      <w:r>
        <w:rPr>
          <w:spacing w:val="-5"/>
        </w:rPr>
        <w:t>Le </w:t>
      </w:r>
      <w:r>
        <w:rPr>
          <w:spacing w:val="-1"/>
        </w:rPr>
        <w:t>triple</w:t>
      </w:r>
      <w:r>
        <w:rPr>
          <w:spacing w:val="-5"/>
        </w:rPr>
        <w:t> </w:t>
      </w:r>
      <w:r>
        <w:rPr>
          <w:spacing w:val="-1"/>
        </w:rPr>
        <w:t>vitrage,</w:t>
      </w:r>
      <w:r>
        <w:rPr>
          <w:spacing w:val="-12"/>
        </w:rPr>
        <w:t> </w:t>
      </w:r>
      <w:r>
        <w:rPr>
          <w:spacing w:val="-1"/>
        </w:rPr>
        <w:t>les</w:t>
      </w:r>
      <w:r>
        <w:rPr>
          <w:spacing w:val="-5"/>
        </w:rPr>
        <w:t> </w:t>
      </w:r>
      <w:r>
        <w:rPr/>
        <w:t>pompes</w:t>
      </w:r>
      <w:r>
        <w:rPr>
          <w:spacing w:val="-5"/>
        </w:rPr>
        <w:t> </w:t>
      </w:r>
      <w:r>
        <w:rPr/>
        <w:t>à</w:t>
      </w:r>
      <w:r>
        <w:rPr>
          <w:spacing w:val="-5"/>
        </w:rPr>
        <w:t> </w:t>
      </w:r>
      <w:r>
        <w:rPr>
          <w:spacing w:val="-1"/>
        </w:rPr>
        <w:t>chaleur</w:t>
      </w:r>
      <w:r>
        <w:rPr>
          <w:spacing w:val="-5"/>
        </w:rPr>
        <w:t> </w:t>
      </w:r>
      <w:r>
        <w:rPr>
          <w:spacing w:val="-1"/>
        </w:rPr>
        <w:t>so-</w:t>
      </w:r>
      <w:r>
        <w:rPr>
          <w:spacing w:val="27"/>
        </w:rPr>
        <w:t> </w:t>
      </w:r>
      <w:r>
        <w:rPr>
          <w:spacing w:val="-1"/>
        </w:rPr>
        <w:t>laires,</w:t>
      </w:r>
      <w:r>
        <w:rPr>
          <w:spacing w:val="-2"/>
        </w:rPr>
        <w:t> </w:t>
      </w:r>
      <w:r>
        <w:rPr>
          <w:spacing w:val="-1"/>
        </w:rPr>
        <w:t>les</w:t>
      </w:r>
      <w:r>
        <w:rPr>
          <w:spacing w:val="5"/>
        </w:rPr>
        <w:t> </w:t>
      </w:r>
      <w:r>
        <w:rPr>
          <w:spacing w:val="-2"/>
        </w:rPr>
        <w:t>sondes</w:t>
      </w:r>
      <w:r>
        <w:rPr>
          <w:spacing w:val="5"/>
        </w:rPr>
        <w:t> </w:t>
      </w:r>
      <w:r>
        <w:rPr>
          <w:spacing w:val="-2"/>
        </w:rPr>
        <w:t>géothermiques</w:t>
      </w:r>
      <w:r>
        <w:rPr>
          <w:spacing w:val="5"/>
        </w:rPr>
        <w:t> </w:t>
      </w:r>
      <w:r>
        <w:rPr/>
        <w:t>et</w:t>
      </w:r>
      <w:r>
        <w:rPr>
          <w:spacing w:val="5"/>
        </w:rPr>
        <w:t> </w:t>
      </w:r>
      <w:r>
        <w:rPr>
          <w:spacing w:val="-1"/>
        </w:rPr>
        <w:t>une</w:t>
      </w:r>
      <w:r>
        <w:rPr>
          <w:spacing w:val="5"/>
        </w:rPr>
        <w:t> </w:t>
      </w:r>
      <w:r>
        <w:rPr>
          <w:spacing w:val="-1"/>
        </w:rPr>
        <w:t>iso-</w:t>
      </w:r>
      <w:r>
        <w:rPr>
          <w:spacing w:val="41"/>
        </w:rPr>
        <w:t> </w:t>
      </w:r>
      <w:r>
        <w:rPr>
          <w:spacing w:val="-1"/>
        </w:rPr>
        <w:t>lation</w:t>
      </w:r>
      <w:r>
        <w:rPr>
          <w:spacing w:val="-13"/>
        </w:rPr>
        <w:t> </w:t>
      </w:r>
      <w:r>
        <w:rPr>
          <w:spacing w:val="-2"/>
        </w:rPr>
        <w:t>thermique</w:t>
      </w:r>
      <w:r>
        <w:rPr>
          <w:spacing w:val="-13"/>
        </w:rPr>
        <w:t> </w:t>
      </w:r>
      <w:r>
        <w:rPr>
          <w:spacing w:val="-1"/>
        </w:rPr>
        <w:t>optimale</w:t>
      </w:r>
      <w:r>
        <w:rPr>
          <w:spacing w:val="-13"/>
        </w:rPr>
        <w:t> </w:t>
      </w:r>
      <w:r>
        <w:rPr>
          <w:spacing w:val="-1"/>
        </w:rPr>
        <w:t>limitent</w:t>
      </w:r>
      <w:r>
        <w:rPr>
          <w:spacing w:val="-13"/>
        </w:rPr>
        <w:t> </w:t>
      </w:r>
      <w:r>
        <w:rPr/>
        <w:t>la</w:t>
      </w:r>
      <w:r>
        <w:rPr>
          <w:spacing w:val="-13"/>
        </w:rPr>
        <w:t> </w:t>
      </w:r>
      <w:r>
        <w:rPr>
          <w:spacing w:val="-1"/>
        </w:rPr>
        <w:t>consom-</w:t>
      </w:r>
      <w:r>
        <w:rPr>
          <w:spacing w:val="43"/>
        </w:rPr>
        <w:t> </w:t>
      </w:r>
      <w:r>
        <w:rPr>
          <w:spacing w:val="-1"/>
        </w:rPr>
        <w:t>mation</w:t>
      </w:r>
      <w:r>
        <w:rPr>
          <w:spacing w:val="2"/>
        </w:rPr>
        <w:t> </w:t>
      </w:r>
      <w:r>
        <w:rPr/>
        <w:t>à</w:t>
      </w:r>
      <w:r>
        <w:rPr>
          <w:spacing w:val="2"/>
        </w:rPr>
        <w:t> </w:t>
      </w:r>
      <w:r>
        <w:rPr/>
        <w:t>397’200</w:t>
      </w:r>
      <w:r>
        <w:rPr>
          <w:spacing w:val="3"/>
        </w:rPr>
        <w:t> </w:t>
      </w:r>
      <w:r>
        <w:rPr>
          <w:spacing w:val="-3"/>
        </w:rPr>
        <w:t>kWh/a</w:t>
      </w:r>
      <w:r>
        <w:rPr>
          <w:spacing w:val="2"/>
        </w:rPr>
        <w:t> </w:t>
      </w:r>
      <w:r>
        <w:rPr/>
        <w:t>(38,2</w:t>
      </w:r>
      <w:r>
        <w:rPr>
          <w:spacing w:val="2"/>
        </w:rPr>
        <w:t> </w:t>
      </w:r>
      <w:r>
        <w:rPr>
          <w:spacing w:val="-2"/>
        </w:rPr>
        <w:t>kWh/m</w:t>
      </w:r>
      <w:r>
        <w:rPr>
          <w:spacing w:val="-2"/>
          <w:position w:val="6"/>
          <w:sz w:val="10"/>
          <w:szCs w:val="10"/>
        </w:rPr>
        <w:t>2</w:t>
      </w:r>
      <w:r>
        <w:rPr>
          <w:spacing w:val="25"/>
          <w:position w:val="6"/>
          <w:sz w:val="10"/>
          <w:szCs w:val="10"/>
        </w:rPr>
        <w:t> </w:t>
      </w:r>
      <w:r>
        <w:rPr/>
        <w:t>par</w:t>
      </w:r>
      <w:r>
        <w:rPr>
          <w:spacing w:val="28"/>
        </w:rPr>
        <w:t> </w:t>
      </w:r>
      <w:r>
        <w:rPr>
          <w:spacing w:val="-2"/>
        </w:rPr>
        <w:t>an). </w:t>
      </w:r>
      <w:r>
        <w:rPr>
          <w:spacing w:val="-5"/>
        </w:rPr>
        <w:t>Le</w:t>
      </w:r>
      <w:r>
        <w:rPr>
          <w:spacing w:val="5"/>
        </w:rPr>
        <w:t> </w:t>
      </w:r>
      <w:r>
        <w:rPr>
          <w:spacing w:val="-1"/>
        </w:rPr>
        <w:t>nouvel</w:t>
      </w:r>
      <w:r>
        <w:rPr>
          <w:spacing w:val="5"/>
        </w:rPr>
        <w:t> </w:t>
      </w:r>
      <w:r>
        <w:rPr>
          <w:spacing w:val="-1"/>
        </w:rPr>
        <w:t>immeuble</w:t>
      </w:r>
      <w:r>
        <w:rPr>
          <w:spacing w:val="5"/>
        </w:rPr>
        <w:t> </w:t>
      </w:r>
      <w:r>
        <w:rPr>
          <w:spacing w:val="-1"/>
        </w:rPr>
        <w:t>est</w:t>
      </w:r>
      <w:r>
        <w:rPr>
          <w:spacing w:val="5"/>
        </w:rPr>
        <w:t> </w:t>
      </w:r>
      <w:r>
        <w:rPr/>
        <w:t>ainsi</w:t>
      </w:r>
      <w:r>
        <w:rPr>
          <w:spacing w:val="5"/>
        </w:rPr>
        <w:t> </w:t>
      </w:r>
      <w:r>
        <w:rPr>
          <w:spacing w:val="-2"/>
        </w:rPr>
        <w:t>le</w:t>
      </w:r>
      <w:r>
        <w:rPr>
          <w:spacing w:val="5"/>
        </w:rPr>
        <w:t> </w:t>
      </w:r>
      <w:r>
        <w:rPr>
          <w:spacing w:val="-2"/>
        </w:rPr>
        <w:t>premier</w:t>
      </w:r>
      <w:r>
        <w:rPr>
          <w:spacing w:val="25"/>
        </w:rPr>
        <w:t> </w:t>
      </w:r>
      <w:r>
        <w:rPr/>
        <w:t>habitat</w:t>
      </w:r>
      <w:r>
        <w:rPr>
          <w:spacing w:val="12"/>
        </w:rPr>
        <w:t> </w:t>
      </w:r>
      <w:r>
        <w:rPr>
          <w:spacing w:val="-1"/>
        </w:rPr>
        <w:t>BEP</w:t>
      </w:r>
      <w:r>
        <w:rPr>
          <w:spacing w:val="12"/>
        </w:rPr>
        <w:t> </w:t>
      </w:r>
      <w:r>
        <w:rPr>
          <w:spacing w:val="-2"/>
        </w:rPr>
        <w:t>de</w:t>
      </w:r>
      <w:r>
        <w:rPr>
          <w:spacing w:val="12"/>
        </w:rPr>
        <w:t> </w:t>
      </w:r>
      <w:r>
        <w:rPr>
          <w:spacing w:val="-2"/>
        </w:rPr>
        <w:t>ce</w:t>
      </w:r>
      <w:r>
        <w:rPr>
          <w:spacing w:val="12"/>
        </w:rPr>
        <w:t> </w:t>
      </w:r>
      <w:r>
        <w:rPr/>
        <w:t>type</w:t>
      </w:r>
      <w:r>
        <w:rPr>
          <w:spacing w:val="12"/>
        </w:rPr>
        <w:t> </w:t>
      </w:r>
      <w:r>
        <w:rPr>
          <w:spacing w:val="-1"/>
        </w:rPr>
        <w:t>en</w:t>
      </w:r>
      <w:r>
        <w:rPr>
          <w:spacing w:val="12"/>
        </w:rPr>
        <w:t> </w:t>
      </w:r>
      <w:r>
        <w:rPr>
          <w:spacing w:val="-1"/>
        </w:rPr>
        <w:t>Suisse</w:t>
      </w:r>
      <w:r>
        <w:rPr>
          <w:spacing w:val="12"/>
        </w:rPr>
        <w:t> </w:t>
      </w:r>
      <w:r>
        <w:rPr/>
        <w:t>à</w:t>
      </w:r>
      <w:r>
        <w:rPr>
          <w:spacing w:val="12"/>
        </w:rPr>
        <w:t> </w:t>
      </w:r>
      <w:r>
        <w:rPr>
          <w:spacing w:val="-1"/>
        </w:rPr>
        <w:t>assurer</w:t>
      </w:r>
      <w:r>
        <w:rPr>
          <w:spacing w:val="29"/>
        </w:rPr>
        <w:t> </w:t>
      </w:r>
      <w:r>
        <w:rPr>
          <w:spacing w:val="-1"/>
        </w:rPr>
        <w:t>une</w:t>
      </w:r>
      <w:r>
        <w:rPr>
          <w:spacing w:val="-3"/>
        </w:rPr>
        <w:t> </w:t>
      </w:r>
      <w:r>
        <w:rPr>
          <w:spacing w:val="-1"/>
        </w:rPr>
        <w:t>autoproduction</w:t>
      </w:r>
      <w:r>
        <w:rPr>
          <w:spacing w:val="-3"/>
        </w:rPr>
        <w:t> </w:t>
      </w:r>
      <w:r>
        <w:rPr>
          <w:spacing w:val="-2"/>
        </w:rPr>
        <w:t>de</w:t>
      </w:r>
      <w:r>
        <w:rPr>
          <w:spacing w:val="-3"/>
        </w:rPr>
        <w:t> </w:t>
      </w:r>
      <w:r>
        <w:rPr/>
        <w:t>117%.</w:t>
      </w:r>
      <w:r>
        <w:rPr>
          <w:spacing w:val="-11"/>
        </w:rPr>
        <w:t> </w:t>
      </w:r>
      <w:r>
        <w:rPr>
          <w:spacing w:val="-5"/>
        </w:rPr>
        <w:t>L’excédent</w:t>
      </w:r>
      <w:r>
        <w:rPr>
          <w:spacing w:val="-3"/>
        </w:rPr>
        <w:t> </w:t>
      </w:r>
      <w:r>
        <w:rPr>
          <w:spacing w:val="-2"/>
        </w:rPr>
        <w:t>de</w:t>
      </w:r>
      <w:r>
        <w:rPr>
          <w:spacing w:val="28"/>
        </w:rPr>
        <w:t> </w:t>
      </w:r>
      <w:r>
        <w:rPr/>
        <w:t>69’200</w:t>
      </w:r>
      <w:r>
        <w:rPr>
          <w:spacing w:val="25"/>
        </w:rPr>
        <w:t> </w:t>
      </w:r>
      <w:r>
        <w:rPr>
          <w:spacing w:val="-3"/>
        </w:rPr>
        <w:t>kWh/a</w:t>
      </w:r>
      <w:r>
        <w:rPr>
          <w:spacing w:val="26"/>
        </w:rPr>
        <w:t> </w:t>
      </w:r>
      <w:r>
        <w:rPr/>
        <w:t>permettrait</w:t>
      </w:r>
      <w:r>
        <w:rPr>
          <w:spacing w:val="25"/>
        </w:rPr>
        <w:t> </w:t>
      </w:r>
      <w:r>
        <w:rPr/>
        <w:t>à</w:t>
      </w:r>
      <w:r>
        <w:rPr>
          <w:spacing w:val="26"/>
        </w:rPr>
        <w:t> </w:t>
      </w:r>
      <w:r>
        <w:rPr>
          <w:rFonts w:ascii="Theinhardt Bold Italic" w:hAnsi="Theinhardt Bold Italic" w:cs="Theinhardt Bold Italic" w:eastAsia="Theinhardt Bold Italic"/>
          <w:b/>
          <w:bCs/>
        </w:rPr>
        <w:t>49</w:t>
      </w:r>
      <w:r>
        <w:rPr>
          <w:rFonts w:ascii="Theinhardt Bold Italic" w:hAnsi="Theinhardt Bold Italic" w:cs="Theinhardt Bold Italic" w:eastAsia="Theinhardt Bold Italic"/>
          <w:b/>
          <w:bCs/>
          <w:spacing w:val="25"/>
        </w:rPr>
        <w:t> </w:t>
      </w:r>
      <w:r>
        <w:rPr>
          <w:rFonts w:ascii="Theinhardt Bold Italic" w:hAnsi="Theinhardt Bold Italic" w:cs="Theinhardt Bold Italic" w:eastAsia="Theinhardt Bold Italic"/>
          <w:b/>
          <w:bCs/>
          <w:spacing w:val="-1"/>
        </w:rPr>
        <w:t>véhicules</w:t>
      </w:r>
      <w:r>
        <w:rPr>
          <w:rFonts w:ascii="Theinhardt Bold Italic" w:hAnsi="Theinhardt Bold Italic" w:cs="Theinhardt Bold Italic" w:eastAsia="Theinhardt Bold Italic"/>
          <w:b/>
          <w:bCs/>
          <w:spacing w:val="21"/>
        </w:rPr>
        <w:t> </w:t>
      </w:r>
      <w:r>
        <w:rPr>
          <w:rFonts w:ascii="Theinhardt Bold Italic" w:hAnsi="Theinhardt Bold Italic" w:cs="Theinhardt Bold Italic" w:eastAsia="Theinhardt Bold Italic"/>
          <w:b/>
          <w:bCs/>
          <w:spacing w:val="-1"/>
        </w:rPr>
        <w:t>électriques</w:t>
      </w:r>
      <w:r>
        <w:rPr>
          <w:rFonts w:ascii="Theinhardt Bold Italic" w:hAnsi="Theinhardt Bold Italic" w:cs="Theinhardt Bold Italic" w:eastAsia="Theinhardt Bold Italic"/>
          <w:b/>
          <w:bCs/>
          <w:spacing w:val="-2"/>
        </w:rPr>
        <w:t> </w:t>
      </w:r>
      <w:r>
        <w:rPr>
          <w:rFonts w:ascii="Theinhardt Bold Italic" w:hAnsi="Theinhardt Bold Italic" w:cs="Theinhardt Bold Italic" w:eastAsia="Theinhardt Bold Italic"/>
          <w:b/>
          <w:bCs/>
          <w:spacing w:val="-1"/>
        </w:rPr>
        <w:t>zéro</w:t>
      </w:r>
      <w:r>
        <w:rPr>
          <w:rFonts w:ascii="Theinhardt Bold Italic" w:hAnsi="Theinhardt Bold Italic" w:cs="Theinhardt Bold Italic" w:eastAsia="Theinhardt Bold Italic"/>
          <w:b/>
          <w:bCs/>
          <w:spacing w:val="-2"/>
        </w:rPr>
        <w:t> </w:t>
      </w:r>
      <w:r>
        <w:rPr>
          <w:rFonts w:ascii="Theinhardt Bold Italic" w:hAnsi="Theinhardt Bold Italic" w:cs="Theinhardt Bold Italic" w:eastAsia="Theinhardt Bold Italic"/>
          <w:b/>
          <w:bCs/>
          <w:spacing w:val="-1"/>
        </w:rPr>
        <w:t>émission</w:t>
      </w:r>
      <w:r>
        <w:rPr>
          <w:rFonts w:ascii="Theinhardt Bold Italic" w:hAnsi="Theinhardt Bold Italic" w:cs="Theinhardt Bold Italic" w:eastAsia="Theinhardt Bold Italic"/>
          <w:b/>
          <w:bCs/>
          <w:spacing w:val="-2"/>
        </w:rPr>
        <w:t> </w:t>
      </w:r>
      <w:r>
        <w:rPr>
          <w:spacing w:val="-2"/>
        </w:rPr>
        <w:t>de </w:t>
      </w:r>
      <w:r>
        <w:rPr>
          <w:spacing w:val="-1"/>
        </w:rPr>
        <w:t>parcourir</w:t>
      </w:r>
      <w:r>
        <w:rPr>
          <w:spacing w:val="-2"/>
        </w:rPr>
        <w:t> </w:t>
      </w:r>
      <w:r>
        <w:rPr>
          <w:spacing w:val="-1"/>
        </w:rPr>
        <w:t>en-</w:t>
      </w:r>
      <w:r>
        <w:rPr>
          <w:spacing w:val="39"/>
        </w:rPr>
        <w:t> </w:t>
      </w:r>
      <w:r>
        <w:rPr>
          <w:spacing w:val="-1"/>
        </w:rPr>
        <w:t>viron</w:t>
      </w:r>
      <w:r>
        <w:rPr/>
        <w:t> </w:t>
      </w:r>
      <w:r>
        <w:rPr>
          <w:rFonts w:ascii="Theinhardt Bold Italic" w:hAnsi="Theinhardt Bold Italic" w:cs="Theinhardt Bold Italic" w:eastAsia="Theinhardt Bold Italic"/>
          <w:b/>
          <w:bCs/>
        </w:rPr>
        <w:t>12’000 </w:t>
      </w:r>
      <w:r>
        <w:rPr>
          <w:rFonts w:ascii="Theinhardt Bold Italic" w:hAnsi="Theinhardt Bold Italic" w:cs="Theinhardt Bold Italic" w:eastAsia="Theinhardt Bold Italic"/>
          <w:b/>
          <w:bCs/>
          <w:spacing w:val="-2"/>
        </w:rPr>
        <w:t>km</w:t>
      </w:r>
      <w:r>
        <w:rPr>
          <w:rFonts w:ascii="Theinhardt Bold Italic" w:hAnsi="Theinhardt Bold Italic" w:cs="Theinhardt Bold Italic" w:eastAsia="Theinhardt Bold Italic"/>
          <w:b/>
          <w:bCs/>
        </w:rPr>
        <w:t> par année</w:t>
      </w:r>
      <w:r>
        <w:rPr>
          <w:rFonts w:ascii="Theinhardt Bold Italic" w:hAnsi="Theinhardt Bold Italic" w:cs="Theinhardt Bold Italic" w:eastAsia="Theinhardt Bold Italic"/>
          <w:b/>
          <w:bCs/>
          <w:spacing w:val="-1"/>
        </w:rPr>
        <w:t> </w:t>
      </w:r>
      <w:r>
        <w:rPr>
          <w:spacing w:val="-1"/>
        </w:rPr>
        <w:t>chacun.</w:t>
      </w:r>
      <w:r>
        <w:rPr>
          <w:i w:val="0"/>
        </w:rPr>
      </w:r>
    </w:p>
    <w:p>
      <w:pPr>
        <w:pStyle w:val="BodyText"/>
        <w:spacing w:line="232" w:lineRule="auto"/>
        <w:ind w:right="0"/>
        <w:jc w:val="both"/>
        <w:rPr>
          <w:i w:val="0"/>
        </w:rPr>
      </w:pPr>
      <w:r>
        <w:rPr/>
        <w:t>Compact,</w:t>
      </w:r>
      <w:r>
        <w:rPr>
          <w:spacing w:val="-1"/>
        </w:rPr>
        <w:t> </w:t>
      </w:r>
      <w:r>
        <w:rPr>
          <w:spacing w:val="-2"/>
        </w:rPr>
        <w:t>le</w:t>
      </w:r>
      <w:r>
        <w:rPr>
          <w:spacing w:val="7"/>
        </w:rPr>
        <w:t> </w:t>
      </w:r>
      <w:r>
        <w:rPr>
          <w:spacing w:val="-1"/>
        </w:rPr>
        <w:t>bâtiment</w:t>
      </w:r>
      <w:r>
        <w:rPr>
          <w:spacing w:val="7"/>
        </w:rPr>
        <w:t> </w:t>
      </w:r>
      <w:r>
        <w:rPr/>
        <w:t>ABZ</w:t>
      </w:r>
      <w:r>
        <w:rPr>
          <w:spacing w:val="7"/>
        </w:rPr>
        <w:t> </w:t>
      </w:r>
      <w:r>
        <w:rPr>
          <w:spacing w:val="-1"/>
        </w:rPr>
        <w:t>allie, </w:t>
      </w:r>
      <w:r>
        <w:rPr>
          <w:spacing w:val="-2"/>
        </w:rPr>
        <w:t>de</w:t>
      </w:r>
      <w:r>
        <w:rPr>
          <w:spacing w:val="7"/>
        </w:rPr>
        <w:t> </w:t>
      </w:r>
      <w:r>
        <w:rPr/>
        <w:t>mani-</w:t>
      </w:r>
      <w:r>
        <w:rPr>
          <w:spacing w:val="27"/>
        </w:rPr>
        <w:t> </w:t>
      </w:r>
      <w:r>
        <w:rPr>
          <w:spacing w:val="-2"/>
        </w:rPr>
        <w:t>ère</w:t>
      </w:r>
      <w:r>
        <w:rPr>
          <w:spacing w:val="-11"/>
        </w:rPr>
        <w:t> </w:t>
      </w:r>
      <w:r>
        <w:rPr>
          <w:spacing w:val="-1"/>
        </w:rPr>
        <w:t>avant-gardiste,</w:t>
      </w:r>
      <w:r>
        <w:rPr>
          <w:spacing w:val="-18"/>
        </w:rPr>
        <w:t> </w:t>
      </w:r>
      <w:r>
        <w:rPr/>
        <w:t>la</w:t>
      </w:r>
      <w:r>
        <w:rPr>
          <w:spacing w:val="-11"/>
        </w:rPr>
        <w:t> </w:t>
      </w:r>
      <w:r>
        <w:rPr>
          <w:spacing w:val="-1"/>
        </w:rPr>
        <w:t>culture</w:t>
      </w:r>
      <w:r>
        <w:rPr>
          <w:spacing w:val="-11"/>
        </w:rPr>
        <w:t> </w:t>
      </w:r>
      <w:r>
        <w:rPr>
          <w:spacing w:val="-1"/>
        </w:rPr>
        <w:t>traditionnelle</w:t>
      </w:r>
      <w:r>
        <w:rPr>
          <w:spacing w:val="-11"/>
        </w:rPr>
        <w:t> </w:t>
      </w:r>
      <w:r>
        <w:rPr/>
        <w:t>du</w:t>
      </w:r>
      <w:r>
        <w:rPr>
          <w:spacing w:val="31"/>
        </w:rPr>
        <w:t> </w:t>
      </w:r>
      <w:r>
        <w:rPr>
          <w:spacing w:val="-1"/>
        </w:rPr>
        <w:t>bâtiment</w:t>
      </w:r>
      <w:r>
        <w:rPr>
          <w:spacing w:val="11"/>
        </w:rPr>
        <w:t> </w:t>
      </w:r>
      <w:r>
        <w:rPr>
          <w:spacing w:val="-2"/>
        </w:rPr>
        <w:t>avec</w:t>
      </w:r>
      <w:r>
        <w:rPr>
          <w:spacing w:val="11"/>
        </w:rPr>
        <w:t> </w:t>
      </w:r>
      <w:r>
        <w:rPr>
          <w:spacing w:val="-1"/>
        </w:rPr>
        <w:t>une</w:t>
      </w:r>
      <w:r>
        <w:rPr>
          <w:spacing w:val="11"/>
        </w:rPr>
        <w:t> </w:t>
      </w:r>
      <w:r>
        <w:rPr>
          <w:spacing w:val="-2"/>
        </w:rPr>
        <w:t>architecture</w:t>
      </w:r>
      <w:r>
        <w:rPr>
          <w:spacing w:val="11"/>
        </w:rPr>
        <w:t> </w:t>
      </w:r>
      <w:r>
        <w:rPr>
          <w:spacing w:val="-1"/>
        </w:rPr>
        <w:t>solaire</w:t>
      </w:r>
      <w:r>
        <w:rPr>
          <w:spacing w:val="11"/>
        </w:rPr>
        <w:t> </w:t>
      </w:r>
      <w:r>
        <w:rPr>
          <w:spacing w:val="-1"/>
        </w:rPr>
        <w:t>inno-</w:t>
      </w:r>
      <w:r>
        <w:rPr>
          <w:spacing w:val="37"/>
        </w:rPr>
        <w:t> </w:t>
      </w:r>
      <w:r>
        <w:rPr>
          <w:spacing w:val="-1"/>
        </w:rPr>
        <w:t>vante</w:t>
      </w:r>
      <w:r>
        <w:rPr>
          <w:spacing w:val="7"/>
        </w:rPr>
        <w:t> </w:t>
      </w:r>
      <w:r>
        <w:rPr/>
        <w:t>et</w:t>
      </w:r>
      <w:r>
        <w:rPr>
          <w:spacing w:val="7"/>
        </w:rPr>
        <w:t> </w:t>
      </w:r>
      <w:r>
        <w:rPr>
          <w:spacing w:val="-1"/>
        </w:rPr>
        <w:t>des</w:t>
      </w:r>
      <w:r>
        <w:rPr>
          <w:spacing w:val="7"/>
        </w:rPr>
        <w:t> </w:t>
      </w:r>
      <w:r>
        <w:rPr>
          <w:spacing w:val="-1"/>
        </w:rPr>
        <w:t>toits</w:t>
      </w:r>
      <w:r>
        <w:rPr>
          <w:spacing w:val="7"/>
        </w:rPr>
        <w:t> </w:t>
      </w:r>
      <w:r>
        <w:rPr/>
        <w:t>à</w:t>
      </w:r>
      <w:r>
        <w:rPr>
          <w:spacing w:val="7"/>
        </w:rPr>
        <w:t> </w:t>
      </w:r>
      <w:r>
        <w:rPr>
          <w:spacing w:val="-1"/>
        </w:rPr>
        <w:t>pignon</w:t>
      </w:r>
      <w:r>
        <w:rPr>
          <w:spacing w:val="7"/>
        </w:rPr>
        <w:t> </w:t>
      </w:r>
      <w:r>
        <w:rPr>
          <w:spacing w:val="-2"/>
        </w:rPr>
        <w:t>intelligement</w:t>
      </w:r>
      <w:r>
        <w:rPr>
          <w:spacing w:val="27"/>
        </w:rPr>
        <w:t> </w:t>
      </w:r>
      <w:r>
        <w:rPr>
          <w:spacing w:val="-1"/>
        </w:rPr>
        <w:t>conçus.</w:t>
      </w:r>
      <w:r>
        <w:rPr>
          <w:spacing w:val="23"/>
        </w:rPr>
        <w:t> </w:t>
      </w:r>
      <w:r>
        <w:rPr>
          <w:spacing w:val="-1"/>
        </w:rPr>
        <w:t>Elle</w:t>
      </w:r>
      <w:r>
        <w:rPr>
          <w:spacing w:val="29"/>
        </w:rPr>
        <w:t> </w:t>
      </w:r>
      <w:r>
        <w:rPr>
          <w:spacing w:val="-1"/>
        </w:rPr>
        <w:t>se</w:t>
      </w:r>
      <w:r>
        <w:rPr>
          <w:spacing w:val="30"/>
        </w:rPr>
        <w:t> </w:t>
      </w:r>
      <w:r>
        <w:rPr>
          <w:spacing w:val="-2"/>
        </w:rPr>
        <w:t>fond</w:t>
      </w:r>
      <w:r>
        <w:rPr>
          <w:spacing w:val="29"/>
        </w:rPr>
        <w:t> </w:t>
      </w:r>
      <w:r>
        <w:rPr>
          <w:spacing w:val="-1"/>
        </w:rPr>
        <w:t>bien</w:t>
      </w:r>
      <w:r>
        <w:rPr>
          <w:spacing w:val="30"/>
        </w:rPr>
        <w:t> </w:t>
      </w:r>
      <w:r>
        <w:rPr/>
        <w:t>dans</w:t>
      </w:r>
      <w:r>
        <w:rPr>
          <w:spacing w:val="30"/>
        </w:rPr>
        <w:t> </w:t>
      </w:r>
      <w:r>
        <w:rPr>
          <w:spacing w:val="-2"/>
        </w:rPr>
        <w:t>le</w:t>
      </w:r>
      <w:r>
        <w:rPr>
          <w:spacing w:val="29"/>
        </w:rPr>
        <w:t> </w:t>
      </w:r>
      <w:r>
        <w:rPr>
          <w:spacing w:val="-1"/>
        </w:rPr>
        <w:t>paysage</w:t>
      </w:r>
      <w:r>
        <w:rPr>
          <w:spacing w:val="21"/>
        </w:rPr>
        <w:t> </w:t>
      </w:r>
      <w:r>
        <w:rPr/>
        <w:t>urbain.</w:t>
      </w:r>
      <w:r>
        <w:rPr>
          <w:spacing w:val="-16"/>
        </w:rPr>
        <w:t> </w:t>
      </w:r>
      <w:r>
        <w:rPr/>
        <w:t>Et</w:t>
      </w:r>
      <w:r>
        <w:rPr>
          <w:spacing w:val="-9"/>
        </w:rPr>
        <w:t> </w:t>
      </w:r>
      <w:r>
        <w:rPr>
          <w:spacing w:val="-2"/>
        </w:rPr>
        <w:t>seize</w:t>
      </w:r>
      <w:r>
        <w:rPr>
          <w:spacing w:val="-9"/>
        </w:rPr>
        <w:t> </w:t>
      </w:r>
      <w:r>
        <w:rPr/>
        <w:t>ans</w:t>
      </w:r>
      <w:r>
        <w:rPr>
          <w:spacing w:val="-9"/>
        </w:rPr>
        <w:t> </w:t>
      </w:r>
      <w:r>
        <w:rPr>
          <w:spacing w:val="-1"/>
        </w:rPr>
        <w:t>après</w:t>
      </w:r>
      <w:r>
        <w:rPr>
          <w:spacing w:val="-9"/>
        </w:rPr>
        <w:t> </w:t>
      </w:r>
      <w:r>
        <w:rPr>
          <w:spacing w:val="-1"/>
        </w:rPr>
        <w:t>les</w:t>
      </w:r>
      <w:r>
        <w:rPr>
          <w:spacing w:val="-9"/>
        </w:rPr>
        <w:t> </w:t>
      </w:r>
      <w:r>
        <w:rPr>
          <w:spacing w:val="-2"/>
        </w:rPr>
        <w:t>premiers</w:t>
      </w:r>
      <w:r>
        <w:rPr>
          <w:spacing w:val="-9"/>
        </w:rPr>
        <w:t> </w:t>
      </w:r>
      <w:r>
        <w:rPr>
          <w:spacing w:val="-1"/>
        </w:rPr>
        <w:t>BEP</w:t>
      </w:r>
      <w:r>
        <w:rPr>
          <w:spacing w:val="-9"/>
        </w:rPr>
        <w:t> </w:t>
      </w:r>
      <w:r>
        <w:rPr/>
        <w:t>à</w:t>
      </w:r>
      <w:r>
        <w:rPr>
          <w:spacing w:val="27"/>
        </w:rPr>
        <w:t> </w:t>
      </w:r>
      <w:r>
        <w:rPr>
          <w:spacing w:val="-1"/>
        </w:rPr>
        <w:t>Berne</w:t>
      </w:r>
      <w:r>
        <w:rPr>
          <w:spacing w:val="-4"/>
        </w:rPr>
        <w:t> </w:t>
      </w:r>
      <w:r>
        <w:rPr/>
        <w:t>et</w:t>
      </w:r>
      <w:r>
        <w:rPr>
          <w:spacing w:val="-4"/>
        </w:rPr>
        <w:t> </w:t>
      </w:r>
      <w:r>
        <w:rPr/>
        <w:t>aux</w:t>
      </w:r>
      <w:r>
        <w:rPr>
          <w:spacing w:val="-4"/>
        </w:rPr>
        <w:t> </w:t>
      </w:r>
      <w:r>
        <w:rPr/>
        <w:t>Grisons,</w:t>
      </w:r>
      <w:r>
        <w:rPr>
          <w:spacing w:val="-11"/>
        </w:rPr>
        <w:t> </w:t>
      </w:r>
      <w:r>
        <w:rPr/>
        <w:t>ABZ</w:t>
      </w:r>
      <w:r>
        <w:rPr>
          <w:spacing w:val="-4"/>
        </w:rPr>
        <w:t> </w:t>
      </w:r>
      <w:r>
        <w:rPr/>
        <w:t>a</w:t>
      </w:r>
      <w:r>
        <w:rPr>
          <w:spacing w:val="-4"/>
        </w:rPr>
        <w:t> </w:t>
      </w:r>
      <w:r>
        <w:rPr>
          <w:spacing w:val="-2"/>
        </w:rPr>
        <w:t>érigé</w:t>
      </w:r>
      <w:r>
        <w:rPr>
          <w:spacing w:val="-4"/>
        </w:rPr>
        <w:t> </w:t>
      </w:r>
      <w:r>
        <w:rPr>
          <w:spacing w:val="-2"/>
        </w:rPr>
        <w:t>le</w:t>
      </w:r>
      <w:r>
        <w:rPr>
          <w:spacing w:val="-4"/>
        </w:rPr>
        <w:t> </w:t>
      </w:r>
      <w:r>
        <w:rPr>
          <w:spacing w:val="-2"/>
        </w:rPr>
        <w:t>premier</w:t>
      </w:r>
      <w:r>
        <w:rPr>
          <w:spacing w:val="33"/>
        </w:rPr>
        <w:t> </w:t>
      </w:r>
      <w:r>
        <w:rPr>
          <w:spacing w:val="-1"/>
        </w:rPr>
        <w:t>nouvel</w:t>
      </w:r>
      <w:r>
        <w:rPr>
          <w:spacing w:val="-12"/>
        </w:rPr>
        <w:t> </w:t>
      </w:r>
      <w:r>
        <w:rPr>
          <w:spacing w:val="-1"/>
        </w:rPr>
        <w:t>immeuble</w:t>
      </w:r>
      <w:r>
        <w:rPr>
          <w:spacing w:val="-12"/>
        </w:rPr>
        <w:t> </w:t>
      </w:r>
      <w:r>
        <w:rPr>
          <w:spacing w:val="-1"/>
        </w:rPr>
        <w:t>BEP</w:t>
      </w:r>
      <w:r>
        <w:rPr>
          <w:spacing w:val="-12"/>
        </w:rPr>
        <w:t> </w:t>
      </w:r>
      <w:r>
        <w:rPr>
          <w:spacing w:val="-2"/>
        </w:rPr>
        <w:t>de</w:t>
      </w:r>
      <w:r>
        <w:rPr>
          <w:spacing w:val="-12"/>
        </w:rPr>
        <w:t> </w:t>
      </w:r>
      <w:r>
        <w:rPr/>
        <w:t>la</w:t>
      </w:r>
      <w:r>
        <w:rPr>
          <w:spacing w:val="-12"/>
        </w:rPr>
        <w:t> </w:t>
      </w:r>
      <w:r>
        <w:rPr>
          <w:spacing w:val="-1"/>
        </w:rPr>
        <w:t>ville</w:t>
      </w:r>
      <w:r>
        <w:rPr>
          <w:spacing w:val="-12"/>
        </w:rPr>
        <w:t> </w:t>
      </w:r>
      <w:r>
        <w:rPr>
          <w:spacing w:val="-2"/>
        </w:rPr>
        <w:t>de</w:t>
      </w:r>
      <w:r>
        <w:rPr>
          <w:spacing w:val="-12"/>
        </w:rPr>
        <w:t> </w:t>
      </w:r>
      <w:r>
        <w:rPr>
          <w:spacing w:val="-1"/>
        </w:rPr>
        <w:t>Zurich.</w:t>
      </w:r>
      <w:r>
        <w:rPr>
          <w:spacing w:val="-19"/>
        </w:rPr>
        <w:t> </w:t>
      </w:r>
      <w:r>
        <w:rPr>
          <w:spacing w:val="-2"/>
        </w:rPr>
        <w:t>La</w:t>
      </w:r>
      <w:r>
        <w:rPr>
          <w:spacing w:val="27"/>
        </w:rPr>
        <w:t> </w:t>
      </w:r>
      <w:r>
        <w:rPr>
          <w:spacing w:val="-1"/>
        </w:rPr>
        <w:t>coopérative</w:t>
      </w:r>
      <w:r>
        <w:rPr>
          <w:spacing w:val="25"/>
        </w:rPr>
        <w:t> </w:t>
      </w:r>
      <w:r>
        <w:rPr>
          <w:spacing w:val="-2"/>
        </w:rPr>
        <w:t>reçoit</w:t>
      </w:r>
      <w:r>
        <w:rPr>
          <w:spacing w:val="26"/>
        </w:rPr>
        <w:t> </w:t>
      </w:r>
      <w:r>
        <w:rPr/>
        <w:t>pour</w:t>
      </w:r>
      <w:r>
        <w:rPr>
          <w:spacing w:val="25"/>
        </w:rPr>
        <w:t> </w:t>
      </w:r>
      <w:r>
        <w:rPr>
          <w:spacing w:val="-1"/>
        </w:rPr>
        <w:t>cela</w:t>
      </w:r>
      <w:r>
        <w:rPr>
          <w:spacing w:val="26"/>
        </w:rPr>
        <w:t> </w:t>
      </w:r>
      <w:r>
        <w:rPr>
          <w:spacing w:val="-2"/>
        </w:rPr>
        <w:t>le</w:t>
      </w:r>
      <w:r>
        <w:rPr>
          <w:spacing w:val="26"/>
        </w:rPr>
        <w:t> </w:t>
      </w:r>
      <w:r>
        <w:rPr/>
        <w:t>Prix</w:t>
      </w:r>
      <w:r>
        <w:rPr>
          <w:spacing w:val="25"/>
        </w:rPr>
        <w:t> </w:t>
      </w:r>
      <w:r>
        <w:rPr>
          <w:spacing w:val="-1"/>
        </w:rPr>
        <w:t>Solaire</w:t>
      </w:r>
      <w:r>
        <w:rPr>
          <w:spacing w:val="29"/>
        </w:rPr>
        <w:t> </w:t>
      </w:r>
      <w:r>
        <w:rPr/>
        <w:t>Norman </w:t>
      </w:r>
      <w:r>
        <w:rPr>
          <w:spacing w:val="-3"/>
        </w:rPr>
        <w:t>Foster</w:t>
      </w:r>
      <w:r>
        <w:rPr/>
        <w:t> 2016.</w:t>
      </w:r>
      <w:r>
        <w:rPr>
          <w:i w:val="0"/>
        </w:rPr>
      </w:r>
    </w:p>
    <w:p>
      <w:pPr>
        <w:spacing w:before="67"/>
        <w:ind w:left="106" w:right="0" w:firstLine="0"/>
        <w:jc w:val="both"/>
        <w:rPr>
          <w:rFonts w:ascii="Theinhardt Black" w:hAnsi="Theinhardt Black" w:cs="Theinhardt Black" w:eastAsia="Theinhardt Black"/>
          <w:sz w:val="14"/>
          <w:szCs w:val="14"/>
        </w:rPr>
      </w:pPr>
      <w:r>
        <w:rPr/>
        <w:br w:type="column"/>
      </w:r>
      <w:r>
        <w:rPr>
          <w:rFonts w:ascii="Theinhardt Black"/>
          <w:b/>
          <w:sz w:val="14"/>
        </w:rPr>
        <w:t>Technische </w:t>
      </w:r>
      <w:r>
        <w:rPr>
          <w:rFonts w:ascii="Theinhardt Black"/>
          <w:b/>
          <w:spacing w:val="1"/>
          <w:sz w:val="14"/>
        </w:rPr>
        <w:t>Daten</w:t>
      </w:r>
      <w:r>
        <w:rPr>
          <w:rFonts w:ascii="Theinhardt Black"/>
          <w:sz w:val="14"/>
        </w:rPr>
      </w:r>
    </w:p>
    <w:p>
      <w:pPr>
        <w:spacing w:line="240" w:lineRule="auto" w:before="10"/>
        <w:rPr>
          <w:rFonts w:ascii="Theinhardt Black" w:hAnsi="Theinhardt Black" w:cs="Theinhardt Black" w:eastAsia="Theinhardt Black"/>
          <w:b/>
          <w:bCs/>
          <w:sz w:val="2"/>
          <w:szCs w:val="2"/>
        </w:rPr>
      </w:pPr>
    </w:p>
    <w:p>
      <w:pPr>
        <w:spacing w:line="20" w:lineRule="atLeast"/>
        <w:ind w:left="106" w:right="0" w:firstLine="0"/>
        <w:rPr>
          <w:rFonts w:ascii="Theinhardt Black" w:hAnsi="Theinhardt Black" w:cs="Theinhardt Black" w:eastAsia="Theinhardt Black"/>
          <w:sz w:val="2"/>
          <w:szCs w:val="2"/>
        </w:rPr>
      </w:pPr>
      <w:r>
        <w:rPr>
          <w:rFonts w:ascii="Theinhardt Black" w:hAnsi="Theinhardt Black" w:cs="Theinhardt Black" w:eastAsia="Theinhardt Black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00000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00000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000000">
                <v:path arrowok="t"/>
              </v:shape>
            </v:group>
          </v:group>
        </w:pict>
      </w:r>
      <w:r>
        <w:rPr>
          <w:rFonts w:ascii="Theinhardt Black" w:hAnsi="Theinhardt Black" w:cs="Theinhardt Black" w:eastAsia="Theinhardt Black"/>
          <w:sz w:val="2"/>
          <w:szCs w:val="2"/>
        </w:rPr>
      </w:r>
    </w:p>
    <w:p>
      <w:pPr>
        <w:spacing w:line="172" w:lineRule="exact" w:before="20"/>
        <w:ind w:left="106" w:right="0" w:firstLine="0"/>
        <w:jc w:val="both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spacing w:val="1"/>
          <w:sz w:val="14"/>
        </w:rPr>
        <w:t>Wärmedämmung</w:t>
      </w:r>
      <w:r>
        <w:rPr>
          <w:rFonts w:ascii="Theinhardt Bold" w:hAnsi="Theinhardt Bold"/>
          <w:sz w:val="14"/>
        </w:rPr>
      </w:r>
    </w:p>
    <w:p>
      <w:pPr>
        <w:tabs>
          <w:tab w:pos="906" w:val="left" w:leader="none"/>
          <w:tab w:pos="1117" w:val="left" w:leader="none"/>
        </w:tabs>
        <w:spacing w:line="207" w:lineRule="auto" w:before="6"/>
        <w:ind w:left="106" w:right="333" w:firstLine="0"/>
        <w:jc w:val="both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z w:val="14"/>
        </w:rPr>
        <w:t>Wand:</w:t>
        <w:tab/>
      </w:r>
      <w:r>
        <w:rPr>
          <w:rFonts w:ascii="Theinhardt Regular"/>
          <w:spacing w:val="-4"/>
          <w:sz w:val="14"/>
        </w:rPr>
        <w:t>31/45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cm</w:t>
      </w:r>
      <w:r>
        <w:rPr>
          <w:rFonts w:ascii="Theinhardt Regular"/>
          <w:spacing w:val="20"/>
          <w:sz w:val="14"/>
        </w:rPr>
        <w:t> </w:t>
      </w:r>
      <w:r>
        <w:rPr>
          <w:rFonts w:ascii="Theinhardt Regular"/>
          <w:spacing w:val="1"/>
          <w:sz w:val="14"/>
        </w:rPr>
        <w:t>U-Wert:</w:t>
      </w:r>
      <w:r>
        <w:rPr>
          <w:rFonts w:ascii="Theinhardt Regular"/>
          <w:spacing w:val="12"/>
          <w:sz w:val="14"/>
        </w:rPr>
        <w:t> </w:t>
      </w:r>
      <w:r>
        <w:rPr>
          <w:rFonts w:ascii="Theinhardt Regular"/>
          <w:spacing w:val="-4"/>
          <w:sz w:val="13"/>
        </w:rPr>
        <w:t>0.13/0.16</w:t>
      </w:r>
      <w:r>
        <w:rPr>
          <w:rFonts w:ascii="Theinhardt Regular"/>
          <w:spacing w:val="1"/>
          <w:sz w:val="13"/>
        </w:rPr>
        <w:t> </w:t>
      </w:r>
      <w:r>
        <w:rPr>
          <w:rFonts w:ascii="Theinhardt Regular"/>
          <w:spacing w:val="-2"/>
          <w:sz w:val="13"/>
        </w:rPr>
        <w:t>W/m</w:t>
      </w:r>
      <w:r>
        <w:rPr>
          <w:rFonts w:ascii="Theinhardt Regular"/>
          <w:spacing w:val="-2"/>
          <w:position w:val="4"/>
          <w:sz w:val="7"/>
        </w:rPr>
        <w:t>2</w:t>
      </w:r>
      <w:r>
        <w:rPr>
          <w:rFonts w:ascii="Theinhardt Regular"/>
          <w:spacing w:val="-2"/>
          <w:sz w:val="13"/>
        </w:rPr>
        <w:t>K</w:t>
      </w:r>
      <w:r>
        <w:rPr>
          <w:rFonts w:ascii="Theinhardt Regular"/>
          <w:spacing w:val="25"/>
          <w:sz w:val="13"/>
        </w:rPr>
        <w:t> </w:t>
      </w:r>
      <w:r>
        <w:rPr>
          <w:rFonts w:ascii="Theinhardt Regular"/>
          <w:spacing w:val="1"/>
          <w:sz w:val="14"/>
        </w:rPr>
        <w:t>Dach:</w:t>
        <w:tab/>
        <w:tab/>
      </w:r>
      <w:r>
        <w:rPr>
          <w:rFonts w:ascii="Theinhardt Regular"/>
          <w:sz w:val="14"/>
        </w:rPr>
        <w:t>49 </w:t>
      </w:r>
      <w:r>
        <w:rPr>
          <w:rFonts w:ascii="Theinhardt Regular"/>
          <w:spacing w:val="1"/>
          <w:sz w:val="14"/>
        </w:rPr>
        <w:t>cm</w:t>
      </w:r>
      <w:r>
        <w:rPr>
          <w:rFonts w:ascii="Theinhardt Regular"/>
          <w:spacing w:val="18"/>
          <w:sz w:val="14"/>
        </w:rPr>
        <w:t> </w:t>
      </w:r>
      <w:r>
        <w:rPr>
          <w:rFonts w:ascii="Theinhardt Regular"/>
          <w:spacing w:val="1"/>
          <w:sz w:val="14"/>
        </w:rPr>
        <w:t>U-Wert:</w:t>
      </w:r>
      <w:r>
        <w:rPr>
          <w:rFonts w:ascii="Theinhardt Regular"/>
          <w:spacing w:val="6"/>
          <w:sz w:val="14"/>
        </w:rPr>
        <w:t> </w:t>
      </w:r>
      <w:r>
        <w:rPr>
          <w:rFonts w:ascii="Theinhardt Regular"/>
          <w:spacing w:val="-5"/>
          <w:sz w:val="14"/>
        </w:rPr>
        <w:t>0.13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2"/>
          <w:sz w:val="14"/>
        </w:rPr>
        <w:t>W/m</w:t>
      </w:r>
      <w:r>
        <w:rPr>
          <w:rFonts w:ascii="Theinhardt Regular"/>
          <w:spacing w:val="-2"/>
          <w:position w:val="5"/>
          <w:sz w:val="8"/>
        </w:rPr>
        <w:t>2</w:t>
      </w:r>
      <w:r>
        <w:rPr>
          <w:rFonts w:ascii="Theinhardt Regular"/>
          <w:spacing w:val="-2"/>
          <w:sz w:val="14"/>
        </w:rPr>
        <w:t>K</w:t>
      </w:r>
      <w:r>
        <w:rPr>
          <w:rFonts w:ascii="Theinhardt Regular"/>
          <w:spacing w:val="27"/>
          <w:sz w:val="14"/>
        </w:rPr>
        <w:t> </w:t>
      </w:r>
      <w:r>
        <w:rPr>
          <w:rFonts w:ascii="Theinhardt Regular"/>
          <w:spacing w:val="1"/>
          <w:sz w:val="14"/>
        </w:rPr>
        <w:t>Boden:</w:t>
      </w:r>
      <w:r>
        <w:rPr>
          <w:rFonts w:ascii="Theinhardt Regular"/>
          <w:spacing w:val="37"/>
          <w:sz w:val="14"/>
        </w:rPr>
        <w:t> </w:t>
      </w:r>
      <w:r>
        <w:rPr>
          <w:rFonts w:ascii="Theinhardt Regular"/>
          <w:sz w:val="14"/>
        </w:rPr>
        <w:t>52/75 </w:t>
      </w:r>
      <w:r>
        <w:rPr>
          <w:rFonts w:ascii="Theinhardt Regular"/>
          <w:spacing w:val="1"/>
          <w:sz w:val="14"/>
        </w:rPr>
        <w:t>cm</w:t>
      </w:r>
      <w:r>
        <w:rPr>
          <w:rFonts w:ascii="Theinhardt Regular"/>
          <w:spacing w:val="19"/>
          <w:sz w:val="14"/>
        </w:rPr>
        <w:t> </w:t>
      </w:r>
      <w:r>
        <w:rPr>
          <w:rFonts w:ascii="Theinhardt Regular"/>
          <w:spacing w:val="1"/>
          <w:sz w:val="14"/>
        </w:rPr>
        <w:t>U-Wert:</w:t>
      </w:r>
      <w:r>
        <w:rPr>
          <w:rFonts w:ascii="Theinhardt Regular"/>
          <w:spacing w:val="3"/>
          <w:sz w:val="14"/>
        </w:rPr>
        <w:t> </w:t>
      </w:r>
      <w:r>
        <w:rPr>
          <w:rFonts w:ascii="Theinhardt Regular"/>
          <w:spacing w:val="-3"/>
          <w:sz w:val="13"/>
        </w:rPr>
        <w:t>0.11/0.20</w:t>
      </w:r>
      <w:r>
        <w:rPr>
          <w:rFonts w:ascii="Theinhardt Regular"/>
          <w:sz w:val="13"/>
        </w:rPr>
        <w:t> </w:t>
      </w:r>
      <w:r>
        <w:rPr>
          <w:rFonts w:ascii="Theinhardt Regular"/>
          <w:spacing w:val="-2"/>
          <w:sz w:val="13"/>
        </w:rPr>
        <w:t>W/m</w:t>
      </w:r>
      <w:r>
        <w:rPr>
          <w:rFonts w:ascii="Theinhardt Regular"/>
          <w:spacing w:val="-2"/>
          <w:position w:val="4"/>
          <w:sz w:val="7"/>
        </w:rPr>
        <w:t>2</w:t>
      </w:r>
      <w:r>
        <w:rPr>
          <w:rFonts w:ascii="Theinhardt Regular"/>
          <w:spacing w:val="-2"/>
          <w:sz w:val="13"/>
        </w:rPr>
        <w:t>K</w:t>
      </w:r>
      <w:r>
        <w:rPr>
          <w:rFonts w:ascii="Theinhardt Regular"/>
          <w:spacing w:val="28"/>
          <w:sz w:val="13"/>
        </w:rPr>
        <w:t> </w:t>
      </w:r>
      <w:r>
        <w:rPr>
          <w:rFonts w:ascii="Theinhardt Regular"/>
          <w:spacing w:val="1"/>
          <w:sz w:val="14"/>
        </w:rPr>
        <w:t>Fenster:</w:t>
      </w:r>
      <w:r>
        <w:rPr>
          <w:rFonts w:ascii="Theinhardt Regular"/>
          <w:sz w:val="14"/>
        </w:rPr>
        <w:t>         </w:t>
      </w:r>
      <w:r>
        <w:rPr>
          <w:rFonts w:ascii="Theinhardt Regular"/>
          <w:spacing w:val="9"/>
          <w:sz w:val="14"/>
        </w:rPr>
        <w:t> </w:t>
      </w:r>
      <w:r>
        <w:rPr>
          <w:rFonts w:ascii="Theinhardt Regular"/>
          <w:spacing w:val="1"/>
          <w:sz w:val="14"/>
        </w:rPr>
        <w:t>dreifach</w:t>
      </w:r>
      <w:r>
        <w:rPr>
          <w:rFonts w:ascii="Theinhardt Regular"/>
          <w:sz w:val="14"/>
        </w:rPr>
        <w:t>    </w:t>
      </w:r>
      <w:r>
        <w:rPr>
          <w:rFonts w:ascii="Theinhardt Regular"/>
          <w:spacing w:val="18"/>
          <w:sz w:val="14"/>
        </w:rPr>
        <w:t> </w:t>
      </w:r>
      <w:r>
        <w:rPr>
          <w:rFonts w:ascii="Theinhardt Regular"/>
          <w:spacing w:val="1"/>
          <w:sz w:val="14"/>
        </w:rPr>
        <w:t>U-Wert:</w:t>
      </w:r>
      <w:r>
        <w:rPr>
          <w:rFonts w:ascii="Theinhardt Regular"/>
          <w:sz w:val="14"/>
        </w:rPr>
        <w:t>      </w:t>
      </w:r>
      <w:r>
        <w:rPr>
          <w:rFonts w:ascii="Theinhardt Regular"/>
          <w:spacing w:val="21"/>
          <w:sz w:val="14"/>
        </w:rPr>
        <w:t> </w:t>
      </w:r>
      <w:r>
        <w:rPr>
          <w:rFonts w:ascii="Theinhardt Regular"/>
          <w:sz w:val="14"/>
        </w:rPr>
        <w:t>0.80 </w:t>
      </w:r>
      <w:r>
        <w:rPr>
          <w:rFonts w:ascii="Theinhardt Regular"/>
          <w:spacing w:val="-2"/>
          <w:sz w:val="14"/>
        </w:rPr>
        <w:t>W/m</w:t>
      </w:r>
      <w:r>
        <w:rPr>
          <w:rFonts w:ascii="Theinhardt Regular"/>
          <w:spacing w:val="-2"/>
          <w:position w:val="5"/>
          <w:sz w:val="8"/>
        </w:rPr>
        <w:t>2</w:t>
      </w:r>
      <w:r>
        <w:rPr>
          <w:rFonts w:ascii="Theinhardt Regular"/>
          <w:spacing w:val="-2"/>
          <w:sz w:val="14"/>
        </w:rPr>
        <w:t>K</w:t>
      </w:r>
    </w:p>
    <w:p>
      <w:pPr>
        <w:spacing w:line="172" w:lineRule="exact" w:before="38"/>
        <w:ind w:left="106" w:right="0" w:firstLine="0"/>
        <w:jc w:val="both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pacing w:val="3"/>
          <w:sz w:val="14"/>
        </w:rPr>
        <w:t>E</w:t>
      </w:r>
      <w:r>
        <w:rPr>
          <w:rFonts w:ascii="Theinhardt Bold"/>
          <w:b/>
          <w:spacing w:val="2"/>
          <w:sz w:val="14"/>
        </w:rPr>
        <w:t>ner</w:t>
      </w:r>
      <w:r>
        <w:rPr>
          <w:rFonts w:ascii="Theinhardt Bold"/>
          <w:b/>
          <w:spacing w:val="1"/>
          <w:sz w:val="14"/>
        </w:rPr>
        <w:t>g</w:t>
      </w:r>
      <w:r>
        <w:rPr>
          <w:rFonts w:ascii="Theinhardt Bold"/>
          <w:b/>
          <w:spacing w:val="2"/>
          <w:sz w:val="14"/>
        </w:rPr>
        <w:t>iebeda</w:t>
      </w:r>
      <w:r>
        <w:rPr>
          <w:rFonts w:ascii="Theinhardt Bold"/>
          <w:b/>
          <w:spacing w:val="4"/>
          <w:sz w:val="14"/>
        </w:rPr>
        <w:t>r</w:t>
      </w:r>
      <w:r>
        <w:rPr>
          <w:rFonts w:ascii="Theinhardt Bold"/>
          <w:b/>
          <w:sz w:val="14"/>
        </w:rPr>
        <w:t>f</w:t>
      </w:r>
      <w:r>
        <w:rPr>
          <w:rFonts w:ascii="Theinhardt Bold"/>
          <w:sz w:val="14"/>
        </w:rPr>
      </w:r>
    </w:p>
    <w:p>
      <w:pPr>
        <w:tabs>
          <w:tab w:pos="1519" w:val="left" w:leader="none"/>
          <w:tab w:pos="1884" w:val="left" w:leader="none"/>
          <w:tab w:pos="2388" w:val="left" w:leader="none"/>
          <w:tab w:pos="2418" w:val="left" w:leader="none"/>
          <w:tab w:pos="2773" w:val="left" w:leader="none"/>
          <w:tab w:pos="2824" w:val="left" w:leader="none"/>
        </w:tabs>
        <w:spacing w:line="207" w:lineRule="auto" w:before="6"/>
        <w:ind w:left="106" w:right="333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EBF: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-1"/>
          <w:sz w:val="14"/>
          <w:szCs w:val="14"/>
        </w:rPr>
        <w:t>10’392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-1"/>
          <w:sz w:val="14"/>
          <w:szCs w:val="14"/>
        </w:rPr>
        <w:t>m</w:t>
      </w:r>
      <w:r>
        <w:rPr>
          <w:rFonts w:ascii="Theinhardt Regular" w:hAnsi="Theinhardt Regular" w:cs="Theinhardt Regular" w:eastAsia="Theinhardt Regular"/>
          <w:spacing w:val="-1"/>
          <w:position w:val="5"/>
          <w:sz w:val="8"/>
          <w:szCs w:val="8"/>
        </w:rPr>
        <w:t>2</w:t>
        <w:tab/>
      </w:r>
      <w:r>
        <w:rPr>
          <w:rFonts w:ascii="Theinhardt Regular" w:hAnsi="Theinhardt Regular" w:cs="Theinhardt Regular" w:eastAsia="Theinhardt Regular"/>
          <w:sz w:val="14"/>
          <w:szCs w:val="14"/>
        </w:rPr>
        <w:t>kWh/m</w:t>
      </w:r>
      <w:r>
        <w:rPr>
          <w:rFonts w:ascii="Theinhardt Regular" w:hAnsi="Theinhardt Regular" w:cs="Theinhardt Regular" w:eastAsia="Theinhardt Regular"/>
          <w:position w:val="5"/>
          <w:sz w:val="8"/>
          <w:szCs w:val="8"/>
        </w:rPr>
        <w:t>2</w:t>
      </w:r>
      <w:r>
        <w:rPr>
          <w:rFonts w:ascii="Theinhardt Regular" w:hAnsi="Theinhardt Regular" w:cs="Theinhardt Regular" w:eastAsia="Theinhardt Regular"/>
          <w:sz w:val="14"/>
          <w:szCs w:val="14"/>
        </w:rPr>
        <w:t>a</w:t>
        <w:tab/>
        <w:tab/>
        <w:t>%</w:t>
        <w:tab/>
        <w:tab/>
        <w:t>kWh/a</w:t>
      </w:r>
      <w:r>
        <w:rPr>
          <w:rFonts w:ascii="Theinhardt Regular" w:hAnsi="Theinhardt Regular" w:cs="Theinhardt Regular" w:eastAsia="Theinhardt Regular"/>
          <w:spacing w:val="30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w w:val="95"/>
          <w:sz w:val="14"/>
          <w:szCs w:val="14"/>
        </w:rPr>
        <w:t>Heizung:</w:t>
        <w:tab/>
        <w:tab/>
      </w:r>
      <w:r>
        <w:rPr>
          <w:rFonts w:ascii="Theinhardt Regular" w:hAnsi="Theinhardt Regular" w:cs="Theinhardt Regular" w:eastAsia="Theinhardt Regular"/>
          <w:spacing w:val="-1"/>
          <w:sz w:val="14"/>
          <w:szCs w:val="14"/>
        </w:rPr>
        <w:t>6.4</w:t>
        <w:tab/>
      </w:r>
      <w:r>
        <w:rPr>
          <w:rFonts w:ascii="Theinhardt Regular" w:hAnsi="Theinhardt Regular" w:cs="Theinhardt Regular" w:eastAsia="Theinhardt Regular"/>
          <w:spacing w:val="-5"/>
          <w:sz w:val="14"/>
          <w:szCs w:val="14"/>
        </w:rPr>
        <w:t>17</w:t>
        <w:tab/>
      </w:r>
      <w:r>
        <w:rPr>
          <w:rFonts w:ascii="Theinhardt Regular" w:hAnsi="Theinhardt Regular" w:cs="Theinhardt Regular" w:eastAsia="Theinhardt Regular"/>
          <w:sz w:val="14"/>
          <w:szCs w:val="14"/>
        </w:rPr>
        <w:t>66’289</w:t>
      </w:r>
    </w:p>
    <w:p>
      <w:pPr>
        <w:tabs>
          <w:tab w:pos="1886" w:val="left" w:leader="none"/>
        </w:tabs>
        <w:spacing w:line="154" w:lineRule="exact" w:before="0"/>
        <w:ind w:left="106" w:right="0" w:firstLine="0"/>
        <w:jc w:val="both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Warmwasser:</w:t>
        <w:tab/>
      </w:r>
      <w:r>
        <w:rPr>
          <w:rFonts w:ascii="Theinhardt Regular" w:hAnsi="Theinhardt Regular" w:cs="Theinhardt Regular" w:eastAsia="Theinhardt Regular"/>
          <w:spacing w:val="-1"/>
          <w:sz w:val="14"/>
          <w:szCs w:val="14"/>
        </w:rPr>
        <w:t>9.4</w:t>
      </w:r>
      <w:r>
        <w:rPr>
          <w:rFonts w:ascii="Theinhardt Regular" w:hAnsi="Theinhardt Regular" w:cs="Theinhardt Regular" w:eastAsia="Theinhardt Regular"/>
          <w:sz w:val="14"/>
          <w:szCs w:val="14"/>
        </w:rPr>
        <w:t>      </w:t>
      </w:r>
      <w:r>
        <w:rPr>
          <w:rFonts w:ascii="Theinhardt Regular" w:hAnsi="Theinhardt Regular" w:cs="Theinhardt Regular" w:eastAsia="Theinhardt Regular"/>
          <w:spacing w:val="32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-2"/>
          <w:sz w:val="14"/>
          <w:szCs w:val="14"/>
        </w:rPr>
        <w:t>24</w:t>
      </w:r>
      <w:r>
        <w:rPr>
          <w:rFonts w:ascii="Theinhardt Regular" w:hAnsi="Theinhardt Regular" w:cs="Theinhardt Regular" w:eastAsia="Theinhardt Regular"/>
          <w:sz w:val="14"/>
          <w:szCs w:val="14"/>
        </w:rPr>
        <w:t>     </w:t>
      </w:r>
      <w:r>
        <w:rPr>
          <w:rFonts w:ascii="Theinhardt Regular" w:hAnsi="Theinhardt Regular" w:cs="Theinhardt Regular" w:eastAsia="Theinhardt Regular"/>
          <w:spacing w:val="9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-2"/>
          <w:sz w:val="14"/>
          <w:szCs w:val="14"/>
        </w:rPr>
        <w:t>97’165</w:t>
      </w:r>
    </w:p>
    <w:p>
      <w:pPr>
        <w:spacing w:line="160" w:lineRule="exact" w:before="0"/>
        <w:ind w:left="107" w:right="0" w:firstLine="0"/>
        <w:jc w:val="both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spacing w:val="2"/>
          <w:sz w:val="14"/>
          <w:szCs w:val="14"/>
        </w:rPr>
        <w:t>Elektrizität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WP/Lüftung:</w:t>
      </w:r>
      <w:r>
        <w:rPr>
          <w:rFonts w:ascii="Theinhardt Regular" w:hAnsi="Theinhardt Regular" w:cs="Theinhardt Regular" w:eastAsia="Theinhardt Regular"/>
          <w:sz w:val="14"/>
          <w:szCs w:val="14"/>
        </w:rPr>
        <w:t>       </w:t>
      </w:r>
      <w:r>
        <w:rPr>
          <w:rFonts w:ascii="Theinhardt Regular" w:hAnsi="Theinhardt Regular" w:cs="Theinhardt Regular" w:eastAsia="Theinhardt Regular"/>
          <w:spacing w:val="10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-4"/>
          <w:sz w:val="14"/>
          <w:szCs w:val="14"/>
        </w:rPr>
        <w:t>4.1</w:t>
      </w:r>
      <w:r>
        <w:rPr>
          <w:rFonts w:ascii="Theinhardt Regular" w:hAnsi="Theinhardt Regular" w:cs="Theinhardt Regular" w:eastAsia="Theinhardt Regular"/>
          <w:sz w:val="14"/>
          <w:szCs w:val="14"/>
        </w:rPr>
        <w:t>       </w:t>
      </w:r>
      <w:r>
        <w:rPr>
          <w:rFonts w:ascii="Theinhardt Regular" w:hAnsi="Theinhardt Regular" w:cs="Theinhardt Regular" w:eastAsia="Theinhardt Regular"/>
          <w:spacing w:val="4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-7"/>
          <w:sz w:val="14"/>
          <w:szCs w:val="14"/>
        </w:rPr>
        <w:t>11</w:t>
      </w:r>
      <w:r>
        <w:rPr>
          <w:rFonts w:ascii="Theinhardt Regular" w:hAnsi="Theinhardt Regular" w:cs="Theinhardt Regular" w:eastAsia="Theinhardt Regular"/>
          <w:sz w:val="14"/>
          <w:szCs w:val="14"/>
        </w:rPr>
        <w:t>    </w:t>
      </w:r>
      <w:r>
        <w:rPr>
          <w:rFonts w:ascii="Theinhardt Regular" w:hAnsi="Theinhardt Regular" w:cs="Theinhardt Regular" w:eastAsia="Theinhardt Regular"/>
          <w:spacing w:val="36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z w:val="14"/>
          <w:szCs w:val="14"/>
        </w:rPr>
        <w:t>42’950</w:t>
      </w:r>
    </w:p>
    <w:p>
      <w:pPr>
        <w:tabs>
          <w:tab w:pos="1805" w:val="left" w:leader="none"/>
        </w:tabs>
        <w:spacing w:line="160" w:lineRule="exact" w:before="0"/>
        <w:ind w:left="107" w:right="0" w:firstLine="0"/>
        <w:jc w:val="both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spacing w:val="2"/>
          <w:sz w:val="14"/>
          <w:szCs w:val="14"/>
        </w:rPr>
        <w:t>Elektrizität:</w:t>
        <w:tab/>
      </w:r>
      <w:r>
        <w:rPr>
          <w:rFonts w:ascii="Theinhardt Regular" w:hAnsi="Theinhardt Regular" w:cs="Theinhardt Regular" w:eastAsia="Theinhardt Regular"/>
          <w:spacing w:val="-2"/>
          <w:sz w:val="14"/>
          <w:szCs w:val="14"/>
        </w:rPr>
        <w:t>18.3</w:t>
      </w:r>
      <w:r>
        <w:rPr>
          <w:rFonts w:ascii="Theinhardt Regular" w:hAnsi="Theinhardt Regular" w:cs="Theinhardt Regular" w:eastAsia="Theinhardt Regular"/>
          <w:sz w:val="14"/>
          <w:szCs w:val="14"/>
        </w:rPr>
        <w:t>      </w:t>
      </w:r>
      <w:r>
        <w:rPr>
          <w:rFonts w:ascii="Theinhardt Regular" w:hAnsi="Theinhardt Regular" w:cs="Theinhardt Regular" w:eastAsia="Theinhardt Regular"/>
          <w:spacing w:val="26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48</w:t>
      </w:r>
      <w:r>
        <w:rPr>
          <w:rFonts w:ascii="Theinhardt Regular" w:hAnsi="Theinhardt Regular" w:cs="Theinhardt Regular" w:eastAsia="Theinhardt Regular"/>
          <w:sz w:val="14"/>
          <w:szCs w:val="14"/>
        </w:rPr>
        <w:t>  </w:t>
      </w:r>
      <w:r>
        <w:rPr>
          <w:rFonts w:ascii="Theinhardt Regular" w:hAnsi="Theinhardt Regular" w:cs="Theinhardt Regular" w:eastAsia="Theinhardt Regular"/>
          <w:spacing w:val="30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z w:val="14"/>
          <w:szCs w:val="14"/>
        </w:rPr>
        <w:t>190’790</w:t>
      </w:r>
    </w:p>
    <w:p>
      <w:pPr>
        <w:tabs>
          <w:tab w:pos="1787" w:val="left" w:leader="none"/>
        </w:tabs>
        <w:spacing w:line="172" w:lineRule="exact" w:before="0"/>
        <w:ind w:left="107" w:right="0" w:firstLine="0"/>
        <w:jc w:val="both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spacing w:val="2"/>
          <w:sz w:val="14"/>
          <w:szCs w:val="14"/>
        </w:rPr>
        <w:t>GesamtEB:</w:t>
        <w:tab/>
        <w:t>38.2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    </w:t>
      </w:r>
      <w:r>
        <w:rPr>
          <w:rFonts w:ascii="Theinhardt Bold" w:hAnsi="Theinhardt Bold" w:cs="Theinhardt Bold" w:eastAsia="Theinhardt Bold"/>
          <w:b/>
          <w:bCs/>
          <w:spacing w:val="2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-1"/>
          <w:sz w:val="14"/>
          <w:szCs w:val="14"/>
        </w:rPr>
        <w:t>100</w:t>
      </w:r>
      <w:r>
        <w:rPr>
          <w:rFonts w:ascii="Theinhardt Regular" w:hAnsi="Theinhardt Regular" w:cs="Theinhardt Regular" w:eastAsia="Theinhardt Regular"/>
          <w:sz w:val="14"/>
          <w:szCs w:val="14"/>
        </w:rPr>
        <w:t>  </w:t>
      </w:r>
      <w:r>
        <w:rPr>
          <w:rFonts w:ascii="Theinhardt Regular" w:hAnsi="Theinhardt Regular" w:cs="Theinhardt Regular" w:eastAsia="Theinhardt Regular"/>
          <w:spacing w:val="21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397’194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spacing w:line="172" w:lineRule="exact" w:before="32"/>
        <w:ind w:left="106" w:right="0" w:firstLine="0"/>
        <w:jc w:val="both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pacing w:val="1"/>
          <w:sz w:val="14"/>
        </w:rPr>
        <w:t>Energieversorgung</w:t>
      </w:r>
      <w:r>
        <w:rPr>
          <w:rFonts w:ascii="Theinhardt Bold"/>
          <w:sz w:val="14"/>
        </w:rPr>
      </w:r>
    </w:p>
    <w:p>
      <w:pPr>
        <w:tabs>
          <w:tab w:pos="1724" w:val="left" w:leader="none"/>
          <w:tab w:pos="2321" w:val="left" w:leader="none"/>
          <w:tab w:pos="2418" w:val="left" w:leader="none"/>
          <w:tab w:pos="2824" w:val="left" w:leader="none"/>
        </w:tabs>
        <w:spacing w:line="207" w:lineRule="auto" w:before="6"/>
        <w:ind w:left="106" w:right="333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Eigen-EV:</w:t>
      </w:r>
      <w:r>
        <w:rPr>
          <w:rFonts w:ascii="Theinhardt Regular" w:hAnsi="Theinhardt Regular" w:cs="Theinhardt Regular" w:eastAsia="Theinhardt Regular"/>
          <w:sz w:val="14"/>
          <w:szCs w:val="14"/>
        </w:rPr>
        <w:t>     </w:t>
      </w:r>
      <w:r>
        <w:rPr>
          <w:rFonts w:ascii="Theinhardt Regular" w:hAnsi="Theinhardt Regular" w:cs="Theinhardt Regular" w:eastAsia="Theinhardt Regular"/>
          <w:spacing w:val="-1"/>
          <w:sz w:val="14"/>
          <w:szCs w:val="14"/>
        </w:rPr>
        <w:t>m</w:t>
      </w:r>
      <w:r>
        <w:rPr>
          <w:rFonts w:ascii="Theinhardt Regular" w:hAnsi="Theinhardt Regular" w:cs="Theinhardt Regular" w:eastAsia="Theinhardt Regular"/>
          <w:spacing w:val="-1"/>
          <w:position w:val="5"/>
          <w:sz w:val="8"/>
          <w:szCs w:val="8"/>
        </w:rPr>
        <w:t>2</w:t>
      </w:r>
      <w:r>
        <w:rPr>
          <w:rFonts w:ascii="Theinhardt Regular" w:hAnsi="Theinhardt Regular" w:cs="Theinhardt Regular" w:eastAsia="Theinhardt Regular"/>
          <w:position w:val="5"/>
          <w:sz w:val="8"/>
          <w:szCs w:val="8"/>
        </w:rPr>
        <w:t>  </w:t>
      </w:r>
      <w:r>
        <w:rPr>
          <w:rFonts w:ascii="Theinhardt Regular" w:hAnsi="Theinhardt Regular" w:cs="Theinhardt Regular" w:eastAsia="Theinhardt Regular"/>
          <w:spacing w:val="6"/>
          <w:position w:val="5"/>
          <w:sz w:val="8"/>
          <w:szCs w:val="8"/>
        </w:rPr>
        <w:t> </w:t>
      </w:r>
      <w:r>
        <w:rPr>
          <w:rFonts w:ascii="Theinhardt Regular" w:hAnsi="Theinhardt Regular" w:cs="Theinhardt Regular" w:eastAsia="Theinhardt Regular"/>
          <w:sz w:val="14"/>
          <w:szCs w:val="14"/>
        </w:rPr>
        <w:t>kWp </w:t>
      </w:r>
      <w:r>
        <w:rPr>
          <w:rFonts w:ascii="Theinhardt Regular" w:hAnsi="Theinhardt Regular" w:cs="Theinhardt Regular" w:eastAsia="Theinhardt Regular"/>
          <w:spacing w:val="37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z w:val="14"/>
          <w:szCs w:val="14"/>
        </w:rPr>
        <w:t>kWh/m</w:t>
      </w:r>
      <w:r>
        <w:rPr>
          <w:rFonts w:ascii="Theinhardt Regular" w:hAnsi="Theinhardt Regular" w:cs="Theinhardt Regular" w:eastAsia="Theinhardt Regular"/>
          <w:position w:val="5"/>
          <w:sz w:val="8"/>
          <w:szCs w:val="8"/>
        </w:rPr>
        <w:t>2</w:t>
      </w:r>
      <w:r>
        <w:rPr>
          <w:rFonts w:ascii="Theinhardt Regular" w:hAnsi="Theinhardt Regular" w:cs="Theinhardt Regular" w:eastAsia="Theinhardt Regular"/>
          <w:sz w:val="14"/>
          <w:szCs w:val="14"/>
        </w:rPr>
        <w:t>a</w:t>
        <w:tab/>
        <w:tab/>
        <w:t>%</w:t>
        <w:tab/>
        <w:t>kWh/a</w:t>
      </w:r>
      <w:r>
        <w:rPr>
          <w:rFonts w:ascii="Theinhardt Regular" w:hAnsi="Theinhardt Regular" w:cs="Theinhardt Regular" w:eastAsia="Theinhardt Regular"/>
          <w:spacing w:val="38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2"/>
          <w:sz w:val="14"/>
          <w:szCs w:val="14"/>
        </w:rPr>
        <w:t>PV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Dach: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-2"/>
          <w:sz w:val="14"/>
          <w:szCs w:val="14"/>
        </w:rPr>
        <w:t>3’185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8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z w:val="14"/>
          <w:szCs w:val="14"/>
        </w:rPr>
        <w:t>556</w:t>
        <w:tab/>
      </w:r>
      <w:r>
        <w:rPr>
          <w:rFonts w:ascii="Theinhardt Regular" w:hAnsi="Theinhardt Regular" w:cs="Theinhardt Regular" w:eastAsia="Theinhardt Regular"/>
          <w:spacing w:val="-2"/>
          <w:sz w:val="14"/>
          <w:szCs w:val="14"/>
        </w:rPr>
        <w:t>146.4</w:t>
        <w:tab/>
      </w:r>
      <w:r>
        <w:rPr>
          <w:rFonts w:ascii="Theinhardt Regular" w:hAnsi="Theinhardt Regular" w:cs="Theinhardt Regular" w:eastAsia="Theinhardt Regular"/>
          <w:spacing w:val="-8"/>
          <w:sz w:val="14"/>
          <w:szCs w:val="14"/>
        </w:rPr>
        <w:t>117</w:t>
      </w:r>
      <w:r>
        <w:rPr>
          <w:rFonts w:ascii="Theinhardt Regular" w:hAnsi="Theinhardt Regular" w:cs="Theinhardt Regular" w:eastAsia="Theinhardt Regular"/>
          <w:sz w:val="14"/>
          <w:szCs w:val="14"/>
        </w:rPr>
        <w:t>  </w:t>
      </w:r>
      <w:r>
        <w:rPr>
          <w:rFonts w:ascii="Theinhardt Regular" w:hAnsi="Theinhardt Regular" w:cs="Theinhardt Regular" w:eastAsia="Theinhardt Regular"/>
          <w:spacing w:val="14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1"/>
          <w:sz w:val="14"/>
          <w:szCs w:val="14"/>
        </w:rPr>
        <w:t>466’345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tabs>
          <w:tab w:pos="2418" w:val="left" w:leader="none"/>
        </w:tabs>
        <w:spacing w:line="172" w:lineRule="exact" w:before="38"/>
        <w:ind w:left="107" w:right="0" w:firstLine="0"/>
        <w:jc w:val="both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/>
          <w:b/>
          <w:spacing w:val="1"/>
          <w:sz w:val="14"/>
        </w:rPr>
        <w:t>Energiebilanz</w:t>
      </w:r>
      <w:r>
        <w:rPr>
          <w:rFonts w:ascii="Theinhardt Bold"/>
          <w:b/>
          <w:sz w:val="14"/>
        </w:rPr>
        <w:t> </w:t>
      </w:r>
      <w:r>
        <w:rPr>
          <w:rFonts w:ascii="Theinhardt Regular"/>
          <w:spacing w:val="1"/>
          <w:sz w:val="14"/>
        </w:rPr>
        <w:t>(Endenergie)</w:t>
        <w:tab/>
      </w:r>
      <w:r>
        <w:rPr>
          <w:rFonts w:ascii="Theinhardt Regular"/>
          <w:sz w:val="14"/>
        </w:rPr>
        <w:t>%      </w:t>
      </w:r>
      <w:r>
        <w:rPr>
          <w:rFonts w:ascii="Theinhardt Regular"/>
          <w:spacing w:val="12"/>
          <w:sz w:val="14"/>
        </w:rPr>
        <w:t> </w:t>
      </w:r>
      <w:r>
        <w:rPr>
          <w:rFonts w:ascii="Theinhardt Regular"/>
          <w:sz w:val="14"/>
        </w:rPr>
        <w:t>kWh/a</w:t>
      </w:r>
    </w:p>
    <w:p>
      <w:pPr>
        <w:tabs>
          <w:tab w:pos="2313" w:val="left" w:leader="none"/>
        </w:tabs>
        <w:spacing w:line="160" w:lineRule="exact" w:before="0"/>
        <w:ind w:left="107" w:right="0" w:firstLine="0"/>
        <w:jc w:val="both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spacing w:val="1"/>
          <w:sz w:val="14"/>
          <w:szCs w:val="14"/>
        </w:rPr>
        <w:t>Eigenenergieversorgung:</w:t>
        <w:tab/>
      </w:r>
      <w:r>
        <w:rPr>
          <w:rFonts w:ascii="Theinhardt Bold" w:hAnsi="Theinhardt Bold" w:cs="Theinhardt Bold" w:eastAsia="Theinhardt Bold"/>
          <w:b/>
          <w:bCs/>
          <w:spacing w:val="-5"/>
          <w:sz w:val="14"/>
          <w:szCs w:val="14"/>
        </w:rPr>
        <w:t>117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 </w:t>
      </w:r>
      <w:r>
        <w:rPr>
          <w:rFonts w:ascii="Theinhardt Bold" w:hAnsi="Theinhardt Bold" w:cs="Theinhardt Bold" w:eastAsia="Theinhardt Bold"/>
          <w:b/>
          <w:bCs/>
          <w:spacing w:val="22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1"/>
          <w:sz w:val="14"/>
          <w:szCs w:val="14"/>
        </w:rPr>
        <w:t>466’345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tabs>
          <w:tab w:pos="2299" w:val="left" w:leader="none"/>
        </w:tabs>
        <w:spacing w:line="160" w:lineRule="exact" w:before="0"/>
        <w:ind w:left="107" w:right="0" w:firstLine="0"/>
        <w:jc w:val="both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spacing w:val="2"/>
          <w:sz w:val="14"/>
          <w:szCs w:val="14"/>
        </w:rPr>
        <w:t>Gesamtenergiebedarf:</w:t>
        <w:tab/>
      </w:r>
      <w:r>
        <w:rPr>
          <w:rFonts w:ascii="Theinhardt Regular" w:hAnsi="Theinhardt Regular" w:cs="Theinhardt Regular" w:eastAsia="Theinhardt Regular"/>
          <w:spacing w:val="-1"/>
          <w:sz w:val="14"/>
          <w:szCs w:val="14"/>
        </w:rPr>
        <w:t>100</w:t>
      </w:r>
      <w:r>
        <w:rPr>
          <w:rFonts w:ascii="Theinhardt Regular" w:hAnsi="Theinhardt Regular" w:cs="Theinhardt Regular" w:eastAsia="Theinhardt Regular"/>
          <w:sz w:val="14"/>
          <w:szCs w:val="14"/>
        </w:rPr>
        <w:t>  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-2"/>
          <w:sz w:val="14"/>
          <w:szCs w:val="14"/>
        </w:rPr>
        <w:t>397’194</w:t>
      </w:r>
    </w:p>
    <w:p>
      <w:pPr>
        <w:tabs>
          <w:tab w:pos="2387" w:val="left" w:leader="none"/>
        </w:tabs>
        <w:spacing w:line="172" w:lineRule="exact" w:before="0"/>
        <w:ind w:left="107" w:right="0" w:firstLine="0"/>
        <w:jc w:val="both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Regular" w:hAnsi="Theinhardt Regular" w:cs="Theinhardt Regular" w:eastAsia="Theinhardt Regular"/>
          <w:spacing w:val="2"/>
          <w:sz w:val="14"/>
          <w:szCs w:val="14"/>
        </w:rPr>
        <w:t>Solarstromüberschuss:</w:t>
        <w:tab/>
      </w:r>
      <w:r>
        <w:rPr>
          <w:rFonts w:ascii="Theinhardt Bold" w:hAnsi="Theinhardt Bold" w:cs="Theinhardt Bold" w:eastAsia="Theinhardt Bold"/>
          <w:b/>
          <w:bCs/>
          <w:spacing w:val="-3"/>
          <w:sz w:val="14"/>
          <w:szCs w:val="14"/>
        </w:rPr>
        <w:t>17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    </w:t>
      </w:r>
      <w:r>
        <w:rPr>
          <w:rFonts w:ascii="Theinhardt Bold" w:hAnsi="Theinhardt Bold" w:cs="Theinhardt Bold" w:eastAsia="Theinhardt Bold"/>
          <w:b/>
          <w:bCs/>
          <w:spacing w:val="18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69’151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spacing w:line="160" w:lineRule="exact" w:before="39"/>
        <w:ind w:left="107" w:right="935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 w:hAnsi="Theinhardt Bold"/>
          <w:b/>
          <w:spacing w:val="2"/>
          <w:sz w:val="14"/>
        </w:rPr>
        <w:t>Bestätigt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1"/>
          <w:sz w:val="14"/>
        </w:rPr>
        <w:t>von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2"/>
          <w:sz w:val="14"/>
        </w:rPr>
        <w:t>ewz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Regular" w:hAnsi="Theinhardt Regular"/>
          <w:sz w:val="14"/>
        </w:rPr>
        <w:t>am </w:t>
      </w:r>
      <w:r>
        <w:rPr>
          <w:rFonts w:ascii="Theinhardt Regular" w:hAnsi="Theinhardt Regular"/>
          <w:spacing w:val="-3"/>
          <w:sz w:val="14"/>
        </w:rPr>
        <w:t>18.07.2016</w:t>
      </w:r>
      <w:r>
        <w:rPr>
          <w:rFonts w:ascii="Theinhardt Regular" w:hAnsi="Theinhardt Regular"/>
          <w:spacing w:val="18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Patrick</w:t>
      </w:r>
      <w:r>
        <w:rPr>
          <w:rFonts w:ascii="Theinhardt Regular" w:hAnsi="Theinhardt Regular"/>
          <w:sz w:val="14"/>
        </w:rPr>
        <w:t> Greber, </w:t>
      </w:r>
      <w:r>
        <w:rPr>
          <w:rFonts w:ascii="Theinhardt Regular" w:hAnsi="Theinhardt Regular"/>
          <w:spacing w:val="-2"/>
          <w:sz w:val="14"/>
        </w:rPr>
        <w:t>Tel.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058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-4"/>
          <w:sz w:val="14"/>
        </w:rPr>
        <w:t>319</w:t>
      </w:r>
      <w:r>
        <w:rPr>
          <w:rFonts w:ascii="Theinhardt Regular" w:hAnsi="Theinhardt Regular"/>
          <w:sz w:val="14"/>
        </w:rPr>
        <w:t> 46 30</w:t>
      </w:r>
    </w:p>
    <w:p>
      <w:pPr>
        <w:spacing w:line="240" w:lineRule="auto" w:before="7"/>
        <w:rPr>
          <w:rFonts w:ascii="Theinhardt Regular" w:hAnsi="Theinhardt Regular" w:cs="Theinhardt Regular" w:eastAsia="Theinhardt Regular"/>
          <w:sz w:val="11"/>
          <w:szCs w:val="11"/>
        </w:rPr>
      </w:pPr>
    </w:p>
    <w:p>
      <w:pPr>
        <w:spacing w:before="0"/>
        <w:ind w:left="107" w:right="0" w:firstLine="0"/>
        <w:jc w:val="both"/>
        <w:rPr>
          <w:rFonts w:ascii="Theinhardt Black" w:hAnsi="Theinhardt Black" w:cs="Theinhardt Black" w:eastAsia="Theinhardt Black"/>
          <w:sz w:val="14"/>
          <w:szCs w:val="14"/>
        </w:rPr>
      </w:pPr>
      <w:r>
        <w:rPr>
          <w:rFonts w:ascii="Theinhardt Black"/>
          <w:b/>
          <w:spacing w:val="1"/>
          <w:sz w:val="14"/>
        </w:rPr>
        <w:t>Kontakt</w:t>
      </w:r>
      <w:r>
        <w:rPr>
          <w:rFonts w:ascii="Theinhardt Black"/>
          <w:sz w:val="14"/>
        </w:rPr>
      </w:r>
    </w:p>
    <w:p>
      <w:pPr>
        <w:spacing w:line="240" w:lineRule="auto" w:before="9"/>
        <w:rPr>
          <w:rFonts w:ascii="Theinhardt Black" w:hAnsi="Theinhardt Black" w:cs="Theinhardt Black" w:eastAsia="Theinhardt Black"/>
          <w:b/>
          <w:bCs/>
          <w:sz w:val="2"/>
          <w:szCs w:val="2"/>
        </w:rPr>
      </w:pPr>
    </w:p>
    <w:p>
      <w:pPr>
        <w:spacing w:line="20" w:lineRule="atLeast"/>
        <w:ind w:left="106" w:right="0" w:firstLine="0"/>
        <w:rPr>
          <w:rFonts w:ascii="Theinhardt Black" w:hAnsi="Theinhardt Black" w:cs="Theinhardt Black" w:eastAsia="Theinhardt Black"/>
          <w:sz w:val="2"/>
          <w:szCs w:val="2"/>
        </w:rPr>
      </w:pPr>
      <w:r>
        <w:rPr>
          <w:rFonts w:ascii="Theinhardt Black" w:hAnsi="Theinhardt Black" w:cs="Theinhardt Black" w:eastAsia="Theinhardt Black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00000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00000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000000">
                <v:path arrowok="t"/>
              </v:shape>
            </v:group>
          </v:group>
        </w:pict>
      </w:r>
      <w:r>
        <w:rPr>
          <w:rFonts w:ascii="Theinhardt Black" w:hAnsi="Theinhardt Black" w:cs="Theinhardt Black" w:eastAsia="Theinhardt Black"/>
          <w:sz w:val="2"/>
          <w:szCs w:val="2"/>
        </w:rPr>
      </w:r>
    </w:p>
    <w:p>
      <w:pPr>
        <w:spacing w:line="172" w:lineRule="exact" w:before="20"/>
        <w:ind w:left="107" w:right="0" w:firstLine="0"/>
        <w:jc w:val="both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spacing w:val="2"/>
          <w:sz w:val="14"/>
        </w:rPr>
        <w:t>Standort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1"/>
          <w:sz w:val="14"/>
        </w:rPr>
        <w:t>des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1"/>
          <w:sz w:val="14"/>
        </w:rPr>
        <w:t>Gebäudes:</w:t>
      </w:r>
      <w:r>
        <w:rPr>
          <w:rFonts w:ascii="Theinhardt Bold" w:hAnsi="Theinhardt Bold"/>
          <w:sz w:val="14"/>
        </w:rPr>
      </w:r>
    </w:p>
    <w:p>
      <w:pPr>
        <w:spacing w:line="160" w:lineRule="exact" w:before="0"/>
        <w:ind w:left="107" w:right="0" w:firstLine="0"/>
        <w:jc w:val="both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1"/>
          <w:sz w:val="14"/>
        </w:rPr>
        <w:t>Siedlung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2"/>
          <w:sz w:val="14"/>
        </w:rPr>
        <w:t>Balberstrasse</w:t>
      </w:r>
      <w:r>
        <w:rPr>
          <w:rFonts w:ascii="Theinhardt Regular"/>
          <w:sz w:val="14"/>
        </w:rPr>
        <w:t> 2</w:t>
      </w:r>
    </w:p>
    <w:p>
      <w:pPr>
        <w:spacing w:line="160" w:lineRule="exact" w:before="0"/>
        <w:ind w:left="107" w:right="0" w:firstLine="0"/>
        <w:jc w:val="both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2"/>
          <w:sz w:val="14"/>
        </w:rPr>
        <w:t>Balberstrasse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3"/>
          <w:sz w:val="14"/>
        </w:rPr>
        <w:t>16-21,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2"/>
          <w:sz w:val="14"/>
        </w:rPr>
        <w:t>Lettenholzstrasse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30</w:t>
      </w:r>
      <w:r>
        <w:rPr>
          <w:rFonts w:ascii="Theinhardt Regular"/>
          <w:sz w:val="14"/>
        </w:rPr>
      </w:r>
    </w:p>
    <w:p>
      <w:pPr>
        <w:spacing w:line="172" w:lineRule="exact" w:before="0"/>
        <w:ind w:left="107" w:right="0" w:firstLine="0"/>
        <w:jc w:val="both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/>
          <w:spacing w:val="1"/>
          <w:sz w:val="14"/>
        </w:rPr>
        <w:t>8038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2"/>
          <w:sz w:val="14"/>
        </w:rPr>
        <w:t>Zürich</w:t>
      </w:r>
      <w:r>
        <w:rPr>
          <w:rFonts w:ascii="Theinhardt Regular" w:hAnsi="Theinhardt Regular"/>
          <w:sz w:val="14"/>
        </w:rPr>
      </w:r>
    </w:p>
    <w:p>
      <w:pPr>
        <w:spacing w:line="172" w:lineRule="exact" w:before="32"/>
        <w:ind w:left="107" w:right="0" w:firstLine="0"/>
        <w:jc w:val="both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pacing w:val="3"/>
          <w:sz w:val="14"/>
        </w:rPr>
        <w:t>B</w:t>
      </w:r>
      <w:r>
        <w:rPr>
          <w:rFonts w:ascii="Theinhardt Bold"/>
          <w:b/>
          <w:spacing w:val="1"/>
          <w:sz w:val="14"/>
        </w:rPr>
        <w:t>au</w:t>
      </w:r>
      <w:r>
        <w:rPr>
          <w:rFonts w:ascii="Theinhardt Bold"/>
          <w:b/>
          <w:spacing w:val="2"/>
          <w:sz w:val="14"/>
        </w:rPr>
        <w:t>he</w:t>
      </w:r>
      <w:r>
        <w:rPr>
          <w:rFonts w:ascii="Theinhardt Bold"/>
          <w:b/>
          <w:spacing w:val="1"/>
          <w:sz w:val="14"/>
        </w:rPr>
        <w:t>r</w:t>
      </w:r>
      <w:r>
        <w:rPr>
          <w:rFonts w:ascii="Theinhardt Bold"/>
          <w:b/>
          <w:spacing w:val="2"/>
          <w:sz w:val="14"/>
        </w:rPr>
        <w:t>rs</w:t>
      </w:r>
      <w:r>
        <w:rPr>
          <w:rFonts w:ascii="Theinhardt Bold"/>
          <w:b/>
          <w:spacing w:val="3"/>
          <w:sz w:val="14"/>
        </w:rPr>
        <w:t>c</w:t>
      </w:r>
      <w:r>
        <w:rPr>
          <w:rFonts w:ascii="Theinhardt Bold"/>
          <w:b/>
          <w:spacing w:val="2"/>
          <w:sz w:val="14"/>
        </w:rPr>
        <w:t>h</w:t>
      </w:r>
      <w:r>
        <w:rPr>
          <w:rFonts w:ascii="Theinhardt Bold"/>
          <w:b/>
          <w:spacing w:val="1"/>
          <w:sz w:val="14"/>
        </w:rPr>
        <w:t>a</w:t>
      </w:r>
      <w:r>
        <w:rPr>
          <w:rFonts w:ascii="Theinhardt Bold"/>
          <w:b/>
          <w:spacing w:val="5"/>
          <w:sz w:val="14"/>
        </w:rPr>
        <w:t>f</w:t>
      </w:r>
      <w:r>
        <w:rPr>
          <w:rFonts w:ascii="Theinhardt Bold"/>
          <w:b/>
          <w:spacing w:val="3"/>
          <w:sz w:val="14"/>
        </w:rPr>
        <w:t>t</w:t>
      </w:r>
      <w:r>
        <w:rPr>
          <w:rFonts w:ascii="Theinhardt Bold"/>
          <w:b/>
          <w:sz w:val="14"/>
        </w:rPr>
        <w:t>:</w:t>
      </w:r>
      <w:r>
        <w:rPr>
          <w:rFonts w:ascii="Theinhardt Bold"/>
          <w:sz w:val="14"/>
        </w:rPr>
      </w:r>
    </w:p>
    <w:p>
      <w:pPr>
        <w:spacing w:line="207" w:lineRule="auto" w:before="6"/>
        <w:ind w:left="10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/>
          <w:spacing w:val="1"/>
          <w:sz w:val="14"/>
        </w:rPr>
        <w:t>Allgemeine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2"/>
          <w:sz w:val="14"/>
        </w:rPr>
        <w:t>Baugenossenschaft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Zürich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3"/>
          <w:sz w:val="14"/>
        </w:rPr>
        <w:t>(ABZ)</w:t>
      </w:r>
      <w:r>
        <w:rPr>
          <w:rFonts w:ascii="Theinhardt Regular" w:hAnsi="Theinhardt Regular"/>
          <w:spacing w:val="36"/>
          <w:sz w:val="14"/>
        </w:rPr>
        <w:t> </w:t>
      </w:r>
      <w:r>
        <w:rPr>
          <w:rFonts w:ascii="Theinhardt Regular" w:hAnsi="Theinhardt Regular"/>
          <w:spacing w:val="2"/>
          <w:sz w:val="14"/>
        </w:rPr>
        <w:t>Ge</w:t>
      </w:r>
      <w:r>
        <w:rPr>
          <w:rFonts w:ascii="Theinhardt Regular" w:hAnsi="Theinhardt Regular"/>
          <w:spacing w:val="8"/>
          <w:sz w:val="14"/>
        </w:rPr>
        <w:t>r</w:t>
      </w:r>
      <w:r>
        <w:rPr>
          <w:rFonts w:ascii="Theinhardt Regular" w:hAnsi="Theinhardt Regular"/>
          <w:spacing w:val="2"/>
          <w:sz w:val="14"/>
        </w:rPr>
        <w:t>t</w:t>
      </w:r>
      <w:r>
        <w:rPr>
          <w:rFonts w:ascii="Theinhardt Regular" w:hAnsi="Theinhardt Regular"/>
          <w:spacing w:val="3"/>
          <w:sz w:val="14"/>
        </w:rPr>
        <w:t>r</w:t>
      </w:r>
      <w:r>
        <w:rPr>
          <w:rFonts w:ascii="Theinhardt Regular" w:hAnsi="Theinhardt Regular"/>
          <w:spacing w:val="2"/>
          <w:sz w:val="14"/>
        </w:rPr>
        <w:t>ud</w:t>
      </w:r>
      <w:r>
        <w:rPr>
          <w:rFonts w:ascii="Theinhardt Regular" w:hAnsi="Theinhardt Regular"/>
          <w:spacing w:val="5"/>
          <w:sz w:val="14"/>
        </w:rPr>
        <w:t>s</w:t>
      </w:r>
      <w:r>
        <w:rPr>
          <w:rFonts w:ascii="Theinhardt Regular" w:hAnsi="Theinhardt Regular"/>
          <w:spacing w:val="2"/>
          <w:sz w:val="14"/>
        </w:rPr>
        <w:t>t</w:t>
      </w:r>
      <w:r>
        <w:rPr>
          <w:rFonts w:ascii="Theinhardt Regular" w:hAnsi="Theinhardt Regular"/>
          <w:spacing w:val="4"/>
          <w:sz w:val="14"/>
        </w:rPr>
        <w:t>ras</w:t>
      </w:r>
      <w:r>
        <w:rPr>
          <w:rFonts w:ascii="Theinhardt Regular" w:hAnsi="Theinhardt Regular"/>
          <w:spacing w:val="2"/>
          <w:sz w:val="14"/>
        </w:rPr>
        <w:t>s</w:t>
      </w:r>
      <w:r>
        <w:rPr>
          <w:rFonts w:ascii="Theinhardt Regular" w:hAnsi="Theinhardt Regular"/>
          <w:sz w:val="14"/>
        </w:rPr>
        <w:t>e </w:t>
      </w:r>
      <w:r>
        <w:rPr>
          <w:rFonts w:ascii="Theinhardt Regular" w:hAnsi="Theinhardt Regular"/>
          <w:spacing w:val="-6"/>
          <w:sz w:val="14"/>
        </w:rPr>
        <w:t>1</w:t>
      </w:r>
      <w:r>
        <w:rPr>
          <w:rFonts w:ascii="Theinhardt Regular" w:hAnsi="Theinhardt Regular"/>
          <w:spacing w:val="2"/>
          <w:sz w:val="14"/>
        </w:rPr>
        <w:t>0</w:t>
      </w:r>
      <w:r>
        <w:rPr>
          <w:rFonts w:ascii="Theinhardt Regular" w:hAnsi="Theinhardt Regular"/>
          <w:sz w:val="14"/>
        </w:rPr>
        <w:t>3, </w:t>
      </w:r>
      <w:r>
        <w:rPr>
          <w:rFonts w:ascii="Theinhardt Regular" w:hAnsi="Theinhardt Regular"/>
          <w:spacing w:val="2"/>
          <w:sz w:val="14"/>
        </w:rPr>
        <w:t>8</w:t>
      </w:r>
      <w:r>
        <w:rPr>
          <w:rFonts w:ascii="Theinhardt Regular" w:hAnsi="Theinhardt Regular"/>
          <w:spacing w:val="4"/>
          <w:sz w:val="14"/>
        </w:rPr>
        <w:t>0</w:t>
      </w:r>
      <w:r>
        <w:rPr>
          <w:rFonts w:ascii="Theinhardt Regular" w:hAnsi="Theinhardt Regular"/>
          <w:spacing w:val="2"/>
          <w:sz w:val="14"/>
        </w:rPr>
        <w:t>0</w:t>
      </w:r>
      <w:r>
        <w:rPr>
          <w:rFonts w:ascii="Theinhardt Regular" w:hAnsi="Theinhardt Regular"/>
          <w:sz w:val="14"/>
        </w:rPr>
        <w:t>3 </w:t>
      </w:r>
      <w:r>
        <w:rPr>
          <w:rFonts w:ascii="Theinhardt Regular" w:hAnsi="Theinhardt Regular"/>
          <w:spacing w:val="2"/>
          <w:sz w:val="14"/>
        </w:rPr>
        <w:t>Z</w:t>
      </w:r>
      <w:r>
        <w:rPr>
          <w:rFonts w:ascii="Theinhardt Regular" w:hAnsi="Theinhardt Regular"/>
          <w:spacing w:val="1"/>
          <w:sz w:val="14"/>
        </w:rPr>
        <w:t>ü</w:t>
      </w:r>
      <w:r>
        <w:rPr>
          <w:rFonts w:ascii="Theinhardt Regular" w:hAnsi="Theinhardt Regular"/>
          <w:spacing w:val="3"/>
          <w:sz w:val="14"/>
        </w:rPr>
        <w:t>r</w:t>
      </w:r>
      <w:r>
        <w:rPr>
          <w:rFonts w:ascii="Theinhardt Regular" w:hAnsi="Theinhardt Regular"/>
          <w:spacing w:val="2"/>
          <w:sz w:val="14"/>
        </w:rPr>
        <w:t>ich</w:t>
      </w:r>
      <w:r>
        <w:rPr>
          <w:rFonts w:ascii="Theinhardt Regular" w:hAnsi="Theinhardt Regular"/>
          <w:sz w:val="14"/>
        </w:rPr>
      </w:r>
    </w:p>
    <w:p>
      <w:pPr>
        <w:spacing w:line="167" w:lineRule="exact" w:before="0"/>
        <w:ind w:left="107" w:right="0" w:firstLine="0"/>
        <w:jc w:val="both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-2"/>
          <w:sz w:val="14"/>
        </w:rPr>
        <w:t>Tel.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2"/>
          <w:sz w:val="14"/>
        </w:rPr>
        <w:t>044</w:t>
      </w:r>
      <w:r>
        <w:rPr>
          <w:rFonts w:ascii="Theinhardt Regular"/>
          <w:sz w:val="14"/>
        </w:rPr>
        <w:t> 455 </w:t>
      </w:r>
      <w:r>
        <w:rPr>
          <w:rFonts w:ascii="Theinhardt Regular"/>
          <w:spacing w:val="-2"/>
          <w:sz w:val="14"/>
        </w:rPr>
        <w:t>57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5"/>
          <w:sz w:val="14"/>
        </w:rPr>
        <w:t>57</w:t>
      </w:r>
      <w:hyperlink r:id="rId6">
        <w:r>
          <w:rPr>
            <w:rFonts w:ascii="Theinhardt Regular"/>
            <w:spacing w:val="-5"/>
            <w:sz w:val="14"/>
          </w:rPr>
          <w:t>,</w:t>
        </w:r>
        <w:r>
          <w:rPr>
            <w:rFonts w:ascii="Theinhardt Regular"/>
            <w:sz w:val="14"/>
          </w:rPr>
          <w:t> </w:t>
        </w:r>
        <w:r>
          <w:rPr>
            <w:rFonts w:ascii="Theinhardt Regular"/>
            <w:spacing w:val="1"/>
            <w:sz w:val="14"/>
          </w:rPr>
          <w:t>info@abz.ch</w:t>
        </w:r>
      </w:hyperlink>
    </w:p>
    <w:p>
      <w:pPr>
        <w:spacing w:line="172" w:lineRule="exact" w:before="32"/>
        <w:ind w:left="107" w:right="0" w:firstLine="0"/>
        <w:jc w:val="both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pacing w:val="2"/>
          <w:sz w:val="14"/>
        </w:rPr>
        <w:t>Architektur:</w:t>
      </w:r>
      <w:r>
        <w:rPr>
          <w:rFonts w:ascii="Theinhardt Bold"/>
          <w:sz w:val="14"/>
        </w:rPr>
      </w:r>
    </w:p>
    <w:p>
      <w:pPr>
        <w:spacing w:line="160" w:lineRule="exact" w:before="0"/>
        <w:ind w:left="107" w:right="0" w:firstLine="0"/>
        <w:jc w:val="both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1"/>
          <w:sz w:val="14"/>
        </w:rPr>
        <w:t>Raumfi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3"/>
          <w:sz w:val="14"/>
        </w:rPr>
        <w:t> </w:t>
      </w:r>
      <w:r>
        <w:rPr>
          <w:rFonts w:ascii="Theinhardt Regular"/>
          <w:spacing w:val="1"/>
          <w:sz w:val="14"/>
        </w:rPr>
        <w:t>dung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2"/>
          <w:sz w:val="14"/>
        </w:rPr>
        <w:t>Architekten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GmbH</w:t>
      </w:r>
    </w:p>
    <w:p>
      <w:pPr>
        <w:spacing w:line="207" w:lineRule="auto" w:before="6"/>
        <w:ind w:left="107" w:right="539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1"/>
          <w:sz w:val="14"/>
        </w:rPr>
        <w:t>Neue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2"/>
          <w:sz w:val="14"/>
        </w:rPr>
        <w:t>Jonastrasse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2"/>
          <w:sz w:val="14"/>
        </w:rPr>
        <w:t>60A,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8640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2"/>
          <w:sz w:val="14"/>
        </w:rPr>
        <w:t>Rapperswil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SG</w:t>
      </w:r>
      <w:r>
        <w:rPr>
          <w:rFonts w:ascii="Theinhardt Regular"/>
          <w:spacing w:val="28"/>
          <w:sz w:val="14"/>
        </w:rPr>
        <w:t> </w:t>
      </w:r>
      <w:r>
        <w:rPr>
          <w:rFonts w:ascii="Theinhardt Regular"/>
          <w:spacing w:val="-2"/>
          <w:sz w:val="14"/>
        </w:rPr>
        <w:t>Tel.</w:t>
      </w:r>
      <w:r>
        <w:rPr>
          <w:rFonts w:ascii="Theinhardt Regular"/>
          <w:sz w:val="14"/>
        </w:rPr>
        <w:t> 055 </w:t>
      </w:r>
      <w:r>
        <w:rPr>
          <w:rFonts w:ascii="Theinhardt Regular"/>
          <w:spacing w:val="-1"/>
          <w:sz w:val="14"/>
        </w:rPr>
        <w:t>222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80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00</w:t>
      </w:r>
      <w:hyperlink r:id="rId7">
        <w:r>
          <w:rPr>
            <w:rFonts w:ascii="Theinhardt Regular"/>
            <w:spacing w:val="1"/>
            <w:sz w:val="14"/>
          </w:rPr>
          <w:t>,</w:t>
        </w:r>
        <w:r>
          <w:rPr>
            <w:rFonts w:ascii="Theinhardt Regular"/>
            <w:sz w:val="14"/>
          </w:rPr>
          <w:t> </w:t>
        </w:r>
        <w:r>
          <w:rPr>
            <w:rFonts w:ascii="Theinhardt Regular"/>
            <w:spacing w:val="1"/>
            <w:sz w:val="14"/>
          </w:rPr>
          <w:t>info@raumfindung.ch</w:t>
        </w:r>
      </w:hyperlink>
    </w:p>
    <w:p>
      <w:pPr>
        <w:spacing w:line="172" w:lineRule="exact" w:before="38"/>
        <w:ind w:left="107" w:right="0" w:firstLine="0"/>
        <w:jc w:val="both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pacing w:val="1"/>
          <w:sz w:val="14"/>
        </w:rPr>
        <w:t>PV-Anlage:</w:t>
      </w:r>
      <w:r>
        <w:rPr>
          <w:rFonts w:ascii="Theinhardt Bold"/>
          <w:sz w:val="14"/>
        </w:rPr>
      </w:r>
    </w:p>
    <w:p>
      <w:pPr>
        <w:spacing w:line="207" w:lineRule="auto" w:before="6"/>
        <w:ind w:left="107" w:right="713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/>
          <w:spacing w:val="1"/>
          <w:sz w:val="14"/>
        </w:rPr>
        <w:t>Suntechnics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Fabrisolar</w:t>
      </w:r>
      <w:r>
        <w:rPr>
          <w:rFonts w:ascii="Theinhardt Regular" w:hAnsi="Theinhardt Regular"/>
          <w:sz w:val="14"/>
        </w:rPr>
        <w:t> AG, </w:t>
      </w:r>
      <w:r>
        <w:rPr>
          <w:rFonts w:ascii="Theinhardt Regular" w:hAnsi="Theinhardt Regular"/>
          <w:spacing w:val="1"/>
          <w:sz w:val="14"/>
        </w:rPr>
        <w:t>Felix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Maag</w:t>
      </w:r>
      <w:r>
        <w:rPr>
          <w:rFonts w:ascii="Theinhardt Regular" w:hAnsi="Theinhardt Regular"/>
          <w:spacing w:val="44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Untere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2"/>
          <w:sz w:val="14"/>
        </w:rPr>
        <w:t>Heslibachstrasse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-1"/>
          <w:sz w:val="14"/>
        </w:rPr>
        <w:t>39,</w:t>
      </w:r>
      <w:r>
        <w:rPr>
          <w:rFonts w:ascii="Theinhardt Regular" w:hAnsi="Theinhardt Regular"/>
          <w:sz w:val="14"/>
        </w:rPr>
        <w:t> 8700 </w:t>
      </w:r>
      <w:r>
        <w:rPr>
          <w:rFonts w:ascii="Theinhardt Regular" w:hAnsi="Theinhardt Regular"/>
          <w:spacing w:val="1"/>
          <w:sz w:val="14"/>
        </w:rPr>
        <w:t>Küsnacht</w:t>
      </w:r>
    </w:p>
    <w:p>
      <w:pPr>
        <w:spacing w:line="167" w:lineRule="exact" w:before="0"/>
        <w:ind w:left="107" w:right="0" w:firstLine="0"/>
        <w:jc w:val="both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-2"/>
          <w:sz w:val="14"/>
        </w:rPr>
        <w:t>Tel.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2"/>
          <w:sz w:val="14"/>
        </w:rPr>
        <w:t>044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4"/>
          <w:sz w:val="14"/>
        </w:rPr>
        <w:t>914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28</w:t>
      </w:r>
      <w:r>
        <w:rPr>
          <w:rFonts w:ascii="Theinhardt Regular"/>
          <w:sz w:val="14"/>
        </w:rPr>
        <w:t> 80</w:t>
      </w:r>
      <w:hyperlink r:id="rId8">
        <w:r>
          <w:rPr>
            <w:rFonts w:ascii="Theinhardt Regular"/>
            <w:sz w:val="14"/>
          </w:rPr>
          <w:t>, </w:t>
        </w:r>
        <w:r>
          <w:rPr>
            <w:rFonts w:ascii="Theinhardt Regular"/>
            <w:spacing w:val="1"/>
            <w:sz w:val="14"/>
          </w:rPr>
          <w:t>info@suntechnics.ch</w:t>
        </w:r>
      </w:hyperlink>
    </w:p>
    <w:p>
      <w:pPr>
        <w:spacing w:line="172" w:lineRule="exact" w:before="32"/>
        <w:ind w:left="107" w:right="0" w:firstLine="0"/>
        <w:jc w:val="both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pacing w:val="1"/>
          <w:sz w:val="14"/>
        </w:rPr>
        <w:t>PV-Planung:</w:t>
      </w:r>
      <w:r>
        <w:rPr>
          <w:rFonts w:ascii="Theinhardt Bold"/>
          <w:sz w:val="14"/>
        </w:rPr>
      </w:r>
    </w:p>
    <w:p>
      <w:pPr>
        <w:spacing w:line="207" w:lineRule="auto" w:before="6"/>
        <w:ind w:left="107" w:right="1239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1"/>
          <w:sz w:val="14"/>
        </w:rPr>
        <w:t>Amena</w:t>
      </w:r>
      <w:r>
        <w:rPr>
          <w:rFonts w:ascii="Theinhardt Regular"/>
          <w:sz w:val="14"/>
        </w:rPr>
        <w:t> AG, </w:t>
      </w:r>
      <w:r>
        <w:rPr>
          <w:rFonts w:ascii="Theinhardt Regular"/>
          <w:spacing w:val="2"/>
          <w:sz w:val="14"/>
        </w:rPr>
        <w:t>Stationsstrasse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6"/>
          <w:sz w:val="14"/>
        </w:rPr>
        <w:t>17a</w:t>
      </w:r>
      <w:r>
        <w:rPr>
          <w:rFonts w:ascii="Theinhardt Regular"/>
          <w:spacing w:val="36"/>
          <w:sz w:val="14"/>
        </w:rPr>
        <w:t> </w:t>
      </w:r>
      <w:r>
        <w:rPr>
          <w:rFonts w:ascii="Theinhardt Regular"/>
          <w:spacing w:val="-1"/>
          <w:sz w:val="14"/>
        </w:rPr>
        <w:t>8952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Schlieren,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2"/>
          <w:sz w:val="14"/>
        </w:rPr>
        <w:t>Tel.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2"/>
          <w:sz w:val="14"/>
        </w:rPr>
        <w:t>044</w:t>
      </w:r>
      <w:r>
        <w:rPr>
          <w:rFonts w:ascii="Theinhardt Regular"/>
          <w:sz w:val="14"/>
        </w:rPr>
        <w:t> 730 </w:t>
      </w:r>
      <w:r>
        <w:rPr>
          <w:rFonts w:ascii="Theinhardt Regular"/>
          <w:spacing w:val="-1"/>
          <w:sz w:val="14"/>
        </w:rPr>
        <w:t>75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5"/>
          <w:sz w:val="14"/>
        </w:rPr>
        <w:t>74</w:t>
      </w:r>
    </w:p>
    <w:p>
      <w:pPr>
        <w:spacing w:line="172" w:lineRule="exact" w:before="38"/>
        <w:ind w:left="107" w:right="0" w:firstLine="0"/>
        <w:jc w:val="both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pacing w:val="1"/>
          <w:sz w:val="14"/>
        </w:rPr>
        <w:t>Totalunternehmer:</w:t>
      </w:r>
      <w:r>
        <w:rPr>
          <w:rFonts w:ascii="Theinhardt Bold"/>
          <w:sz w:val="14"/>
        </w:rPr>
      </w:r>
    </w:p>
    <w:p>
      <w:pPr>
        <w:spacing w:line="160" w:lineRule="exact" w:before="0"/>
        <w:ind w:left="107" w:right="0" w:firstLine="0"/>
        <w:jc w:val="both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-3"/>
          <w:sz w:val="14"/>
        </w:rPr>
        <w:t>W.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Schmid</w:t>
      </w:r>
      <w:r>
        <w:rPr>
          <w:rFonts w:ascii="Theinhardt Regular"/>
          <w:sz w:val="14"/>
        </w:rPr>
        <w:t> AG</w:t>
      </w:r>
    </w:p>
    <w:p>
      <w:pPr>
        <w:spacing w:line="160" w:lineRule="exact" w:before="0"/>
        <w:ind w:left="107" w:right="0" w:firstLine="0"/>
        <w:jc w:val="both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2"/>
          <w:sz w:val="14"/>
        </w:rPr>
        <w:t>Rohrstrasse</w:t>
      </w:r>
      <w:r>
        <w:rPr>
          <w:rFonts w:ascii="Theinhardt Regular"/>
          <w:sz w:val="14"/>
        </w:rPr>
        <w:t> 36, </w:t>
      </w:r>
      <w:r>
        <w:rPr>
          <w:rFonts w:ascii="Theinhardt Regular"/>
          <w:spacing w:val="-4"/>
          <w:sz w:val="14"/>
        </w:rPr>
        <w:t>8152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2"/>
          <w:sz w:val="14"/>
        </w:rPr>
        <w:t>Glattbrugg</w:t>
      </w:r>
    </w:p>
    <w:p>
      <w:pPr>
        <w:spacing w:line="172" w:lineRule="exact" w:before="0"/>
        <w:ind w:left="107" w:right="0" w:firstLine="0"/>
        <w:jc w:val="both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-2"/>
          <w:sz w:val="14"/>
        </w:rPr>
        <w:t>Tel.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2"/>
          <w:sz w:val="14"/>
        </w:rPr>
        <w:t>044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809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3"/>
          <w:sz w:val="14"/>
        </w:rPr>
        <w:t>71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7"/>
          <w:sz w:val="14"/>
        </w:rPr>
        <w:t>11</w:t>
      </w:r>
      <w:hyperlink r:id="rId9">
        <w:r>
          <w:rPr>
            <w:rFonts w:ascii="Theinhardt Regular"/>
            <w:spacing w:val="-7"/>
            <w:sz w:val="14"/>
          </w:rPr>
          <w:t>,</w:t>
        </w:r>
        <w:r>
          <w:rPr>
            <w:rFonts w:ascii="Theinhardt Regular"/>
            <w:sz w:val="14"/>
          </w:rPr>
          <w:t> </w:t>
        </w:r>
        <w:r>
          <w:rPr>
            <w:rFonts w:ascii="Theinhardt Regular"/>
            <w:spacing w:val="1"/>
            <w:sz w:val="14"/>
          </w:rPr>
          <w:t>info@wschmidag.ch</w:t>
        </w:r>
      </w:hyperlink>
    </w:p>
    <w:p>
      <w:pPr>
        <w:spacing w:line="172" w:lineRule="exact" w:before="32"/>
        <w:ind w:left="107" w:right="0" w:firstLine="0"/>
        <w:jc w:val="both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pacing w:val="1"/>
          <w:sz w:val="14"/>
        </w:rPr>
        <w:t>Photos:</w:t>
      </w:r>
      <w:r>
        <w:rPr>
          <w:rFonts w:ascii="Theinhardt Bold"/>
          <w:sz w:val="14"/>
        </w:rPr>
      </w:r>
    </w:p>
    <w:p>
      <w:pPr>
        <w:spacing w:line="207" w:lineRule="auto" w:before="6"/>
        <w:ind w:left="107" w:right="1296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1"/>
          <w:sz w:val="14"/>
        </w:rPr>
        <w:t>Uwe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Siedentopf</w:t>
      </w:r>
      <w:r>
        <w:rPr>
          <w:rFonts w:ascii="Theinhardt Regular"/>
          <w:spacing w:val="29"/>
          <w:sz w:val="14"/>
        </w:rPr>
        <w:t> </w:t>
      </w:r>
      <w:r>
        <w:rPr>
          <w:rFonts w:ascii="Theinhardt Regular"/>
          <w:spacing w:val="2"/>
          <w:sz w:val="14"/>
        </w:rPr>
        <w:t>Stockenmattstrasse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3"/>
          <w:sz w:val="14"/>
        </w:rPr>
        <w:t>31</w:t>
      </w:r>
    </w:p>
    <w:p>
      <w:pPr>
        <w:spacing w:line="167" w:lineRule="exact" w:before="0"/>
        <w:ind w:left="107" w:right="0" w:firstLine="0"/>
        <w:jc w:val="both"/>
        <w:rPr>
          <w:rFonts w:ascii="Theinhardt Regular" w:hAnsi="Theinhardt Regular" w:cs="Theinhardt Regular" w:eastAsia="Theinhardt Regular"/>
          <w:sz w:val="14"/>
          <w:szCs w:val="14"/>
        </w:rPr>
      </w:pPr>
      <w:r>
        <w:rPr/>
        <w:pict>
          <v:group style="position:absolute;margin-left:385.511902pt;margin-top:10.091806pt;width:167.25pt;height:.45pt;mso-position-horizontal-relative:page;mso-position-vertical-relative:paragraph;z-index:1168" coordorigin="7710,202" coordsize="3345,9">
            <v:group style="position:absolute;left:7732;top:206;width:3311;height:2" coordorigin="7732,206" coordsize="3311,2">
              <v:shape style="position:absolute;left:7732;top:206;width:3311;height:2" coordorigin="7732,206" coordsize="3311,0" path="m7732,206l11042,206e" filled="false" stroked="true" strokeweight=".425pt" strokecolor="#000000">
                <v:path arrowok="t"/>
                <v:stroke dashstyle="dash"/>
              </v:shape>
            </v:group>
            <v:group style="position:absolute;left:7714;top:206;width:2;height:2" coordorigin="7714,206" coordsize="2,2">
              <v:shape style="position:absolute;left:7714;top:206;width:2;height:2" coordorigin="7714,206" coordsize="0,0" path="m7714,206l7714,206e" filled="false" stroked="true" strokeweight=".425pt" strokecolor="#000000">
                <v:path arrowok="t"/>
              </v:shape>
            </v:group>
            <v:group style="position:absolute;left:11051;top:206;width:2;height:2" coordorigin="11051,206" coordsize="2,2">
              <v:shape style="position:absolute;left:11051;top:206;width:2;height:2" coordorigin="11051,206" coordsize="0,0" path="m11051,206l11051,206e" filled="false" stroked="true" strokeweight=".425pt" strokecolor="#000000">
                <v:path arrowok="t"/>
              </v:shape>
            </v:group>
            <w10:wrap type="none"/>
          </v:group>
        </w:pict>
      </w:r>
      <w:r>
        <w:rPr>
          <w:rFonts w:ascii="Theinhardt Regular"/>
          <w:spacing w:val="1"/>
          <w:sz w:val="14"/>
        </w:rPr>
        <w:t>6063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Sarnen</w:t>
      </w:r>
      <w:hyperlink r:id="rId10">
        <w:r>
          <w:rPr>
            <w:rFonts w:ascii="Theinhardt Regular"/>
            <w:spacing w:val="1"/>
            <w:sz w:val="14"/>
          </w:rPr>
          <w:t>,</w:t>
        </w:r>
        <w:r>
          <w:rPr>
            <w:rFonts w:ascii="Theinhardt Regular"/>
            <w:sz w:val="14"/>
          </w:rPr>
          <w:t> </w:t>
        </w:r>
        <w:r>
          <w:rPr>
            <w:rFonts w:ascii="Theinhardt Regular"/>
            <w:spacing w:val="1"/>
            <w:sz w:val="14"/>
          </w:rPr>
          <w:t>siedentopf@gmx.ch</w:t>
        </w:r>
      </w:hyperlink>
    </w:p>
    <w:p>
      <w:pPr>
        <w:spacing w:after="0" w:line="167" w:lineRule="exact"/>
        <w:jc w:val="both"/>
        <w:rPr>
          <w:rFonts w:ascii="Theinhardt Regular" w:hAnsi="Theinhardt Regular" w:cs="Theinhardt Regular" w:eastAsia="Theinhardt Regular"/>
          <w:sz w:val="14"/>
          <w:szCs w:val="14"/>
        </w:rPr>
        <w:sectPr>
          <w:type w:val="continuous"/>
          <w:pgSz w:w="11910" w:h="16840"/>
          <w:pgMar w:top="860" w:bottom="280" w:left="460" w:right="740"/>
          <w:cols w:num="3" w:equalWidth="0">
            <w:col w:w="3463" w:space="109"/>
            <w:col w:w="3453" w:space="119"/>
            <w:col w:w="3566"/>
          </w:cols>
        </w:sect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20"/>
          <w:szCs w:val="20"/>
        </w:rPr>
      </w:pPr>
    </w:p>
    <w:p>
      <w:pPr>
        <w:spacing w:line="240" w:lineRule="auto" w:before="11"/>
        <w:rPr>
          <w:rFonts w:ascii="Theinhardt Regular" w:hAnsi="Theinhardt Regular" w:cs="Theinhardt Regular" w:eastAsia="Theinhardt Regular"/>
          <w:sz w:val="17"/>
          <w:szCs w:val="17"/>
        </w:rPr>
      </w:pPr>
    </w:p>
    <w:p>
      <w:pPr>
        <w:spacing w:before="70"/>
        <w:ind w:left="10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Heavy"/>
          <w:b/>
          <w:sz w:val="14"/>
        </w:rPr>
        <w:t>32    </w:t>
      </w:r>
      <w:r>
        <w:rPr>
          <w:rFonts w:ascii="Theinhardt Heavy"/>
          <w:b/>
          <w:spacing w:val="7"/>
          <w:sz w:val="14"/>
        </w:rPr>
        <w:t> </w:t>
      </w:r>
      <w:r>
        <w:rPr>
          <w:rFonts w:ascii="Theinhardt Regular"/>
          <w:sz w:val="14"/>
        </w:rPr>
        <w:t>|   </w:t>
      </w:r>
      <w:r>
        <w:rPr>
          <w:rFonts w:ascii="Theinhardt Regular"/>
          <w:spacing w:val="14"/>
          <w:sz w:val="14"/>
        </w:rPr>
        <w:t> </w:t>
      </w:r>
      <w:r>
        <w:rPr>
          <w:rFonts w:ascii="Theinhardt Regular"/>
          <w:spacing w:val="-1"/>
          <w:sz w:val="14"/>
        </w:rPr>
        <w:t>Schweizer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Solarpreis</w:t>
      </w:r>
      <w:r>
        <w:rPr>
          <w:rFonts w:ascii="Theinhardt Regular"/>
          <w:sz w:val="14"/>
        </w:rPr>
        <w:t> 2016   </w:t>
      </w:r>
      <w:r>
        <w:rPr>
          <w:rFonts w:ascii="Theinhardt Regular"/>
          <w:spacing w:val="14"/>
          <w:sz w:val="14"/>
        </w:rPr>
        <w:t> </w:t>
      </w:r>
      <w:r>
        <w:rPr>
          <w:rFonts w:ascii="Theinhardt Regular"/>
          <w:sz w:val="14"/>
        </w:rPr>
        <w:t>|   </w:t>
      </w:r>
      <w:r>
        <w:rPr>
          <w:rFonts w:ascii="Theinhardt Regular"/>
          <w:spacing w:val="14"/>
          <w:sz w:val="14"/>
        </w:rPr>
        <w:t> </w:t>
      </w:r>
      <w:r>
        <w:rPr>
          <w:rFonts w:ascii="Theinhardt Regular"/>
          <w:spacing w:val="-1"/>
          <w:sz w:val="14"/>
        </w:rPr>
        <w:t>Prix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Solaire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Suisse</w:t>
      </w:r>
      <w:r>
        <w:rPr>
          <w:rFonts w:ascii="Theinhardt Regular"/>
          <w:sz w:val="14"/>
        </w:rPr>
        <w:t> 2016</w:t>
      </w:r>
    </w:p>
    <w:p>
      <w:pPr>
        <w:spacing w:after="0"/>
        <w:jc w:val="left"/>
        <w:rPr>
          <w:rFonts w:ascii="Theinhardt Regular" w:hAnsi="Theinhardt Regular" w:cs="Theinhardt Regular" w:eastAsia="Theinhardt Regular"/>
          <w:sz w:val="14"/>
          <w:szCs w:val="14"/>
        </w:rPr>
        <w:sectPr>
          <w:type w:val="continuous"/>
          <w:pgSz w:w="11910" w:h="16840"/>
          <w:pgMar w:top="860" w:bottom="280" w:left="460" w:right="740"/>
        </w:sectPr>
      </w:pPr>
    </w:p>
    <w:p>
      <w:pPr>
        <w:spacing w:line="240" w:lineRule="auto" w:before="4"/>
        <w:rPr>
          <w:rFonts w:ascii="Theinhardt Regular" w:hAnsi="Theinhardt Regular" w:cs="Theinhardt Regular" w:eastAsia="Theinhardt Regular"/>
          <w:sz w:val="6"/>
          <w:szCs w:val="6"/>
        </w:rPr>
      </w:pPr>
    </w:p>
    <w:p>
      <w:pPr>
        <w:spacing w:line="200" w:lineRule="atLeast"/>
        <w:ind w:left="110" w:right="0" w:firstLine="0"/>
        <w:rPr>
          <w:rFonts w:ascii="Theinhardt Regular" w:hAnsi="Theinhardt Regular" w:cs="Theinhardt Regular" w:eastAsia="Theinhardt Regular"/>
          <w:sz w:val="20"/>
          <w:szCs w:val="20"/>
        </w:rPr>
      </w:pPr>
      <w:r>
        <w:rPr>
          <w:rFonts w:ascii="Theinhardt Regular" w:hAnsi="Theinhardt Regular" w:cs="Theinhardt Regular" w:eastAsia="Theinhardt Regular"/>
          <w:sz w:val="20"/>
          <w:szCs w:val="20"/>
        </w:rPr>
        <w:drawing>
          <wp:inline distT="0" distB="0" distL="0" distR="0">
            <wp:extent cx="6683055" cy="3182112"/>
            <wp:effectExtent l="0" t="0" r="0" b="0"/>
            <wp:docPr id="1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83055" cy="3182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einhardt Regular" w:hAnsi="Theinhardt Regular" w:cs="Theinhardt Regular" w:eastAsia="Theinhardt Regular"/>
          <w:sz w:val="20"/>
          <w:szCs w:val="20"/>
        </w:rPr>
      </w:r>
    </w:p>
    <w:p>
      <w:pPr>
        <w:spacing w:before="0"/>
        <w:ind w:left="110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z w:val="14"/>
        </w:rPr>
        <w:t>1</w:t>
      </w:r>
      <w:r>
        <w:rPr>
          <w:rFonts w:ascii="Theinhardt Bold"/>
          <w:sz w:val="14"/>
        </w:rPr>
      </w:r>
    </w:p>
    <w:p>
      <w:pPr>
        <w:tabs>
          <w:tab w:pos="5110" w:val="left" w:leader="none"/>
        </w:tabs>
        <w:spacing w:line="200" w:lineRule="atLeast"/>
        <w:ind w:left="110" w:right="0" w:firstLine="0"/>
        <w:rPr>
          <w:rFonts w:ascii="Theinhardt Bold" w:hAnsi="Theinhardt Bold" w:cs="Theinhardt Bold" w:eastAsia="Theinhardt Bold"/>
          <w:sz w:val="20"/>
          <w:szCs w:val="20"/>
        </w:rPr>
      </w:pPr>
      <w:r>
        <w:rPr>
          <w:rFonts w:ascii="Theinhardt Bold"/>
          <w:sz w:val="20"/>
        </w:rPr>
        <w:drawing>
          <wp:inline distT="0" distB="0" distL="0" distR="0">
            <wp:extent cx="3017176" cy="1882139"/>
            <wp:effectExtent l="0" t="0" r="0" b="0"/>
            <wp:docPr id="3" name="image3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3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17176" cy="18821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einhardt Bold"/>
          <w:sz w:val="20"/>
        </w:rPr>
      </w:r>
      <w:r>
        <w:rPr>
          <w:rFonts w:ascii="Theinhardt Bold"/>
          <w:sz w:val="20"/>
        </w:rPr>
        <w:tab/>
      </w:r>
      <w:r>
        <w:rPr>
          <w:rFonts w:ascii="Theinhardt Bold"/>
          <w:sz w:val="20"/>
        </w:rPr>
        <w:drawing>
          <wp:inline distT="0" distB="0" distL="0" distR="0">
            <wp:extent cx="3476920" cy="1882139"/>
            <wp:effectExtent l="0" t="0" r="0" b="0"/>
            <wp:docPr id="5" name="image4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4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76920" cy="18821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einhardt Bold"/>
          <w:sz w:val="20"/>
        </w:rPr>
      </w:r>
    </w:p>
    <w:p>
      <w:pPr>
        <w:tabs>
          <w:tab w:pos="5091" w:val="left" w:leader="none"/>
        </w:tabs>
        <w:spacing w:before="27"/>
        <w:ind w:left="110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position w:val="1"/>
          <w:sz w:val="14"/>
        </w:rPr>
        <w:t>2</w:t>
        <w:tab/>
      </w:r>
      <w:r>
        <w:rPr>
          <w:rFonts w:ascii="Theinhardt Bold"/>
          <w:b/>
          <w:sz w:val="14"/>
        </w:rPr>
        <w:t>3</w:t>
      </w:r>
      <w:r>
        <w:rPr>
          <w:rFonts w:ascii="Theinhardt Bold"/>
          <w:sz w:val="14"/>
        </w:rPr>
      </w:r>
    </w:p>
    <w:p>
      <w:pPr>
        <w:spacing w:line="200" w:lineRule="atLeast"/>
        <w:ind w:left="110" w:right="0" w:firstLine="0"/>
        <w:rPr>
          <w:rFonts w:ascii="Theinhardt Bold" w:hAnsi="Theinhardt Bold" w:cs="Theinhardt Bold" w:eastAsia="Theinhardt Bold"/>
          <w:sz w:val="20"/>
          <w:szCs w:val="20"/>
        </w:rPr>
      </w:pPr>
      <w:r>
        <w:rPr>
          <w:rFonts w:ascii="Theinhardt Bold" w:hAnsi="Theinhardt Bold" w:cs="Theinhardt Bold" w:eastAsia="Theinhardt Bold"/>
          <w:sz w:val="20"/>
          <w:szCs w:val="20"/>
        </w:rPr>
        <w:drawing>
          <wp:inline distT="0" distB="0" distL="0" distR="0">
            <wp:extent cx="6690537" cy="3218688"/>
            <wp:effectExtent l="0" t="0" r="0" b="0"/>
            <wp:docPr id="7" name="image5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5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90537" cy="3218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einhardt Bold" w:hAnsi="Theinhardt Bold" w:cs="Theinhardt Bold" w:eastAsia="Theinhardt Bold"/>
          <w:sz w:val="20"/>
          <w:szCs w:val="20"/>
        </w:rPr>
      </w:r>
    </w:p>
    <w:p>
      <w:pPr>
        <w:spacing w:before="10"/>
        <w:ind w:left="110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z w:val="14"/>
        </w:rPr>
        <w:t>4</w:t>
      </w:r>
      <w:r>
        <w:rPr>
          <w:rFonts w:ascii="Theinhardt Bold"/>
          <w:sz w:val="14"/>
        </w:rPr>
      </w:r>
    </w:p>
    <w:p>
      <w:pPr>
        <w:spacing w:line="240" w:lineRule="auto" w:before="12"/>
        <w:rPr>
          <w:rFonts w:ascii="Theinhardt Bold" w:hAnsi="Theinhardt Bold" w:cs="Theinhardt Bold" w:eastAsia="Theinhardt Bold"/>
          <w:b/>
          <w:bCs/>
          <w:sz w:val="14"/>
          <w:szCs w:val="14"/>
        </w:rPr>
      </w:pPr>
    </w:p>
    <w:p>
      <w:pPr>
        <w:spacing w:after="0" w:line="240" w:lineRule="auto"/>
        <w:rPr>
          <w:rFonts w:ascii="Theinhardt Bold" w:hAnsi="Theinhardt Bold" w:cs="Theinhardt Bold" w:eastAsia="Theinhardt Bold"/>
          <w:sz w:val="14"/>
          <w:szCs w:val="14"/>
        </w:rPr>
        <w:sectPr>
          <w:pgSz w:w="11910" w:h="16840"/>
          <w:pgMar w:top="840" w:bottom="280" w:left="740" w:right="460"/>
        </w:sectPr>
      </w:pPr>
    </w:p>
    <w:p>
      <w:pPr>
        <w:numPr>
          <w:ilvl w:val="0"/>
          <w:numId w:val="2"/>
        </w:numPr>
        <w:tabs>
          <w:tab w:pos="338" w:val="left" w:leader="none"/>
        </w:tabs>
        <w:spacing w:line="207" w:lineRule="auto" w:before="86"/>
        <w:ind w:left="337" w:right="0" w:hanging="227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Gesamtansicht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der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ABZ-Wohnüberbauung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in</w:t>
      </w:r>
      <w:r>
        <w:rPr>
          <w:rFonts w:ascii="Theinhardt Bold" w:hAnsi="Theinhardt Bold" w:cs="Theinhardt Bold" w:eastAsia="Theinhardt Bold"/>
          <w:b/>
          <w:bCs/>
          <w:spacing w:val="45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Zürich 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mit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den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556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kW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starken,</w:t>
      </w:r>
      <w:r>
        <w:rPr>
          <w:rFonts w:ascii="Theinhardt Bold" w:hAnsi="Theinhardt Bold" w:cs="Theinhardt Bold" w:eastAsia="Theinhardt Bold"/>
          <w:b/>
          <w:bCs/>
          <w:spacing w:val="-6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ganzflächig</w:t>
      </w:r>
      <w:r>
        <w:rPr>
          <w:rFonts w:ascii="Theinhardt Bold" w:hAnsi="Theinhardt Bold" w:cs="Theinhardt Bold" w:eastAsia="Theinhardt Bold"/>
          <w:b/>
          <w:bCs/>
          <w:spacing w:val="25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optimal integrierten PV-Anlagen.</w:t>
      </w:r>
      <w:r>
        <w:rPr>
          <w:rFonts w:ascii="Theinhardt Bold" w:hAnsi="Theinhardt Bold" w:cs="Theinhardt Bold" w:eastAsia="Theinhardt Bold"/>
          <w:b/>
          <w:bCs/>
          <w:spacing w:val="-6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Sie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erzeugen</w:t>
      </w:r>
      <w:r>
        <w:rPr>
          <w:rFonts w:ascii="Theinhardt Bold" w:hAnsi="Theinhardt Bold" w:cs="Theinhardt Bold" w:eastAsia="Theinhardt Bold"/>
          <w:b/>
          <w:bCs/>
          <w:spacing w:val="30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jährlich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466’300 kWh.</w:t>
      </w:r>
      <w:r>
        <w:rPr>
          <w:rFonts w:ascii="Theinhardt Bold" w:hAnsi="Theinhardt Bold" w:cs="Theinhardt Bold" w:eastAsia="Theinhardt Bold"/>
          <w:b/>
          <w:bCs/>
          <w:spacing w:val="-6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Mit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dem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Solarstrom-</w:t>
      </w:r>
      <w:r>
        <w:rPr>
          <w:rFonts w:ascii="Theinhardt Bold" w:hAnsi="Theinhardt Bold" w:cs="Theinhardt Bold" w:eastAsia="Theinhardt Bold"/>
          <w:b/>
          <w:bCs/>
          <w:spacing w:val="44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überschuss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könnten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49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Elektrofahrzeuge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je</w:t>
      </w:r>
      <w:r>
        <w:rPr>
          <w:rFonts w:ascii="Theinhardt Bold" w:hAnsi="Theinhardt Bold" w:cs="Theinhardt Bold" w:eastAsia="Theinhardt Bold"/>
          <w:b/>
          <w:bCs/>
          <w:spacing w:val="31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12’000 </w:t>
      </w:r>
      <w:r>
        <w:rPr>
          <w:rFonts w:ascii="Theinhardt Bold" w:hAnsi="Theinhardt Bold" w:cs="Theinhardt Bold" w:eastAsia="Theinhardt Bold"/>
          <w:b/>
          <w:bCs/>
          <w:spacing w:val="-2"/>
          <w:sz w:val="14"/>
          <w:szCs w:val="14"/>
        </w:rPr>
        <w:t>km/a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CO</w:t>
      </w:r>
      <w:r>
        <w:rPr>
          <w:rFonts w:ascii="Theinhardt Bold" w:hAnsi="Theinhardt Bold" w:cs="Theinhardt Bold" w:eastAsia="Theinhardt Bold"/>
          <w:b/>
          <w:bCs/>
          <w:spacing w:val="-1"/>
          <w:position w:val="-4"/>
          <w:sz w:val="8"/>
          <w:szCs w:val="8"/>
        </w:rPr>
        <w:t>2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-frei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fahren.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numPr>
          <w:ilvl w:val="0"/>
          <w:numId w:val="2"/>
        </w:numPr>
        <w:tabs>
          <w:tab w:pos="338" w:val="left" w:leader="none"/>
        </w:tabs>
        <w:spacing w:line="160" w:lineRule="exact" w:before="76"/>
        <w:ind w:left="337" w:right="0" w:hanging="227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sz w:val="14"/>
        </w:rPr>
        <w:br w:type="column"/>
        <w:t>Süd-Ansicht </w:t>
      </w:r>
      <w:r>
        <w:rPr>
          <w:rFonts w:ascii="Theinhardt Bold" w:hAnsi="Theinhardt Bold"/>
          <w:b/>
          <w:spacing w:val="-1"/>
          <w:sz w:val="14"/>
        </w:rPr>
        <w:t>der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-1"/>
          <w:sz w:val="14"/>
        </w:rPr>
        <w:t>vierstöckigen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-1"/>
          <w:sz w:val="14"/>
        </w:rPr>
        <w:t>PlusEnergieBau-</w:t>
      </w:r>
      <w:r>
        <w:rPr>
          <w:rFonts w:ascii="Theinhardt Bold" w:hAnsi="Theinhardt Bold"/>
          <w:b/>
          <w:spacing w:val="62"/>
          <w:sz w:val="14"/>
        </w:rPr>
        <w:t> </w:t>
      </w:r>
      <w:r>
        <w:rPr>
          <w:rFonts w:ascii="Theinhardt Bold" w:hAnsi="Theinhardt Bold"/>
          <w:b/>
          <w:sz w:val="14"/>
        </w:rPr>
        <w:t>Siedlung in </w:t>
      </w:r>
      <w:r>
        <w:rPr>
          <w:rFonts w:ascii="Theinhardt Bold" w:hAnsi="Theinhardt Bold"/>
          <w:b/>
          <w:spacing w:val="-1"/>
          <w:sz w:val="14"/>
        </w:rPr>
        <w:t>Zürich.</w:t>
      </w:r>
      <w:r>
        <w:rPr>
          <w:rFonts w:ascii="Theinhardt Bold" w:hAnsi="Theinhardt Bold"/>
          <w:sz w:val="14"/>
        </w:rPr>
      </w:r>
    </w:p>
    <w:p>
      <w:pPr>
        <w:numPr>
          <w:ilvl w:val="0"/>
          <w:numId w:val="2"/>
        </w:numPr>
        <w:tabs>
          <w:tab w:pos="338" w:val="left" w:leader="none"/>
        </w:tabs>
        <w:spacing w:line="160" w:lineRule="exact" w:before="0"/>
        <w:ind w:left="337" w:right="13" w:hanging="227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sz w:val="14"/>
        </w:rPr>
        <w:t>Das </w:t>
      </w:r>
      <w:r>
        <w:rPr>
          <w:rFonts w:ascii="Theinhardt Bold" w:hAnsi="Theinhardt Bold"/>
          <w:b/>
          <w:spacing w:val="-1"/>
          <w:sz w:val="14"/>
        </w:rPr>
        <w:t>dezente</w:t>
      </w:r>
      <w:r>
        <w:rPr>
          <w:rFonts w:ascii="Theinhardt Bold" w:hAnsi="Theinhardt Bold"/>
          <w:b/>
          <w:sz w:val="14"/>
        </w:rPr>
        <w:t> Dach </w:t>
      </w:r>
      <w:r>
        <w:rPr>
          <w:rFonts w:ascii="Theinhardt Bold" w:hAnsi="Theinhardt Bold"/>
          <w:b/>
          <w:spacing w:val="-1"/>
          <w:sz w:val="14"/>
        </w:rPr>
        <w:t>der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-1"/>
          <w:sz w:val="14"/>
        </w:rPr>
        <w:t>Wohnüberbauung</w:t>
      </w:r>
      <w:r>
        <w:rPr>
          <w:rFonts w:ascii="Theinhardt Bold" w:hAnsi="Theinhardt Bold"/>
          <w:b/>
          <w:sz w:val="14"/>
        </w:rPr>
        <w:t> fügt</w:t>
      </w:r>
      <w:r>
        <w:rPr>
          <w:rFonts w:ascii="Theinhardt Bold" w:hAnsi="Theinhardt Bold"/>
          <w:b/>
          <w:spacing w:val="44"/>
          <w:sz w:val="14"/>
        </w:rPr>
        <w:t> </w:t>
      </w:r>
      <w:r>
        <w:rPr>
          <w:rFonts w:ascii="Theinhardt Bold" w:hAnsi="Theinhardt Bold"/>
          <w:b/>
          <w:spacing w:val="-1"/>
          <w:sz w:val="14"/>
        </w:rPr>
        <w:t>sich</w:t>
      </w:r>
      <w:r>
        <w:rPr>
          <w:rFonts w:ascii="Theinhardt Bold" w:hAnsi="Theinhardt Bold"/>
          <w:b/>
          <w:sz w:val="14"/>
        </w:rPr>
        <w:t> bestens in </w:t>
      </w:r>
      <w:r>
        <w:rPr>
          <w:rFonts w:ascii="Theinhardt Bold" w:hAnsi="Theinhardt Bold"/>
          <w:b/>
          <w:spacing w:val="-1"/>
          <w:sz w:val="14"/>
        </w:rPr>
        <w:t>die</w:t>
      </w:r>
      <w:r>
        <w:rPr>
          <w:rFonts w:ascii="Theinhardt Bold" w:hAnsi="Theinhardt Bold"/>
          <w:b/>
          <w:sz w:val="14"/>
        </w:rPr>
        <w:t> bestehende Dachlandschaft</w:t>
      </w:r>
      <w:r>
        <w:rPr>
          <w:rFonts w:ascii="Theinhardt Bold" w:hAnsi="Theinhardt Bold"/>
          <w:b/>
          <w:spacing w:val="28"/>
          <w:sz w:val="14"/>
        </w:rPr>
        <w:t> </w:t>
      </w:r>
      <w:r>
        <w:rPr>
          <w:rFonts w:ascii="Theinhardt Bold" w:hAnsi="Theinhardt Bold"/>
          <w:b/>
          <w:spacing w:val="-1"/>
          <w:sz w:val="14"/>
        </w:rPr>
        <w:t>der</w:t>
      </w:r>
      <w:r>
        <w:rPr>
          <w:rFonts w:ascii="Theinhardt Bold" w:hAnsi="Theinhardt Bold"/>
          <w:b/>
          <w:sz w:val="14"/>
        </w:rPr>
        <w:t> Umgebung ein.</w:t>
      </w:r>
      <w:r>
        <w:rPr>
          <w:rFonts w:ascii="Theinhardt Bold" w:hAnsi="Theinhardt Bold"/>
          <w:sz w:val="14"/>
        </w:rPr>
      </w:r>
    </w:p>
    <w:p>
      <w:pPr>
        <w:numPr>
          <w:ilvl w:val="0"/>
          <w:numId w:val="2"/>
        </w:numPr>
        <w:tabs>
          <w:tab w:pos="338" w:val="left" w:leader="none"/>
        </w:tabs>
        <w:spacing w:line="160" w:lineRule="exact" w:before="76"/>
        <w:ind w:left="337" w:right="197" w:hanging="227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sz w:val="14"/>
        </w:rPr>
        <w:br w:type="column"/>
        <w:t>Dachaufnahme mit Blick auf </w:t>
      </w:r>
      <w:r>
        <w:rPr>
          <w:rFonts w:ascii="Theinhardt Bold" w:hAnsi="Theinhardt Bold"/>
          <w:b/>
          <w:spacing w:val="-1"/>
          <w:sz w:val="14"/>
        </w:rPr>
        <w:t>die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-1"/>
          <w:sz w:val="14"/>
        </w:rPr>
        <w:t>sorgfältig</w:t>
      </w:r>
      <w:r>
        <w:rPr>
          <w:rFonts w:ascii="Theinhardt Bold" w:hAnsi="Theinhardt Bold"/>
          <w:b/>
          <w:spacing w:val="28"/>
          <w:sz w:val="14"/>
        </w:rPr>
        <w:t> </w:t>
      </w:r>
      <w:r>
        <w:rPr>
          <w:rFonts w:ascii="Theinhardt Bold" w:hAnsi="Theinhardt Bold"/>
          <w:b/>
          <w:sz w:val="14"/>
        </w:rPr>
        <w:t>integrierten </w:t>
      </w:r>
      <w:r>
        <w:rPr>
          <w:rFonts w:ascii="Theinhardt Bold" w:hAnsi="Theinhardt Bold"/>
          <w:b/>
          <w:spacing w:val="-1"/>
          <w:sz w:val="14"/>
        </w:rPr>
        <w:t>Dachfenster</w:t>
      </w:r>
      <w:r>
        <w:rPr>
          <w:rFonts w:ascii="Theinhardt Bold" w:hAnsi="Theinhardt Bold"/>
          <w:b/>
          <w:sz w:val="14"/>
        </w:rPr>
        <w:t> mit allseitigen </w:t>
      </w:r>
      <w:r>
        <w:rPr>
          <w:rFonts w:ascii="Theinhardt Bold" w:hAnsi="Theinhardt Bold"/>
          <w:b/>
          <w:spacing w:val="-1"/>
          <w:sz w:val="14"/>
        </w:rPr>
        <w:t>perfek-</w:t>
      </w:r>
      <w:r>
        <w:rPr>
          <w:rFonts w:ascii="Theinhardt Bold" w:hAnsi="Theinhardt Bold"/>
          <w:b/>
          <w:spacing w:val="30"/>
          <w:sz w:val="14"/>
        </w:rPr>
        <w:t> </w:t>
      </w:r>
      <w:r>
        <w:rPr>
          <w:rFonts w:ascii="Theinhardt Bold" w:hAnsi="Theinhardt Bold"/>
          <w:b/>
          <w:sz w:val="14"/>
        </w:rPr>
        <w:t>ten Dachabschlüssen.</w:t>
      </w:r>
      <w:r>
        <w:rPr>
          <w:rFonts w:ascii="Theinhardt Bold" w:hAnsi="Theinhardt Bold"/>
          <w:sz w:val="14"/>
        </w:rPr>
      </w:r>
    </w:p>
    <w:p>
      <w:pPr>
        <w:spacing w:after="0" w:line="160" w:lineRule="exact"/>
        <w:jc w:val="left"/>
        <w:rPr>
          <w:rFonts w:ascii="Theinhardt Bold" w:hAnsi="Theinhardt Bold" w:cs="Theinhardt Bold" w:eastAsia="Theinhardt Bold"/>
          <w:sz w:val="14"/>
          <w:szCs w:val="14"/>
        </w:rPr>
        <w:sectPr>
          <w:type w:val="continuous"/>
          <w:pgSz w:w="11910" w:h="16840"/>
          <w:pgMar w:top="860" w:bottom="280" w:left="740" w:right="460"/>
          <w:cols w:num="3" w:equalWidth="0">
            <w:col w:w="3307" w:space="264"/>
            <w:col w:w="3375" w:space="196"/>
            <w:col w:w="3568"/>
          </w:cols>
        </w:sectPr>
      </w:pPr>
    </w:p>
    <w:p>
      <w:pPr>
        <w:spacing w:line="240" w:lineRule="auto" w:before="1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before="70"/>
        <w:ind w:left="6666" w:right="0" w:firstLine="0"/>
        <w:jc w:val="left"/>
        <w:rPr>
          <w:rFonts w:ascii="Theinhardt Heavy" w:hAnsi="Theinhardt Heavy" w:cs="Theinhardt Heavy" w:eastAsia="Theinhardt Heavy"/>
          <w:sz w:val="14"/>
          <w:szCs w:val="14"/>
        </w:rPr>
      </w:pPr>
      <w:r>
        <w:rPr>
          <w:rFonts w:ascii="Theinhardt Regular"/>
          <w:spacing w:val="-1"/>
          <w:sz w:val="14"/>
        </w:rPr>
        <w:t>Schweizer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Solarpreis</w:t>
      </w:r>
      <w:r>
        <w:rPr>
          <w:rFonts w:ascii="Theinhardt Regular"/>
          <w:sz w:val="14"/>
        </w:rPr>
        <w:t> 2016   </w:t>
      </w:r>
      <w:r>
        <w:rPr>
          <w:rFonts w:ascii="Theinhardt Regular"/>
          <w:spacing w:val="14"/>
          <w:sz w:val="14"/>
        </w:rPr>
        <w:t> </w:t>
      </w:r>
      <w:r>
        <w:rPr>
          <w:rFonts w:ascii="Theinhardt Regular"/>
          <w:sz w:val="14"/>
        </w:rPr>
        <w:t>|   </w:t>
      </w:r>
      <w:r>
        <w:rPr>
          <w:rFonts w:ascii="Theinhardt Regular"/>
          <w:spacing w:val="14"/>
          <w:sz w:val="14"/>
        </w:rPr>
        <w:t> </w:t>
      </w:r>
      <w:r>
        <w:rPr>
          <w:rFonts w:ascii="Theinhardt Regular"/>
          <w:spacing w:val="-1"/>
          <w:sz w:val="14"/>
        </w:rPr>
        <w:t>Prix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Solaire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Suisse</w:t>
      </w:r>
      <w:r>
        <w:rPr>
          <w:rFonts w:ascii="Theinhardt Regular"/>
          <w:sz w:val="14"/>
        </w:rPr>
        <w:t> 2016  </w:t>
      </w:r>
      <w:r>
        <w:rPr>
          <w:rFonts w:ascii="Theinhardt Regular"/>
          <w:spacing w:val="14"/>
          <w:sz w:val="14"/>
        </w:rPr>
        <w:t> </w:t>
      </w:r>
      <w:r>
        <w:rPr>
          <w:rFonts w:ascii="Theinhardt Regular"/>
          <w:sz w:val="14"/>
        </w:rPr>
        <w:t>|   </w:t>
      </w:r>
      <w:r>
        <w:rPr>
          <w:rFonts w:ascii="Theinhardt Regular"/>
          <w:spacing w:val="14"/>
          <w:sz w:val="14"/>
        </w:rPr>
        <w:t> </w:t>
      </w:r>
      <w:r>
        <w:rPr>
          <w:rFonts w:ascii="Theinhardt Heavy"/>
          <w:b/>
          <w:sz w:val="14"/>
        </w:rPr>
        <w:t>33</w:t>
      </w:r>
      <w:r>
        <w:rPr>
          <w:rFonts w:ascii="Theinhardt Heavy"/>
          <w:sz w:val="14"/>
        </w:rPr>
      </w:r>
    </w:p>
    <w:p>
      <w:pPr>
        <w:spacing w:after="0"/>
        <w:jc w:val="left"/>
        <w:rPr>
          <w:rFonts w:ascii="Theinhardt Heavy" w:hAnsi="Theinhardt Heavy" w:cs="Theinhardt Heavy" w:eastAsia="Theinhardt Heavy"/>
          <w:sz w:val="14"/>
          <w:szCs w:val="14"/>
        </w:rPr>
        <w:sectPr>
          <w:type w:val="continuous"/>
          <w:pgSz w:w="11910" w:h="16840"/>
          <w:pgMar w:top="860" w:bottom="280" w:left="740" w:right="460"/>
        </w:sectPr>
      </w:pPr>
    </w:p>
    <w:p>
      <w:pPr>
        <w:pStyle w:val="Heading2"/>
        <w:tabs>
          <w:tab w:pos="2666" w:val="left" w:leader="none"/>
        </w:tabs>
        <w:spacing w:line="230" w:lineRule="exact" w:before="36"/>
        <w:ind w:left="235" w:right="103"/>
        <w:jc w:val="left"/>
        <w:rPr>
          <w:rFonts w:ascii="Theinhardt Black" w:hAnsi="Theinhardt Black" w:cs="Theinhardt Black" w:eastAsia="Theinhardt Black"/>
          <w:b w:val="0"/>
          <w:bCs w:val="0"/>
        </w:rPr>
      </w:pPr>
      <w:r>
        <w:rPr/>
        <w:pict>
          <v:group style="position:absolute;margin-left:28.993pt;margin-top:14.047179pt;width:.1pt;height:.1pt;mso-position-horizontal-relative:page;mso-position-vertical-relative:paragraph;z-index:-7696" coordorigin="580,281" coordsize="2,2">
            <v:shape style="position:absolute;left:580;top:281;width:2;height:2" coordorigin="580,281" coordsize="0,0" path="m580,281l580,281e" filled="false" stroked="true" strokeweight=".425pt" strokecolor="#000000">
              <v:path arrowok="t"/>
            </v:shape>
            <w10:wrap type="none"/>
          </v:group>
        </w:pict>
      </w:r>
      <w:r>
        <w:rPr/>
        <w:pict>
          <v:group style="position:absolute;margin-left:150.731995pt;margin-top:14.047179pt;width:.1pt;height:.1pt;mso-position-horizontal-relative:page;mso-position-vertical-relative:paragraph;z-index:1360" coordorigin="3015,281" coordsize="2,2">
            <v:shape style="position:absolute;left:3015;top:281;width:2;height:2" coordorigin="3015,281" coordsize="0,0" path="m3015,281l3015,281e" filled="false" stroked="true" strokeweight=".425pt" strokecolor="#000000">
              <v:path arrowok="t"/>
            </v:shape>
            <w10:wrap type="none"/>
          </v:group>
        </w:pict>
      </w:r>
      <w:r>
        <w:rPr>
          <w:rFonts w:ascii="Theinhardt Black" w:hAnsi="Theinhardt Black"/>
          <w:b/>
        </w:rPr>
      </w:r>
      <w:r>
        <w:rPr>
          <w:rFonts w:ascii="Theinhardt Black" w:hAnsi="Theinhardt Black"/>
          <w:b/>
          <w:spacing w:val="2"/>
          <w:u w:val="dotted" w:color="000000"/>
        </w:rPr>
        <w:t>Catégorie</w:t>
      </w:r>
      <w:r>
        <w:rPr>
          <w:rFonts w:ascii="Theinhardt Black" w:hAnsi="Theinhardt Black"/>
          <w:b/>
          <w:spacing w:val="-1"/>
          <w:u w:val="dotted" w:color="000000"/>
        </w:rPr>
        <w:t> </w:t>
      </w:r>
      <w:r>
        <w:rPr>
          <w:rFonts w:ascii="Theinhardt Black" w:hAnsi="Theinhardt Black"/>
          <w:b/>
          <w:u w:val="dotted" w:color="000000"/>
        </w:rPr>
        <w:t>B</w:t>
      </w:r>
      <w:r>
        <w:rPr>
          <w:rFonts w:ascii="Theinhardt Black" w:hAnsi="Theinhardt Black"/>
          <w:b/>
          <w:u w:val="dotted" w:color="000000"/>
        </w:rPr>
        <w:t> </w:t>
        <w:tab/>
      </w:r>
      <w:r>
        <w:rPr>
          <w:rFonts w:ascii="Theinhardt Black" w:hAnsi="Theinhardt Black"/>
          <w:b/>
        </w:rPr>
      </w:r>
      <w:r>
        <w:rPr>
          <w:rFonts w:ascii="Theinhardt Black" w:hAnsi="Theinhardt Black"/>
          <w:b/>
          <w:spacing w:val="21"/>
        </w:rPr>
        <w:t> </w:t>
      </w:r>
      <w:r>
        <w:rPr>
          <w:rFonts w:ascii="Theinhardt Black" w:hAnsi="Theinhardt Black"/>
          <w:b/>
          <w:spacing w:val="3"/>
          <w:u w:val="dotted" w:color="000000"/>
        </w:rPr>
        <w:t>Bât.</w:t>
      </w:r>
      <w:r>
        <w:rPr>
          <w:rFonts w:ascii="Theinhardt Black" w:hAnsi="Theinhardt Black"/>
          <w:b/>
          <w:spacing w:val="-11"/>
          <w:u w:val="dotted" w:color="000000"/>
        </w:rPr>
        <w:t> </w:t>
      </w:r>
      <w:r>
        <w:rPr>
          <w:rFonts w:ascii="Theinhardt Black" w:hAnsi="Theinhardt Black"/>
          <w:b/>
          <w:u w:val="dotted" w:color="000000"/>
        </w:rPr>
        <w:t>à Énergie </w:t>
      </w:r>
      <w:r>
        <w:rPr>
          <w:rFonts w:ascii="Theinhardt Black" w:hAnsi="Theinhardt Black"/>
          <w:b/>
          <w:spacing w:val="1"/>
          <w:u w:val="dotted" w:color="000000"/>
        </w:rPr>
        <w:t>Positive</w:t>
      </w:r>
      <w:r>
        <w:rPr>
          <w:rFonts w:ascii="Theinhardt Black" w:hAnsi="Theinhardt Black"/>
          <w:b/>
          <w:u w:val="dotted" w:color="000000"/>
        </w:rPr>
        <w:t> </w:t>
        <w:tab/>
      </w:r>
      <w:r>
        <w:rPr>
          <w:rFonts w:ascii="Theinhardt Black" w:hAnsi="Theinhardt Black"/>
          <w:b/>
        </w:rPr>
      </w:r>
      <w:r>
        <w:rPr>
          <w:rFonts w:ascii="Theinhardt Black" w:hAnsi="Theinhardt Black"/>
          <w:b w:val="0"/>
        </w:rPr>
      </w:r>
    </w:p>
    <w:p>
      <w:pPr>
        <w:tabs>
          <w:tab w:pos="2670" w:val="left" w:leader="none"/>
        </w:tabs>
        <w:spacing w:line="20" w:lineRule="atLeast"/>
        <w:ind w:left="235" w:right="0" w:firstLine="0"/>
        <w:rPr>
          <w:rFonts w:ascii="Theinhardt Black" w:hAnsi="Theinhardt Black" w:cs="Theinhardt Black" w:eastAsia="Theinhardt Black"/>
          <w:sz w:val="2"/>
          <w:szCs w:val="2"/>
        </w:rPr>
      </w:pPr>
      <w:r>
        <w:rPr>
          <w:rFonts w:ascii="Theinhardt Black"/>
          <w:sz w:val="2"/>
        </w:rPr>
        <w:pict>
          <v:group style="width:.45pt;height:.45pt;mso-position-horizontal-relative:char;mso-position-vertical-relative:line" coordorigin="0,0" coordsize="9,9"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000000">
                <v:path arrowok="t"/>
              </v:shape>
            </v:group>
          </v:group>
        </w:pict>
      </w:r>
      <w:r>
        <w:rPr>
          <w:rFonts w:ascii="Theinhardt Black"/>
          <w:sz w:val="2"/>
        </w:rPr>
      </w:r>
      <w:r>
        <w:rPr>
          <w:rFonts w:ascii="Theinhardt Black"/>
          <w:sz w:val="2"/>
        </w:rPr>
        <w:tab/>
      </w:r>
      <w:r>
        <w:rPr>
          <w:rFonts w:ascii="Theinhardt Black"/>
          <w:sz w:val="2"/>
        </w:rPr>
        <w:pict>
          <v:group style="width:.45pt;height:.45pt;mso-position-horizontal-relative:char;mso-position-vertical-relative:line" coordorigin="0,0" coordsize="9,9"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000000">
                <v:path arrowok="t"/>
              </v:shape>
            </v:group>
          </v:group>
        </w:pict>
      </w:r>
      <w:r>
        <w:rPr>
          <w:rFonts w:ascii="Theinhardt Black"/>
          <w:sz w:val="2"/>
        </w:rPr>
      </w:r>
    </w:p>
    <w:p>
      <w:pPr>
        <w:numPr>
          <w:ilvl w:val="0"/>
          <w:numId w:val="1"/>
        </w:numPr>
        <w:tabs>
          <w:tab w:pos="428" w:val="left" w:leader="none"/>
        </w:tabs>
        <w:spacing w:before="0"/>
        <w:ind w:left="427" w:right="0" w:hanging="192"/>
        <w:jc w:val="left"/>
        <w:rPr>
          <w:rFonts w:ascii="Theinhardt Regular" w:hAnsi="Theinhardt Regular" w:cs="Theinhardt Regular" w:eastAsia="Theinhardt Regular"/>
          <w:sz w:val="18"/>
          <w:szCs w:val="18"/>
        </w:rPr>
      </w:pPr>
      <w:r>
        <w:rPr/>
        <w:pict>
          <v:shape style="position:absolute;margin-left:22.894073pt;margin-top:29.126812pt;width:132.681926pt;height:75.614pt;mso-position-horizontal-relative:page;mso-position-vertical-relative:paragraph;z-index:1384" type="#_x0000_t75" stroked="false">
            <v:imagedata r:id="rId15" o:title=""/>
          </v:shape>
        </w:pict>
      </w:r>
      <w:r>
        <w:rPr>
          <w:rFonts w:ascii="Theinhardt Regular"/>
          <w:sz w:val="18"/>
        </w:rPr>
        <w:t>Norman </w:t>
      </w:r>
      <w:r>
        <w:rPr>
          <w:rFonts w:ascii="Theinhardt Regular"/>
          <w:spacing w:val="-1"/>
          <w:sz w:val="18"/>
        </w:rPr>
        <w:t>Foster</w:t>
      </w:r>
      <w:r>
        <w:rPr>
          <w:rFonts w:ascii="Theinhardt Regular"/>
          <w:sz w:val="18"/>
        </w:rPr>
        <w:t> Solar </w:t>
      </w:r>
      <w:r>
        <w:rPr>
          <w:rFonts w:ascii="Theinhardt Regular"/>
          <w:spacing w:val="-3"/>
          <w:sz w:val="18"/>
        </w:rPr>
        <w:t>Award</w:t>
      </w:r>
    </w:p>
    <w:p>
      <w:pPr>
        <w:spacing w:line="230" w:lineRule="exact" w:before="32"/>
        <w:ind w:left="94" w:right="100" w:firstLine="0"/>
        <w:jc w:val="both"/>
        <w:rPr>
          <w:rFonts w:ascii="Theinhardt Bold" w:hAnsi="Theinhardt Bold" w:cs="Theinhardt Bold" w:eastAsia="Theinhardt Bold"/>
          <w:sz w:val="18"/>
          <w:szCs w:val="18"/>
        </w:rPr>
      </w:pPr>
      <w:r>
        <w:rPr/>
        <w:br w:type="column"/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Pour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 augmenter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la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capacité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 d’accueil de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la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 crèche Chateaubriand dans le quartier des Pâquis,</w:t>
      </w:r>
      <w:r>
        <w:rPr>
          <w:rFonts w:ascii="Theinhardt Bold" w:hAnsi="Theinhardt Bold" w:cs="Theinhardt Bold" w:eastAsia="Theinhardt Bold"/>
          <w:b/>
          <w:bCs/>
          <w:spacing w:val="-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la</w:t>
      </w:r>
      <w:r>
        <w:rPr>
          <w:rFonts w:ascii="Theinhardt Bold" w:hAnsi="Theinhardt Bold" w:cs="Theinhardt Bold" w:eastAsia="Theinhardt Bold"/>
          <w:b/>
          <w:bCs/>
          <w:spacing w:val="5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Ville</w:t>
      </w:r>
      <w:r>
        <w:rPr>
          <w:rFonts w:ascii="Theinhardt Bold" w:hAnsi="Theinhardt Bold" w:cs="Theinhardt Bold" w:eastAsia="Theinhardt Bold"/>
          <w:b/>
          <w:bCs/>
          <w:spacing w:val="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de</w:t>
      </w:r>
      <w:r>
        <w:rPr>
          <w:rFonts w:ascii="Theinhardt Bold" w:hAnsi="Theinhardt Bold" w:cs="Theinhardt Bold" w:eastAsia="Theinhardt Bold"/>
          <w:b/>
          <w:bCs/>
          <w:spacing w:val="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Genève</w:t>
      </w:r>
      <w:r>
        <w:rPr>
          <w:rFonts w:ascii="Theinhardt Bold" w:hAnsi="Theinhardt Bold" w:cs="Theinhardt Bold" w:eastAsia="Theinhardt Bold"/>
          <w:b/>
          <w:bCs/>
          <w:spacing w:val="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a</w:t>
      </w:r>
      <w:r>
        <w:rPr>
          <w:rFonts w:ascii="Theinhardt Bold" w:hAnsi="Theinhardt Bold" w:cs="Theinhardt Bold" w:eastAsia="Theinhardt Bold"/>
          <w:b/>
          <w:bCs/>
          <w:spacing w:val="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décidé</w:t>
      </w:r>
      <w:r>
        <w:rPr>
          <w:rFonts w:ascii="Theinhardt Bold" w:hAnsi="Theinhardt Bold" w:cs="Theinhardt Bold" w:eastAsia="Theinhardt Bold"/>
          <w:b/>
          <w:bCs/>
          <w:spacing w:val="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en</w:t>
      </w:r>
      <w:r>
        <w:rPr>
          <w:rFonts w:ascii="Theinhardt Bold" w:hAnsi="Theinhardt Bold" w:cs="Theinhardt Bold" w:eastAsia="Theinhardt Bold"/>
          <w:b/>
          <w:bCs/>
          <w:spacing w:val="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2015</w:t>
      </w:r>
      <w:r>
        <w:rPr>
          <w:rFonts w:ascii="Theinhardt Bold" w:hAnsi="Theinhardt Bold" w:cs="Theinhardt Bold" w:eastAsia="Theinhardt Bold"/>
          <w:b/>
          <w:bCs/>
          <w:spacing w:val="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de</w:t>
      </w:r>
      <w:r>
        <w:rPr>
          <w:rFonts w:ascii="Theinhardt Bold" w:hAnsi="Theinhardt Bold" w:cs="Theinhardt Bold" w:eastAsia="Theinhardt Bold"/>
          <w:b/>
          <w:bCs/>
          <w:spacing w:val="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surélever</w:t>
      </w:r>
      <w:r>
        <w:rPr>
          <w:rFonts w:ascii="Theinhardt Bold" w:hAnsi="Theinhardt Bold" w:cs="Theinhardt Bold" w:eastAsia="Theinhardt Bold"/>
          <w:b/>
          <w:bCs/>
          <w:spacing w:val="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le</w:t>
      </w:r>
      <w:r>
        <w:rPr>
          <w:rFonts w:ascii="Theinhardt Bold" w:hAnsi="Theinhardt Bold" w:cs="Theinhardt Bold" w:eastAsia="Theinhardt Bold"/>
          <w:b/>
          <w:bCs/>
          <w:spacing w:val="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bâtiment</w:t>
      </w:r>
      <w:r>
        <w:rPr>
          <w:rFonts w:ascii="Theinhardt Bold" w:hAnsi="Theinhardt Bold" w:cs="Theinhardt Bold" w:eastAsia="Theinhardt Bold"/>
          <w:b/>
          <w:bCs/>
          <w:spacing w:val="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d’un</w:t>
      </w:r>
      <w:r>
        <w:rPr>
          <w:rFonts w:ascii="Theinhardt Bold" w:hAnsi="Theinhardt Bold" w:cs="Theinhardt Bold" w:eastAsia="Theinhardt Bold"/>
          <w:b/>
          <w:bCs/>
          <w:spacing w:val="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étage.</w:t>
      </w:r>
      <w:r>
        <w:rPr>
          <w:rFonts w:ascii="Theinhardt Bold" w:hAnsi="Theinhardt Bold" w:cs="Theinhardt Bold" w:eastAsia="Theinhardt Bold"/>
          <w:b/>
          <w:bCs/>
          <w:spacing w:val="1"/>
          <w:sz w:val="18"/>
          <w:szCs w:val="18"/>
        </w:rPr>
        <w:t> La</w:t>
      </w:r>
      <w:r>
        <w:rPr>
          <w:rFonts w:ascii="Theinhardt Bold" w:hAnsi="Theinhardt Bold" w:cs="Theinhardt Bold" w:eastAsia="Theinhardt Bold"/>
          <w:b/>
          <w:bCs/>
          <w:spacing w:val="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consommation</w:t>
      </w:r>
      <w:r>
        <w:rPr>
          <w:rFonts w:ascii="Theinhardt Bold" w:hAnsi="Theinhardt Bold" w:cs="Theinhardt Bold" w:eastAsia="Theinhardt Bold"/>
          <w:b/>
          <w:bCs/>
          <w:spacing w:val="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totale</w:t>
      </w:r>
      <w:r>
        <w:rPr>
          <w:rFonts w:ascii="Theinhardt Bold" w:hAnsi="Theinhardt Bold" w:cs="Theinhardt Bold" w:eastAsia="Theinhardt Bold"/>
          <w:b/>
          <w:bCs/>
          <w:spacing w:val="5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est</w:t>
      </w:r>
      <w:r>
        <w:rPr>
          <w:rFonts w:ascii="Theinhardt Bold" w:hAnsi="Theinhardt Bold" w:cs="Theinhardt Bold" w:eastAsia="Theinhardt Bold"/>
          <w:b/>
          <w:bCs/>
          <w:spacing w:val="2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de</w:t>
      </w:r>
      <w:r>
        <w:rPr>
          <w:rFonts w:ascii="Theinhardt Bold" w:hAnsi="Theinhardt Bold" w:cs="Theinhardt Bold" w:eastAsia="Theinhardt Bold"/>
          <w:b/>
          <w:bCs/>
          <w:spacing w:val="2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67’200</w:t>
      </w:r>
      <w:r>
        <w:rPr>
          <w:rFonts w:ascii="Theinhardt Bold" w:hAnsi="Theinhardt Bold" w:cs="Theinhardt Bold" w:eastAsia="Theinhardt Bold"/>
          <w:b/>
          <w:bCs/>
          <w:spacing w:val="2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3"/>
          <w:sz w:val="18"/>
          <w:szCs w:val="18"/>
        </w:rPr>
        <w:t>kWh/a.</w:t>
      </w:r>
      <w:r>
        <w:rPr>
          <w:rFonts w:ascii="Theinhardt Bold" w:hAnsi="Theinhardt Bold" w:cs="Theinhardt Bold" w:eastAsia="Theinhardt Bold"/>
          <w:b/>
          <w:bCs/>
          <w:spacing w:val="1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Orientée</w:t>
      </w:r>
      <w:r>
        <w:rPr>
          <w:rFonts w:ascii="Theinhardt Bold" w:hAnsi="Theinhardt Bold" w:cs="Theinhardt Bold" w:eastAsia="Theinhardt Bold"/>
          <w:b/>
          <w:bCs/>
          <w:spacing w:val="2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au</w:t>
      </w:r>
      <w:r>
        <w:rPr>
          <w:rFonts w:ascii="Theinhardt Bold" w:hAnsi="Theinhardt Bold" w:cs="Theinhardt Bold" w:eastAsia="Theinhardt Bold"/>
          <w:b/>
          <w:bCs/>
          <w:spacing w:val="2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sud,</w:t>
      </w:r>
      <w:r>
        <w:rPr>
          <w:rFonts w:ascii="Theinhardt Bold" w:hAnsi="Theinhardt Bold" w:cs="Theinhardt Bold" w:eastAsia="Theinhardt Bold"/>
          <w:b/>
          <w:bCs/>
          <w:spacing w:val="1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l’installation</w:t>
      </w:r>
      <w:r>
        <w:rPr>
          <w:rFonts w:ascii="Theinhardt Bold" w:hAnsi="Theinhardt Bold" w:cs="Theinhardt Bold" w:eastAsia="Theinhardt Bold"/>
          <w:b/>
          <w:bCs/>
          <w:spacing w:val="2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1"/>
          <w:sz w:val="18"/>
          <w:szCs w:val="18"/>
        </w:rPr>
        <w:t>PV</w:t>
      </w:r>
      <w:r>
        <w:rPr>
          <w:rFonts w:ascii="Theinhardt Bold" w:hAnsi="Theinhardt Bold" w:cs="Theinhardt Bold" w:eastAsia="Theinhardt Bold"/>
          <w:b/>
          <w:bCs/>
          <w:spacing w:val="2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produit</w:t>
      </w:r>
      <w:r>
        <w:rPr>
          <w:rFonts w:ascii="Theinhardt Bold" w:hAnsi="Theinhardt Bold" w:cs="Theinhardt Bold" w:eastAsia="Theinhardt Bold"/>
          <w:b/>
          <w:bCs/>
          <w:spacing w:val="2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76’800</w:t>
      </w:r>
      <w:r>
        <w:rPr>
          <w:rFonts w:ascii="Theinhardt Bold" w:hAnsi="Theinhardt Bold" w:cs="Theinhardt Bold" w:eastAsia="Theinhardt Bold"/>
          <w:b/>
          <w:bCs/>
          <w:spacing w:val="2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3"/>
          <w:sz w:val="18"/>
          <w:szCs w:val="18"/>
        </w:rPr>
        <w:t>kWh/a</w:t>
      </w:r>
      <w:r>
        <w:rPr>
          <w:rFonts w:ascii="Theinhardt Bold" w:hAnsi="Theinhardt Bold" w:cs="Theinhardt Bold" w:eastAsia="Theinhardt Bold"/>
          <w:b/>
          <w:bCs/>
          <w:spacing w:val="2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et</w:t>
      </w:r>
      <w:r>
        <w:rPr>
          <w:rFonts w:ascii="Theinhardt Bold" w:hAnsi="Theinhardt Bold" w:cs="Theinhardt Bold" w:eastAsia="Theinhardt Bold"/>
          <w:b/>
          <w:bCs/>
          <w:spacing w:val="2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assure</w:t>
      </w:r>
      <w:r>
        <w:rPr>
          <w:rFonts w:ascii="Theinhardt Bold" w:hAnsi="Theinhardt Bold" w:cs="Theinhardt Bold" w:eastAsia="Theinhardt Bold"/>
          <w:b/>
          <w:bCs/>
          <w:spacing w:val="2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une</w:t>
      </w:r>
      <w:r>
        <w:rPr>
          <w:rFonts w:ascii="Theinhardt Bold" w:hAnsi="Theinhardt Bold" w:cs="Theinhardt Bold" w:eastAsia="Theinhardt Bold"/>
          <w:b/>
          <w:bCs/>
          <w:spacing w:val="5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autoproduction</w:t>
      </w:r>
      <w:r>
        <w:rPr>
          <w:rFonts w:ascii="Theinhardt Bold" w:hAnsi="Theinhardt Bold" w:cs="Theinhardt Bold" w:eastAsia="Theinhardt Bold"/>
          <w:b/>
          <w:bCs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de</w:t>
      </w:r>
      <w:r>
        <w:rPr>
          <w:rFonts w:ascii="Theinhardt Bold" w:hAnsi="Theinhardt Bold" w:cs="Theinhardt Bold" w:eastAsia="Theinhardt Bold"/>
          <w:b/>
          <w:bCs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114%. </w:t>
      </w:r>
      <w:r>
        <w:rPr>
          <w:rFonts w:ascii="Theinhardt Bold" w:hAnsi="Theinhardt Bold" w:cs="Theinhardt Bold" w:eastAsia="Theinhardt Bold"/>
          <w:b/>
          <w:bCs/>
          <w:spacing w:val="-4"/>
          <w:sz w:val="18"/>
          <w:szCs w:val="18"/>
        </w:rPr>
        <w:t>L’excédent</w:t>
      </w:r>
      <w:r>
        <w:rPr>
          <w:rFonts w:ascii="Theinhardt Bold" w:hAnsi="Theinhardt Bold" w:cs="Theinhardt Bold" w:eastAsia="Theinhardt Bold"/>
          <w:b/>
          <w:bCs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est</w:t>
      </w:r>
      <w:r>
        <w:rPr>
          <w:rFonts w:ascii="Theinhardt Bold" w:hAnsi="Theinhardt Bold" w:cs="Theinhardt Bold" w:eastAsia="Theinhardt Bold"/>
          <w:b/>
          <w:bCs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injecté</w:t>
      </w:r>
      <w:r>
        <w:rPr>
          <w:rFonts w:ascii="Theinhardt Bold" w:hAnsi="Theinhardt Bold" w:cs="Theinhardt Bold" w:eastAsia="Theinhardt Bold"/>
          <w:b/>
          <w:bCs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dans</w:t>
      </w:r>
      <w:r>
        <w:rPr>
          <w:rFonts w:ascii="Theinhardt Bold" w:hAnsi="Theinhardt Bold" w:cs="Theinhardt Bold" w:eastAsia="Theinhardt Bold"/>
          <w:b/>
          <w:bCs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le</w:t>
      </w:r>
      <w:r>
        <w:rPr>
          <w:rFonts w:ascii="Theinhardt Bold" w:hAnsi="Theinhardt Bold" w:cs="Theinhardt Bold" w:eastAsia="Theinhardt Bold"/>
          <w:b/>
          <w:bCs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réseau</w:t>
      </w:r>
      <w:r>
        <w:rPr>
          <w:rFonts w:ascii="Theinhardt Bold" w:hAnsi="Theinhardt Bold" w:cs="Theinhardt Bold" w:eastAsia="Theinhardt Bold"/>
          <w:b/>
          <w:bCs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public. </w:t>
      </w:r>
      <w:r>
        <w:rPr>
          <w:rFonts w:ascii="Theinhardt Bold" w:hAnsi="Theinhardt Bold" w:cs="Theinhardt Bold" w:eastAsia="Theinhardt Bold"/>
          <w:b/>
          <w:bCs/>
          <w:spacing w:val="1"/>
          <w:sz w:val="18"/>
          <w:szCs w:val="18"/>
        </w:rPr>
        <w:t>La</w:t>
      </w:r>
      <w:r>
        <w:rPr>
          <w:rFonts w:ascii="Theinhardt Bold" w:hAnsi="Theinhardt Bold" w:cs="Theinhardt Bold" w:eastAsia="Theinhardt Bold"/>
          <w:b/>
          <w:bCs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première</w:t>
      </w:r>
      <w:r>
        <w:rPr>
          <w:rFonts w:ascii="Theinhardt Bold" w:hAnsi="Theinhardt Bold" w:cs="Theinhardt Bold" w:eastAsia="Theinhardt Bold"/>
          <w:b/>
          <w:bCs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crèche</w:t>
      </w:r>
      <w:r>
        <w:rPr>
          <w:rFonts w:ascii="Theinhardt Bold" w:hAnsi="Theinhardt Bold" w:cs="Theinhardt Bold" w:eastAsia="Theinhardt Bold"/>
          <w:b/>
          <w:bCs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BEP</w:t>
      </w:r>
      <w:r>
        <w:rPr>
          <w:rFonts w:ascii="Theinhardt Bold" w:hAnsi="Theinhardt Bold" w:cs="Theinhardt Bold" w:eastAsia="Theinhardt Bold"/>
          <w:b/>
          <w:bCs/>
          <w:spacing w:val="6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en</w:t>
      </w:r>
      <w:r>
        <w:rPr>
          <w:rFonts w:ascii="Theinhardt Bold" w:hAnsi="Theinhardt Bold" w:cs="Theinhardt Bold" w:eastAsia="Theinhardt Bold"/>
          <w:b/>
          <w:bCs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Suisse</w:t>
      </w:r>
      <w:r>
        <w:rPr>
          <w:rFonts w:ascii="Theinhardt Bold" w:hAnsi="Theinhardt Bold" w:cs="Theinhardt Bold" w:eastAsia="Theinhardt Bold"/>
          <w:b/>
          <w:bCs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intègre</w:t>
      </w:r>
      <w:r>
        <w:rPr>
          <w:rFonts w:ascii="Theinhardt Bold" w:hAnsi="Theinhardt Bold" w:cs="Theinhardt Bold" w:eastAsia="Theinhardt Bold"/>
          <w:b/>
          <w:bCs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une</w:t>
      </w:r>
      <w:r>
        <w:rPr>
          <w:rFonts w:ascii="Theinhardt Bold" w:hAnsi="Theinhardt Bold" w:cs="Theinhardt Bold" w:eastAsia="Theinhardt Bold"/>
          <w:b/>
          <w:bCs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pompe</w:t>
      </w:r>
      <w:r>
        <w:rPr>
          <w:rFonts w:ascii="Theinhardt Bold" w:hAnsi="Theinhardt Bold" w:cs="Theinhardt Bold" w:eastAsia="Theinhardt Bold"/>
          <w:b/>
          <w:bCs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à</w:t>
      </w:r>
      <w:r>
        <w:rPr>
          <w:rFonts w:ascii="Theinhardt Bold" w:hAnsi="Theinhardt Bold" w:cs="Theinhardt Bold" w:eastAsia="Theinhardt Bold"/>
          <w:b/>
          <w:bCs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chaleur</w:t>
      </w:r>
      <w:r>
        <w:rPr>
          <w:rFonts w:ascii="Theinhardt Bold" w:hAnsi="Theinhardt Bold" w:cs="Theinhardt Bold" w:eastAsia="Theinhardt Bold"/>
          <w:b/>
          <w:bCs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géothermique</w:t>
      </w:r>
      <w:r>
        <w:rPr>
          <w:rFonts w:ascii="Theinhardt Bold" w:hAnsi="Theinhardt Bold" w:cs="Theinhardt Bold" w:eastAsia="Theinhardt Bold"/>
          <w:b/>
          <w:bCs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solaire</w:t>
      </w:r>
      <w:r>
        <w:rPr>
          <w:rFonts w:ascii="Theinhardt Bold" w:hAnsi="Theinhardt Bold" w:cs="Theinhardt Bold" w:eastAsia="Theinhardt Bold"/>
          <w:b/>
          <w:bCs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ainsi</w:t>
      </w:r>
      <w:r>
        <w:rPr>
          <w:rFonts w:ascii="Theinhardt Bold" w:hAnsi="Theinhardt Bold" w:cs="Theinhardt Bold" w:eastAsia="Theinhardt Bold"/>
          <w:b/>
          <w:bCs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qu’un</w:t>
      </w:r>
      <w:r>
        <w:rPr>
          <w:rFonts w:ascii="Theinhardt Bold" w:hAnsi="Theinhardt Bold" w:cs="Theinhardt Bold" w:eastAsia="Theinhardt Bold"/>
          <w:b/>
          <w:bCs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système</w:t>
      </w:r>
      <w:r>
        <w:rPr>
          <w:rFonts w:ascii="Theinhardt Bold" w:hAnsi="Theinhardt Bold" w:cs="Theinhardt Bold" w:eastAsia="Theinhardt Bold"/>
          <w:b/>
          <w:bCs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de</w:t>
      </w:r>
      <w:r>
        <w:rPr>
          <w:rFonts w:ascii="Theinhardt Bold" w:hAnsi="Theinhardt Bold" w:cs="Theinhardt Bold" w:eastAsia="Theinhardt Bold"/>
          <w:b/>
          <w:bCs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ventilation</w:t>
      </w:r>
      <w:r>
        <w:rPr>
          <w:rFonts w:ascii="Theinhardt Bold" w:hAnsi="Theinhardt Bold" w:cs="Theinhardt Bold" w:eastAsia="Theinhardt Bold"/>
          <w:b/>
          <w:bCs/>
          <w:spacing w:val="4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sophistiqué,</w:t>
      </w:r>
      <w:r>
        <w:rPr>
          <w:rFonts w:ascii="Theinhardt Bold" w:hAnsi="Theinhardt Bold" w:cs="Theinhardt Bold" w:eastAsia="Theinhardt Bold"/>
          <w:b/>
          <w:bCs/>
          <w:spacing w:val="-1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avec</w:t>
      </w:r>
      <w:r>
        <w:rPr>
          <w:rFonts w:ascii="Theinhardt Bold" w:hAnsi="Theinhardt Bold" w:cs="Theinhardt Bold" w:eastAsia="Theinhardt Bold"/>
          <w:b/>
          <w:bCs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une</w:t>
      </w:r>
      <w:r>
        <w:rPr>
          <w:rFonts w:ascii="Theinhardt Bold" w:hAnsi="Theinhardt Bold" w:cs="Theinhardt Bold" w:eastAsia="Theinhardt Bold"/>
          <w:b/>
          <w:bCs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récupération</w:t>
      </w:r>
      <w:r>
        <w:rPr>
          <w:rFonts w:ascii="Theinhardt Bold" w:hAnsi="Theinhardt Bold" w:cs="Theinhardt Bold" w:eastAsia="Theinhardt Bold"/>
          <w:b/>
          <w:bCs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de</w:t>
      </w:r>
      <w:r>
        <w:rPr>
          <w:rFonts w:ascii="Theinhardt Bold" w:hAnsi="Theinhardt Bold" w:cs="Theinhardt Bold" w:eastAsia="Theinhardt Bold"/>
          <w:b/>
          <w:bCs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chaleur</w:t>
      </w:r>
      <w:r>
        <w:rPr>
          <w:rFonts w:ascii="Theinhardt Bold" w:hAnsi="Theinhardt Bold" w:cs="Theinhardt Bold" w:eastAsia="Theinhardt Bold"/>
          <w:b/>
          <w:bCs/>
          <w:spacing w:val="-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permettant</w:t>
      </w:r>
      <w:r>
        <w:rPr>
          <w:rFonts w:ascii="Theinhardt Bold" w:hAnsi="Theinhardt Bold" w:cs="Theinhardt Bold" w:eastAsia="Theinhardt Bold"/>
          <w:b/>
          <w:bCs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de</w:t>
      </w:r>
      <w:r>
        <w:rPr>
          <w:rFonts w:ascii="Theinhardt Bold" w:hAnsi="Theinhardt Bold" w:cs="Theinhardt Bold" w:eastAsia="Theinhardt Bold"/>
          <w:b/>
          <w:bCs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minimiser</w:t>
      </w:r>
      <w:r>
        <w:rPr>
          <w:rFonts w:ascii="Theinhardt Bold" w:hAnsi="Theinhardt Bold" w:cs="Theinhardt Bold" w:eastAsia="Theinhardt Bold"/>
          <w:b/>
          <w:bCs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les</w:t>
      </w:r>
      <w:r>
        <w:rPr>
          <w:rFonts w:ascii="Theinhardt Bold" w:hAnsi="Theinhardt Bold" w:cs="Theinhardt Bold" w:eastAsia="Theinhardt Bold"/>
          <w:b/>
          <w:bCs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pertes</w:t>
      </w:r>
      <w:r>
        <w:rPr>
          <w:rFonts w:ascii="Theinhardt Bold" w:hAnsi="Theinhardt Bold" w:cs="Theinhardt Bold" w:eastAsia="Theinhardt Bold"/>
          <w:b/>
          <w:bCs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énergétiques.</w:t>
      </w:r>
      <w:r>
        <w:rPr>
          <w:rFonts w:ascii="Theinhardt Bold" w:hAnsi="Theinhardt Bold" w:cs="Theinhardt Bold" w:eastAsia="Theinhardt Bold"/>
          <w:b/>
          <w:bCs/>
          <w:spacing w:val="4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Le</w:t>
      </w:r>
      <w:r>
        <w:rPr>
          <w:rFonts w:ascii="Theinhardt Bold" w:hAnsi="Theinhardt Bold" w:cs="Theinhardt Bold" w:eastAsia="Theinhardt Bold"/>
          <w:b/>
          <w:bCs/>
          <w:spacing w:val="2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projet</w:t>
      </w:r>
      <w:r>
        <w:rPr>
          <w:rFonts w:ascii="Theinhardt Bold" w:hAnsi="Theinhardt Bold" w:cs="Theinhardt Bold" w:eastAsia="Theinhardt Bold"/>
          <w:b/>
          <w:bCs/>
          <w:spacing w:val="2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est</w:t>
      </w:r>
      <w:r>
        <w:rPr>
          <w:rFonts w:ascii="Theinhardt Bold" w:hAnsi="Theinhardt Bold" w:cs="Theinhardt Bold" w:eastAsia="Theinhardt Bold"/>
          <w:b/>
          <w:bCs/>
          <w:spacing w:val="2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un</w:t>
      </w:r>
      <w:r>
        <w:rPr>
          <w:rFonts w:ascii="Theinhardt Bold" w:hAnsi="Theinhardt Bold" w:cs="Theinhardt Bold" w:eastAsia="Theinhardt Bold"/>
          <w:b/>
          <w:bCs/>
          <w:spacing w:val="2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bel</w:t>
      </w:r>
      <w:r>
        <w:rPr>
          <w:rFonts w:ascii="Theinhardt Bold" w:hAnsi="Theinhardt Bold" w:cs="Theinhardt Bold" w:eastAsia="Theinhardt Bold"/>
          <w:b/>
          <w:bCs/>
          <w:spacing w:val="2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exemple</w:t>
      </w:r>
      <w:r>
        <w:rPr>
          <w:rFonts w:ascii="Theinhardt Bold" w:hAnsi="Theinhardt Bold" w:cs="Theinhardt Bold" w:eastAsia="Theinhardt Bold"/>
          <w:b/>
          <w:bCs/>
          <w:spacing w:val="2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de</w:t>
      </w:r>
      <w:r>
        <w:rPr>
          <w:rFonts w:ascii="Theinhardt Bold" w:hAnsi="Theinhardt Bold" w:cs="Theinhardt Bold" w:eastAsia="Theinhardt Bold"/>
          <w:b/>
          <w:bCs/>
          <w:spacing w:val="2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la</w:t>
      </w:r>
      <w:r>
        <w:rPr>
          <w:rFonts w:ascii="Theinhardt Bold" w:hAnsi="Theinhardt Bold" w:cs="Theinhardt Bold" w:eastAsia="Theinhardt Bold"/>
          <w:b/>
          <w:bCs/>
          <w:spacing w:val="2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façon</w:t>
      </w:r>
      <w:r>
        <w:rPr>
          <w:rFonts w:ascii="Theinhardt Bold" w:hAnsi="Theinhardt Bold" w:cs="Theinhardt Bold" w:eastAsia="Theinhardt Bold"/>
          <w:b/>
          <w:bCs/>
          <w:spacing w:val="2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d’apporter</w:t>
      </w:r>
      <w:r>
        <w:rPr>
          <w:rFonts w:ascii="Theinhardt Bold" w:hAnsi="Theinhardt Bold" w:cs="Theinhardt Bold" w:eastAsia="Theinhardt Bold"/>
          <w:b/>
          <w:bCs/>
          <w:spacing w:val="2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une</w:t>
      </w:r>
      <w:r>
        <w:rPr>
          <w:rFonts w:ascii="Theinhardt Bold" w:hAnsi="Theinhardt Bold" w:cs="Theinhardt Bold" w:eastAsia="Theinhardt Bold"/>
          <w:b/>
          <w:bCs/>
          <w:spacing w:val="2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solution</w:t>
      </w:r>
      <w:r>
        <w:rPr>
          <w:rFonts w:ascii="Theinhardt Bold" w:hAnsi="Theinhardt Bold" w:cs="Theinhardt Bold" w:eastAsia="Theinhardt Bold"/>
          <w:b/>
          <w:bCs/>
          <w:spacing w:val="2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au</w:t>
      </w:r>
      <w:r>
        <w:rPr>
          <w:rFonts w:ascii="Theinhardt Bold" w:hAnsi="Theinhardt Bold" w:cs="Theinhardt Bold" w:eastAsia="Theinhardt Bold"/>
          <w:b/>
          <w:bCs/>
          <w:spacing w:val="2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problème</w:t>
      </w:r>
      <w:r>
        <w:rPr>
          <w:rFonts w:ascii="Theinhardt Bold" w:hAnsi="Theinhardt Bold" w:cs="Theinhardt Bold" w:eastAsia="Theinhardt Bold"/>
          <w:b/>
          <w:bCs/>
          <w:spacing w:val="2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de</w:t>
      </w:r>
      <w:r>
        <w:rPr>
          <w:rFonts w:ascii="Theinhardt Bold" w:hAnsi="Theinhardt Bold" w:cs="Theinhardt Bold" w:eastAsia="Theinhardt Bold"/>
          <w:b/>
          <w:bCs/>
          <w:spacing w:val="2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la</w:t>
      </w:r>
      <w:r>
        <w:rPr>
          <w:rFonts w:ascii="Theinhardt Bold" w:hAnsi="Theinhardt Bold" w:cs="Theinhardt Bold" w:eastAsia="Theinhardt Bold"/>
          <w:b/>
          <w:bCs/>
          <w:spacing w:val="2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capacité</w:t>
      </w:r>
      <w:r>
        <w:rPr>
          <w:rFonts w:ascii="Theinhardt Bold" w:hAnsi="Theinhardt Bold" w:cs="Theinhardt Bold" w:eastAsia="Theinhardt Bold"/>
          <w:b/>
          <w:bCs/>
          <w:spacing w:val="7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d’accueil</w:t>
      </w:r>
      <w:r>
        <w:rPr>
          <w:rFonts w:ascii="Theinhardt Bold" w:hAnsi="Theinhardt Bold" w:cs="Theinhardt Bold" w:eastAsia="Theinhardt Bold"/>
          <w:b/>
          <w:bCs/>
          <w:spacing w:val="-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d’une</w:t>
      </w:r>
      <w:r>
        <w:rPr>
          <w:rFonts w:ascii="Theinhardt Bold" w:hAnsi="Theinhardt Bold" w:cs="Theinhardt Bold" w:eastAsia="Theinhardt Bold"/>
          <w:b/>
          <w:bCs/>
          <w:spacing w:val="-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crèche</w:t>
      </w:r>
      <w:r>
        <w:rPr>
          <w:rFonts w:ascii="Theinhardt Bold" w:hAnsi="Theinhardt Bold" w:cs="Theinhardt Bold" w:eastAsia="Theinhardt Bold"/>
          <w:b/>
          <w:bCs/>
          <w:spacing w:val="-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en</w:t>
      </w:r>
      <w:r>
        <w:rPr>
          <w:rFonts w:ascii="Theinhardt Bold" w:hAnsi="Theinhardt Bold" w:cs="Theinhardt Bold" w:eastAsia="Theinhardt Bold"/>
          <w:b/>
          <w:bCs/>
          <w:spacing w:val="-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ville</w:t>
      </w:r>
      <w:r>
        <w:rPr>
          <w:rFonts w:ascii="Theinhardt Bold" w:hAnsi="Theinhardt Bold" w:cs="Theinhardt Bold" w:eastAsia="Theinhardt Bold"/>
          <w:b/>
          <w:bCs/>
          <w:spacing w:val="-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de</w:t>
      </w:r>
      <w:r>
        <w:rPr>
          <w:rFonts w:ascii="Theinhardt Bold" w:hAnsi="Theinhardt Bold" w:cs="Theinhardt Bold" w:eastAsia="Theinhardt Bold"/>
          <w:b/>
          <w:bCs/>
          <w:spacing w:val="-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Genève,</w:t>
      </w:r>
      <w:r>
        <w:rPr>
          <w:rFonts w:ascii="Theinhardt Bold" w:hAnsi="Theinhardt Bold" w:cs="Theinhardt Bold" w:eastAsia="Theinhardt Bold"/>
          <w:b/>
          <w:bCs/>
          <w:spacing w:val="-1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tout</w:t>
      </w:r>
      <w:r>
        <w:rPr>
          <w:rFonts w:ascii="Theinhardt Bold" w:hAnsi="Theinhardt Bold" w:cs="Theinhardt Bold" w:eastAsia="Theinhardt Bold"/>
          <w:b/>
          <w:bCs/>
          <w:spacing w:val="-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en</w:t>
      </w:r>
      <w:r>
        <w:rPr>
          <w:rFonts w:ascii="Theinhardt Bold" w:hAnsi="Theinhardt Bold" w:cs="Theinhardt Bold" w:eastAsia="Theinhardt Bold"/>
          <w:b/>
          <w:bCs/>
          <w:spacing w:val="-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alimentant</w:t>
      </w:r>
      <w:r>
        <w:rPr>
          <w:rFonts w:ascii="Theinhardt Bold" w:hAnsi="Theinhardt Bold" w:cs="Theinhardt Bold" w:eastAsia="Theinhardt Bold"/>
          <w:b/>
          <w:bCs/>
          <w:spacing w:val="-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le</w:t>
      </w:r>
      <w:r>
        <w:rPr>
          <w:rFonts w:ascii="Theinhardt Bold" w:hAnsi="Theinhardt Bold" w:cs="Theinhardt Bold" w:eastAsia="Theinhardt Bold"/>
          <w:b/>
          <w:bCs/>
          <w:spacing w:val="-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BEP</w:t>
      </w:r>
      <w:r>
        <w:rPr>
          <w:rFonts w:ascii="Theinhardt Bold" w:hAnsi="Theinhardt Bold" w:cs="Theinhardt Bold" w:eastAsia="Theinhardt Bold"/>
          <w:b/>
          <w:bCs/>
          <w:spacing w:val="-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qui</w:t>
      </w:r>
      <w:r>
        <w:rPr>
          <w:rFonts w:ascii="Theinhardt Bold" w:hAnsi="Theinhardt Bold" w:cs="Theinhardt Bold" w:eastAsia="Theinhardt Bold"/>
          <w:b/>
          <w:bCs/>
          <w:spacing w:val="-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l’abrite</w:t>
      </w:r>
      <w:r>
        <w:rPr>
          <w:rFonts w:ascii="Theinhardt Bold" w:hAnsi="Theinhardt Bold" w:cs="Theinhardt Bold" w:eastAsia="Theinhardt Bold"/>
          <w:b/>
          <w:bCs/>
          <w:spacing w:val="-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avec</w:t>
      </w:r>
      <w:r>
        <w:rPr>
          <w:rFonts w:ascii="Theinhardt Bold" w:hAnsi="Theinhardt Bold" w:cs="Theinhardt Bold" w:eastAsia="Theinhardt Bold"/>
          <w:b/>
          <w:bCs/>
          <w:spacing w:val="-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de</w:t>
      </w:r>
      <w:r>
        <w:rPr>
          <w:rFonts w:ascii="Theinhardt Bold" w:hAnsi="Theinhardt Bold" w:cs="Theinhardt Bold" w:eastAsia="Theinhardt Bold"/>
          <w:b/>
          <w:bCs/>
          <w:spacing w:val="-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l’énergie</w:t>
      </w:r>
      <w:r>
        <w:rPr>
          <w:rFonts w:ascii="Theinhardt Bold" w:hAnsi="Theinhardt Bold" w:cs="Theinhardt Bold" w:eastAsia="Theinhardt Bold"/>
          <w:b/>
          <w:bCs/>
          <w:spacing w:val="5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solaire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innovante.</w:t>
      </w:r>
      <w:r>
        <w:rPr>
          <w:rFonts w:ascii="Theinhardt Bold" w:hAnsi="Theinhardt Bold" w:cs="Theinhardt Bold" w:eastAsia="Theinhardt Bold"/>
          <w:sz w:val="18"/>
          <w:szCs w:val="18"/>
        </w:rPr>
      </w:r>
    </w:p>
    <w:p>
      <w:pPr>
        <w:spacing w:after="0" w:line="230" w:lineRule="exact"/>
        <w:jc w:val="both"/>
        <w:rPr>
          <w:rFonts w:ascii="Theinhardt Bold" w:hAnsi="Theinhardt Bold" w:cs="Theinhardt Bold" w:eastAsia="Theinhardt Bold"/>
          <w:sz w:val="18"/>
          <w:szCs w:val="18"/>
        </w:rPr>
        <w:sectPr>
          <w:pgSz w:w="11910" w:h="16840"/>
          <w:pgMar w:top="860" w:bottom="280" w:left="340" w:right="740"/>
          <w:cols w:num="2" w:equalWidth="0">
            <w:col w:w="2772" w:space="40"/>
            <w:col w:w="8018"/>
          </w:cols>
        </w:sect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3"/>
        <w:rPr>
          <w:rFonts w:ascii="Theinhardt Bold" w:hAnsi="Theinhardt Bold" w:cs="Theinhardt Bold" w:eastAsia="Theinhardt Bold"/>
          <w:b/>
          <w:bCs/>
          <w:sz w:val="24"/>
          <w:szCs w:val="24"/>
        </w:rPr>
      </w:pPr>
    </w:p>
    <w:p>
      <w:pPr>
        <w:spacing w:before="5"/>
        <w:ind w:left="235" w:right="0" w:firstLine="0"/>
        <w:jc w:val="left"/>
        <w:rPr>
          <w:rFonts w:ascii="Theinhardt Black" w:hAnsi="Theinhardt Black" w:cs="Theinhardt Black" w:eastAsia="Theinhardt Black"/>
          <w:sz w:val="40"/>
          <w:szCs w:val="40"/>
        </w:rPr>
      </w:pPr>
      <w:r>
        <w:rPr>
          <w:rFonts w:ascii="Theinhardt Black" w:hAnsi="Theinhardt Black"/>
          <w:b/>
          <w:color w:val="0067B1"/>
          <w:spacing w:val="-1"/>
          <w:sz w:val="40"/>
        </w:rPr>
        <w:t>Rénovation</w:t>
      </w:r>
      <w:r>
        <w:rPr>
          <w:rFonts w:ascii="Theinhardt Black" w:hAnsi="Theinhardt Black"/>
          <w:b/>
          <w:color w:val="0067B1"/>
          <w:spacing w:val="-8"/>
          <w:sz w:val="40"/>
        </w:rPr>
        <w:t> </w:t>
      </w:r>
      <w:r>
        <w:rPr>
          <w:rFonts w:ascii="Theinhardt Black" w:hAnsi="Theinhardt Black"/>
          <w:b/>
          <w:color w:val="0067B1"/>
          <w:spacing w:val="-4"/>
          <w:sz w:val="40"/>
        </w:rPr>
        <w:t>BEP</w:t>
      </w:r>
      <w:r>
        <w:rPr>
          <w:rFonts w:ascii="Theinhardt Black" w:hAnsi="Theinhardt Black"/>
          <w:b/>
          <w:color w:val="0067B1"/>
          <w:spacing w:val="-8"/>
          <w:sz w:val="40"/>
        </w:rPr>
        <w:t> </w:t>
      </w:r>
      <w:r>
        <w:rPr>
          <w:rFonts w:ascii="Theinhardt Black" w:hAnsi="Theinhardt Black"/>
          <w:b/>
          <w:color w:val="0067B1"/>
          <w:spacing w:val="-3"/>
          <w:sz w:val="40"/>
        </w:rPr>
        <w:t>114%</w:t>
      </w:r>
      <w:r>
        <w:rPr>
          <w:rFonts w:ascii="Theinhardt Black" w:hAnsi="Theinhardt Black"/>
          <w:b/>
          <w:color w:val="0067B1"/>
          <w:spacing w:val="-8"/>
          <w:sz w:val="40"/>
        </w:rPr>
        <w:t> </w:t>
      </w:r>
      <w:r>
        <w:rPr>
          <w:rFonts w:ascii="Theinhardt Black" w:hAnsi="Theinhardt Black"/>
          <w:b/>
          <w:color w:val="0067B1"/>
          <w:spacing w:val="1"/>
          <w:sz w:val="40"/>
        </w:rPr>
        <w:t>Crèche</w:t>
      </w:r>
      <w:r>
        <w:rPr>
          <w:rFonts w:ascii="Theinhardt Black" w:hAnsi="Theinhardt Black"/>
          <w:b/>
          <w:color w:val="0067B1"/>
          <w:spacing w:val="-8"/>
          <w:sz w:val="40"/>
        </w:rPr>
        <w:t> </w:t>
      </w:r>
      <w:r>
        <w:rPr>
          <w:rFonts w:ascii="Theinhardt Black" w:hAnsi="Theinhardt Black"/>
          <w:b/>
          <w:color w:val="0067B1"/>
          <w:sz w:val="40"/>
        </w:rPr>
        <w:t>Chateaubriand,</w:t>
      </w:r>
      <w:r>
        <w:rPr>
          <w:rFonts w:ascii="Theinhardt Black" w:hAnsi="Theinhardt Black"/>
          <w:b/>
          <w:color w:val="0067B1"/>
          <w:spacing w:val="-32"/>
          <w:sz w:val="40"/>
        </w:rPr>
        <w:t> </w:t>
      </w:r>
      <w:r>
        <w:rPr>
          <w:rFonts w:ascii="Theinhardt Black" w:hAnsi="Theinhardt Black"/>
          <w:b/>
          <w:color w:val="0067B1"/>
          <w:spacing w:val="-4"/>
          <w:sz w:val="40"/>
        </w:rPr>
        <w:t>Genève</w:t>
      </w:r>
      <w:r>
        <w:rPr>
          <w:rFonts w:ascii="Theinhardt Black" w:hAnsi="Theinhardt Black"/>
          <w:sz w:val="40"/>
        </w:rPr>
      </w:r>
    </w:p>
    <w:p>
      <w:pPr>
        <w:spacing w:line="240" w:lineRule="auto" w:before="11"/>
        <w:rPr>
          <w:rFonts w:ascii="Theinhardt Black" w:hAnsi="Theinhardt Black" w:cs="Theinhardt Black" w:eastAsia="Theinhardt Black"/>
          <w:b/>
          <w:bCs/>
          <w:sz w:val="23"/>
          <w:szCs w:val="23"/>
        </w:rPr>
      </w:pPr>
    </w:p>
    <w:p>
      <w:pPr>
        <w:spacing w:after="0" w:line="240" w:lineRule="auto"/>
        <w:rPr>
          <w:rFonts w:ascii="Theinhardt Black" w:hAnsi="Theinhardt Black" w:cs="Theinhardt Black" w:eastAsia="Theinhardt Black"/>
          <w:sz w:val="23"/>
          <w:szCs w:val="23"/>
        </w:rPr>
        <w:sectPr>
          <w:type w:val="continuous"/>
          <w:pgSz w:w="11910" w:h="16840"/>
          <w:pgMar w:top="860" w:bottom="280" w:left="340" w:right="740"/>
        </w:sectPr>
      </w:pPr>
    </w:p>
    <w:p>
      <w:pPr>
        <w:spacing w:line="230" w:lineRule="exact" w:before="52"/>
        <w:ind w:left="226" w:right="0" w:firstLine="0"/>
        <w:jc w:val="both"/>
        <w:rPr>
          <w:rFonts w:ascii="Theinhardt Regular" w:hAnsi="Theinhardt Regular" w:cs="Theinhardt Regular" w:eastAsia="Theinhardt Regular"/>
          <w:sz w:val="18"/>
          <w:szCs w:val="18"/>
        </w:rPr>
      </w:pPr>
      <w:r>
        <w:rPr>
          <w:rFonts w:ascii="Theinhardt Regular" w:hAnsi="Theinhardt Regular" w:cs="Theinhardt Regular" w:eastAsia="Theinhardt Regular"/>
          <w:spacing w:val="-4"/>
          <w:sz w:val="18"/>
          <w:szCs w:val="18"/>
        </w:rPr>
        <w:t>Pour</w:t>
      </w:r>
      <w:r>
        <w:rPr>
          <w:rFonts w:ascii="Theinhardt Regular" w:hAnsi="Theinhardt Regular" w:cs="Theinhardt Regular" w:eastAsia="Theinhardt Regular"/>
          <w:spacing w:val="23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4"/>
          <w:sz w:val="18"/>
          <w:szCs w:val="18"/>
        </w:rPr>
        <w:t>répondre</w:t>
      </w:r>
      <w:r>
        <w:rPr>
          <w:rFonts w:ascii="Theinhardt Regular" w:hAnsi="Theinhardt Regular" w:cs="Theinhardt Regular" w:eastAsia="Theinhardt Regular"/>
          <w:spacing w:val="24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z w:val="18"/>
          <w:szCs w:val="18"/>
        </w:rPr>
        <w:t>à</w:t>
      </w:r>
      <w:r>
        <w:rPr>
          <w:rFonts w:ascii="Theinhardt Regular" w:hAnsi="Theinhardt Regular" w:cs="Theinhardt Regular" w:eastAsia="Theinhardt Regular"/>
          <w:spacing w:val="23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un</w:t>
      </w:r>
      <w:r>
        <w:rPr>
          <w:rFonts w:ascii="Theinhardt Regular" w:hAnsi="Theinhardt Regular" w:cs="Theinhardt Regular" w:eastAsia="Theinhardt Regular"/>
          <w:spacing w:val="24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manque</w:t>
      </w:r>
      <w:r>
        <w:rPr>
          <w:rFonts w:ascii="Theinhardt Regular" w:hAnsi="Theinhardt Regular" w:cs="Theinhardt Regular" w:eastAsia="Theinhardt Regular"/>
          <w:spacing w:val="24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de</w:t>
      </w:r>
      <w:r>
        <w:rPr>
          <w:rFonts w:ascii="Theinhardt Regular" w:hAnsi="Theinhardt Regular" w:cs="Theinhardt Regular" w:eastAsia="Theinhardt Regular"/>
          <w:spacing w:val="23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places</w:t>
      </w:r>
      <w:r>
        <w:rPr>
          <w:rFonts w:ascii="Theinhardt Regular" w:hAnsi="Theinhardt Regular" w:cs="Theinhardt Regular" w:eastAsia="Theinhardt Regular"/>
          <w:spacing w:val="19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3"/>
          <w:sz w:val="18"/>
          <w:szCs w:val="18"/>
        </w:rPr>
        <w:t>d’accueil,</w:t>
      </w:r>
      <w:r>
        <w:rPr>
          <w:rFonts w:ascii="Theinhardt Regular" w:hAnsi="Theinhardt Regular" w:cs="Theinhardt Regular" w:eastAsia="Theinhardt Regular"/>
          <w:spacing w:val="39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la</w:t>
      </w:r>
      <w:r>
        <w:rPr>
          <w:rFonts w:ascii="Theinhardt Regular" w:hAnsi="Theinhardt Regular" w:cs="Theinhardt Regular" w:eastAsia="Theinhardt Regular"/>
          <w:spacing w:val="1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3"/>
          <w:sz w:val="18"/>
          <w:szCs w:val="18"/>
        </w:rPr>
        <w:t>crèche</w:t>
      </w:r>
      <w:r>
        <w:rPr>
          <w:rFonts w:ascii="Theinhardt Regular" w:hAnsi="Theinhardt Regular" w:cs="Theinhardt Regular" w:eastAsia="Theinhardt Regular"/>
          <w:spacing w:val="1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Chateaubriand,</w:t>
      </w:r>
      <w:r>
        <w:rPr>
          <w:rFonts w:ascii="Theinhardt Regular" w:hAnsi="Theinhardt Regular" w:cs="Theinhardt Regular" w:eastAsia="Theinhardt Regular"/>
          <w:spacing w:val="40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située</w:t>
      </w:r>
      <w:r>
        <w:rPr>
          <w:rFonts w:ascii="Theinhardt Regular" w:hAnsi="Theinhardt Regular" w:cs="Theinhardt Regular" w:eastAsia="Theinhardt Regular"/>
          <w:spacing w:val="31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dans</w:t>
      </w:r>
      <w:r>
        <w:rPr>
          <w:rFonts w:ascii="Theinhardt Regular" w:hAnsi="Theinhardt Regular" w:cs="Theinhardt Regular" w:eastAsia="Theinhardt Regular"/>
          <w:spacing w:val="15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le</w:t>
      </w:r>
      <w:r>
        <w:rPr>
          <w:rFonts w:ascii="Theinhardt Regular" w:hAnsi="Theinhardt Regular" w:cs="Theinhardt Regular" w:eastAsia="Theinhardt Regular"/>
          <w:spacing w:val="15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quartier</w:t>
      </w:r>
      <w:r>
        <w:rPr>
          <w:rFonts w:ascii="Theinhardt Regular" w:hAnsi="Theinhardt Regular" w:cs="Theinhardt Regular" w:eastAsia="Theinhardt Regular"/>
          <w:spacing w:val="15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des</w:t>
      </w:r>
      <w:r>
        <w:rPr>
          <w:rFonts w:ascii="Theinhardt Regular" w:hAnsi="Theinhardt Regular" w:cs="Theinhardt Regular" w:eastAsia="Theinhardt Regular"/>
          <w:spacing w:val="15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3"/>
          <w:sz w:val="18"/>
          <w:szCs w:val="18"/>
        </w:rPr>
        <w:t>Pâquis,</w:t>
      </w:r>
      <w:r>
        <w:rPr>
          <w:rFonts w:ascii="Theinhardt Regular" w:hAnsi="Theinhardt Regular" w:cs="Theinhardt Regular" w:eastAsia="Theinhardt Regular"/>
          <w:spacing w:val="4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z w:val="18"/>
          <w:szCs w:val="18"/>
        </w:rPr>
        <w:t>a</w:t>
      </w:r>
      <w:r>
        <w:rPr>
          <w:rFonts w:ascii="Theinhardt Regular" w:hAnsi="Theinhardt Regular" w:cs="Theinhardt Regular" w:eastAsia="Theinhardt Regular"/>
          <w:spacing w:val="15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été</w:t>
      </w:r>
      <w:r>
        <w:rPr>
          <w:rFonts w:ascii="Theinhardt Regular" w:hAnsi="Theinhardt Regular" w:cs="Theinhardt Regular" w:eastAsia="Theinhardt Regular"/>
          <w:spacing w:val="15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3"/>
          <w:sz w:val="18"/>
          <w:szCs w:val="18"/>
        </w:rPr>
        <w:t>agrandie</w:t>
      </w:r>
      <w:r>
        <w:rPr>
          <w:rFonts w:ascii="Theinhardt Regular" w:hAnsi="Theinhardt Regular" w:cs="Theinhardt Regular" w:eastAsia="Theinhardt Regular"/>
          <w:spacing w:val="23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en</w:t>
      </w:r>
      <w:r>
        <w:rPr>
          <w:rFonts w:ascii="Theinhardt Regular" w:hAnsi="Theinhardt Regular" w:cs="Theinhardt Regular" w:eastAsia="Theinhardt Regular"/>
          <w:spacing w:val="-7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2015.</w:t>
      </w:r>
      <w:r>
        <w:rPr>
          <w:rFonts w:ascii="Theinhardt Regular" w:hAnsi="Theinhardt Regular" w:cs="Theinhardt Regular" w:eastAsia="Theinhardt Regular"/>
          <w:spacing w:val="-18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La</w:t>
      </w:r>
      <w:r>
        <w:rPr>
          <w:rFonts w:ascii="Theinhardt Regular" w:hAnsi="Theinhardt Regular" w:cs="Theinhardt Regular" w:eastAsia="Theinhardt Regular"/>
          <w:spacing w:val="-18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Ville</w:t>
      </w:r>
      <w:r>
        <w:rPr>
          <w:rFonts w:ascii="Theinhardt Regular" w:hAnsi="Theinhardt Regular" w:cs="Theinhardt Regular" w:eastAsia="Theinhardt Regular"/>
          <w:spacing w:val="-7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de</w:t>
      </w:r>
      <w:r>
        <w:rPr>
          <w:rFonts w:ascii="Theinhardt Regular" w:hAnsi="Theinhardt Regular" w:cs="Theinhardt Regular" w:eastAsia="Theinhardt Regular"/>
          <w:spacing w:val="-7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3"/>
          <w:sz w:val="18"/>
          <w:szCs w:val="18"/>
        </w:rPr>
        <w:t>Genève</w:t>
      </w:r>
      <w:r>
        <w:rPr>
          <w:rFonts w:ascii="Theinhardt Regular" w:hAnsi="Theinhardt Regular" w:cs="Theinhardt Regular" w:eastAsia="Theinhardt Regular"/>
          <w:spacing w:val="-7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z w:val="18"/>
          <w:szCs w:val="18"/>
        </w:rPr>
        <w:t>a</w:t>
      </w:r>
      <w:r>
        <w:rPr>
          <w:rFonts w:ascii="Theinhardt Regular" w:hAnsi="Theinhardt Regular" w:cs="Theinhardt Regular" w:eastAsia="Theinhardt Regular"/>
          <w:spacing w:val="-7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opté</w:t>
      </w:r>
      <w:r>
        <w:rPr>
          <w:rFonts w:ascii="Theinhardt Regular" w:hAnsi="Theinhardt Regular" w:cs="Theinhardt Regular" w:eastAsia="Theinhardt Regular"/>
          <w:spacing w:val="-7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pour</w:t>
      </w:r>
      <w:r>
        <w:rPr>
          <w:rFonts w:ascii="Theinhardt Regular" w:hAnsi="Theinhardt Regular" w:cs="Theinhardt Regular" w:eastAsia="Theinhardt Regular"/>
          <w:spacing w:val="-7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une</w:t>
      </w:r>
      <w:r>
        <w:rPr>
          <w:rFonts w:ascii="Theinhardt Regular" w:hAnsi="Theinhardt Regular" w:cs="Theinhardt Regular" w:eastAsia="Theinhardt Regular"/>
          <w:spacing w:val="23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solution</w:t>
      </w:r>
      <w:r>
        <w:rPr>
          <w:rFonts w:ascii="Theinhardt Regular" w:hAnsi="Theinhardt Regular" w:cs="Theinhardt Regular" w:eastAsia="Theinhardt Regular"/>
          <w:spacing w:val="9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3"/>
          <w:sz w:val="18"/>
          <w:szCs w:val="18"/>
        </w:rPr>
        <w:t>énergétiquement</w:t>
      </w:r>
      <w:r>
        <w:rPr>
          <w:rFonts w:ascii="Theinhardt Regular" w:hAnsi="Theinhardt Regular" w:cs="Theinhardt Regular" w:eastAsia="Theinhardt Regular"/>
          <w:spacing w:val="9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économe,</w:t>
      </w:r>
      <w:r>
        <w:rPr>
          <w:rFonts w:ascii="Theinhardt Regular" w:hAnsi="Theinhardt Regular" w:cs="Theinhardt Regular" w:eastAsia="Theinhardt Regular"/>
          <w:spacing w:val="46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asso-</w:t>
      </w:r>
      <w:r>
        <w:rPr>
          <w:rFonts w:ascii="Theinhardt Regular" w:hAnsi="Theinhardt Regular" w:cs="Theinhardt Regular" w:eastAsia="Theinhardt Regular"/>
          <w:spacing w:val="33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ciant</w:t>
      </w:r>
      <w:r>
        <w:rPr>
          <w:rFonts w:ascii="Theinhardt Regular" w:hAnsi="Theinhardt Regular" w:cs="Theinhardt Regular" w:eastAsia="Theinhardt Regular"/>
          <w:spacing w:val="22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3"/>
          <w:sz w:val="18"/>
          <w:szCs w:val="18"/>
        </w:rPr>
        <w:t>rénovation</w:t>
      </w:r>
      <w:r>
        <w:rPr>
          <w:rFonts w:ascii="Theinhardt Regular" w:hAnsi="Theinhardt Regular" w:cs="Theinhardt Regular" w:eastAsia="Theinhardt Regular"/>
          <w:spacing w:val="22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et</w:t>
      </w:r>
      <w:r>
        <w:rPr>
          <w:rFonts w:ascii="Theinhardt Regular" w:hAnsi="Theinhardt Regular" w:cs="Theinhardt Regular" w:eastAsia="Theinhardt Regular"/>
          <w:spacing w:val="22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3"/>
          <w:sz w:val="18"/>
          <w:szCs w:val="18"/>
        </w:rPr>
        <w:t>surélévation</w:t>
      </w:r>
      <w:r>
        <w:rPr>
          <w:rFonts w:ascii="Theinhardt Regular" w:hAnsi="Theinhardt Regular" w:cs="Theinhardt Regular" w:eastAsia="Theinhardt Regular"/>
          <w:spacing w:val="22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d’un</w:t>
      </w:r>
      <w:r>
        <w:rPr>
          <w:rFonts w:ascii="Theinhardt Regular" w:hAnsi="Theinhardt Regular" w:cs="Theinhardt Regular" w:eastAsia="Theinhardt Regular"/>
          <w:spacing w:val="22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étage.</w:t>
      </w:r>
      <w:r>
        <w:rPr>
          <w:rFonts w:ascii="Theinhardt Regular" w:hAnsi="Theinhardt Regular" w:cs="Theinhardt Regular" w:eastAsia="Theinhardt Regular"/>
          <w:spacing w:val="35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z w:val="18"/>
          <w:szCs w:val="18"/>
        </w:rPr>
        <w:t>Cette</w:t>
      </w:r>
      <w:r>
        <w:rPr>
          <w:rFonts w:ascii="Theinhardt Regular" w:hAnsi="Theinhardt Regular" w:cs="Theinhardt Regular" w:eastAsia="Theinhardt Regular"/>
          <w:spacing w:val="-18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densifi</w:t>
      </w:r>
      <w:r>
        <w:rPr>
          <w:rFonts w:ascii="Theinhardt Regular" w:hAnsi="Theinhardt Regular" w:cs="Theinhardt Regular" w:eastAsia="Theinhardt Regular"/>
          <w:spacing w:val="38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ation</w:t>
      </w:r>
      <w:r>
        <w:rPr>
          <w:rFonts w:ascii="Theinhardt Regular" w:hAnsi="Theinhardt Regular" w:cs="Theinhardt Regular" w:eastAsia="Theinhardt Regular"/>
          <w:spacing w:val="-18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en</w:t>
      </w:r>
      <w:r>
        <w:rPr>
          <w:rFonts w:ascii="Theinhardt Regular" w:hAnsi="Theinhardt Regular" w:cs="Theinhardt Regular" w:eastAsia="Theinhardt Regular"/>
          <w:spacing w:val="-18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zone</w:t>
      </w:r>
      <w:r>
        <w:rPr>
          <w:rFonts w:ascii="Theinhardt Regular" w:hAnsi="Theinhardt Regular" w:cs="Theinhardt Regular" w:eastAsia="Theinhardt Regular"/>
          <w:spacing w:val="-18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urbaine</w:t>
      </w:r>
      <w:r>
        <w:rPr>
          <w:rFonts w:ascii="Theinhardt Regular" w:hAnsi="Theinhardt Regular" w:cs="Theinhardt Regular" w:eastAsia="Theinhardt Regular"/>
          <w:spacing w:val="-18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constitue</w:t>
      </w:r>
      <w:r>
        <w:rPr>
          <w:rFonts w:ascii="Theinhardt Regular" w:hAnsi="Theinhardt Regular" w:cs="Theinhardt Regular" w:eastAsia="Theinhardt Regular"/>
          <w:spacing w:val="29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un</w:t>
      </w:r>
      <w:r>
        <w:rPr>
          <w:rFonts w:ascii="Theinhardt Regular" w:hAnsi="Theinhardt Regular" w:cs="Theinhardt Regular" w:eastAsia="Theinhardt Regular"/>
          <w:spacing w:val="-4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3"/>
          <w:sz w:val="18"/>
          <w:szCs w:val="18"/>
        </w:rPr>
        <w:t>renouvellement</w:t>
      </w:r>
      <w:r>
        <w:rPr>
          <w:rFonts w:ascii="Theinhardt Regular" w:hAnsi="Theinhardt Regular" w:cs="Theinhardt Regular" w:eastAsia="Theinhardt Regular"/>
          <w:spacing w:val="-4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3"/>
          <w:sz w:val="18"/>
          <w:szCs w:val="18"/>
        </w:rPr>
        <w:t>exemplaire.</w:t>
      </w:r>
    </w:p>
    <w:p>
      <w:pPr>
        <w:spacing w:line="230" w:lineRule="exact" w:before="0"/>
        <w:ind w:left="226" w:right="8" w:firstLine="226"/>
        <w:jc w:val="both"/>
        <w:rPr>
          <w:rFonts w:ascii="Theinhardt Regular" w:hAnsi="Theinhardt Regular" w:cs="Theinhardt Regular" w:eastAsia="Theinhardt Regular"/>
          <w:sz w:val="18"/>
          <w:szCs w:val="18"/>
        </w:rPr>
      </w:pPr>
      <w:r>
        <w:rPr>
          <w:rFonts w:ascii="Theinhardt Regular" w:hAnsi="Theinhardt Regular" w:cs="Theinhardt Regular" w:eastAsia="Theinhardt Regular"/>
          <w:spacing w:val="-3"/>
          <w:sz w:val="18"/>
          <w:szCs w:val="18"/>
        </w:rPr>
        <w:t>L’installation</w:t>
      </w:r>
      <w:r>
        <w:rPr>
          <w:rFonts w:ascii="Theinhardt Regular" w:hAnsi="Theinhardt Regular" w:cs="Theinhardt Regular" w:eastAsia="Theinhardt Regular"/>
          <w:spacing w:val="14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z w:val="18"/>
          <w:szCs w:val="18"/>
        </w:rPr>
        <w:t>PV</w:t>
      </w:r>
      <w:r>
        <w:rPr>
          <w:rFonts w:ascii="Theinhardt Regular" w:hAnsi="Theinhardt Regular" w:cs="Theinhardt Regular" w:eastAsia="Theinhardt Regular"/>
          <w:spacing w:val="14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de</w:t>
      </w:r>
      <w:r>
        <w:rPr>
          <w:rFonts w:ascii="Theinhardt Regular" w:hAnsi="Theinhardt Regular" w:cs="Theinhardt Regular" w:eastAsia="Theinhardt Regular"/>
          <w:spacing w:val="14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88.5</w:t>
      </w:r>
      <w:r>
        <w:rPr>
          <w:rFonts w:ascii="Theinhardt Regular" w:hAnsi="Theinhardt Regular" w:cs="Theinhardt Regular" w:eastAsia="Theinhardt Regular"/>
          <w:spacing w:val="14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kW</w:t>
      </w:r>
      <w:r>
        <w:rPr>
          <w:rFonts w:ascii="Theinhardt Regular" w:hAnsi="Theinhardt Regular" w:cs="Theinhardt Regular" w:eastAsia="Theinhardt Regular"/>
          <w:spacing w:val="14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orientée</w:t>
      </w:r>
      <w:r>
        <w:rPr>
          <w:rFonts w:ascii="Theinhardt Regular" w:hAnsi="Theinhardt Regular" w:cs="Theinhardt Regular" w:eastAsia="Theinhardt Regular"/>
          <w:spacing w:val="14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au</w:t>
      </w:r>
      <w:r>
        <w:rPr>
          <w:rFonts w:ascii="Theinhardt Regular" w:hAnsi="Theinhardt Regular" w:cs="Theinhardt Regular" w:eastAsia="Theinhardt Regular"/>
          <w:spacing w:val="26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sud</w:t>
      </w:r>
      <w:r>
        <w:rPr>
          <w:rFonts w:ascii="Theinhardt Regular" w:hAnsi="Theinhardt Regular" w:cs="Theinhardt Regular" w:eastAsia="Theinhardt Regular"/>
          <w:spacing w:val="-11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3"/>
          <w:sz w:val="18"/>
          <w:szCs w:val="18"/>
        </w:rPr>
        <w:t>produit</w:t>
      </w:r>
      <w:r>
        <w:rPr>
          <w:rFonts w:ascii="Theinhardt Regular" w:hAnsi="Theinhardt Regular" w:cs="Theinhardt Regular" w:eastAsia="Theinhardt Regular"/>
          <w:spacing w:val="-11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76’800</w:t>
      </w:r>
      <w:r>
        <w:rPr>
          <w:rFonts w:ascii="Theinhardt Regular" w:hAnsi="Theinhardt Regular" w:cs="Theinhardt Regular" w:eastAsia="Theinhardt Regular"/>
          <w:spacing w:val="-11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3"/>
          <w:sz w:val="18"/>
          <w:szCs w:val="18"/>
        </w:rPr>
        <w:t>kWh/a,</w:t>
      </w:r>
      <w:r>
        <w:rPr>
          <w:rFonts w:ascii="Theinhardt Regular" w:hAnsi="Theinhardt Regular" w:cs="Theinhardt Regular" w:eastAsia="Theinhardt Regular"/>
          <w:spacing w:val="-21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servant</w:t>
      </w:r>
      <w:r>
        <w:rPr>
          <w:rFonts w:ascii="Theinhardt Regular" w:hAnsi="Theinhardt Regular" w:cs="Theinhardt Regular" w:eastAsia="Theinhardt Regular"/>
          <w:spacing w:val="-11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z w:val="18"/>
          <w:szCs w:val="18"/>
        </w:rPr>
        <w:t>à</w:t>
      </w:r>
      <w:r>
        <w:rPr>
          <w:rFonts w:ascii="Theinhardt Regular" w:hAnsi="Theinhardt Regular" w:cs="Theinhardt Regular" w:eastAsia="Theinhardt Regular"/>
          <w:spacing w:val="-11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alimen-</w:t>
      </w:r>
      <w:r>
        <w:rPr>
          <w:rFonts w:ascii="Theinhardt Regular" w:hAnsi="Theinhardt Regular" w:cs="Theinhardt Regular" w:eastAsia="Theinhardt Regular"/>
          <w:spacing w:val="37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ter</w:t>
      </w:r>
      <w:r>
        <w:rPr>
          <w:rFonts w:ascii="Theinhardt Regular" w:hAnsi="Theinhardt Regular" w:cs="Theinhardt Regular" w:eastAsia="Theinhardt Regular"/>
          <w:spacing w:val="-14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la</w:t>
      </w:r>
      <w:r>
        <w:rPr>
          <w:rFonts w:ascii="Theinhardt Regular" w:hAnsi="Theinhardt Regular" w:cs="Theinhardt Regular" w:eastAsia="Theinhardt Regular"/>
          <w:spacing w:val="-14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pompe</w:t>
      </w:r>
      <w:r>
        <w:rPr>
          <w:rFonts w:ascii="Theinhardt Regular" w:hAnsi="Theinhardt Regular" w:cs="Theinhardt Regular" w:eastAsia="Theinhardt Regular"/>
          <w:spacing w:val="-14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z w:val="18"/>
          <w:szCs w:val="18"/>
        </w:rPr>
        <w:t>à</w:t>
      </w:r>
      <w:r>
        <w:rPr>
          <w:rFonts w:ascii="Theinhardt Regular" w:hAnsi="Theinhardt Regular" w:cs="Theinhardt Regular" w:eastAsia="Theinhardt Regular"/>
          <w:spacing w:val="-14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4"/>
          <w:sz w:val="18"/>
          <w:szCs w:val="18"/>
        </w:rPr>
        <w:t>chaleur.</w:t>
      </w:r>
      <w:r>
        <w:rPr>
          <w:rFonts w:ascii="Theinhardt Regular" w:hAnsi="Theinhardt Regular" w:cs="Theinhardt Regular" w:eastAsia="Theinhardt Regular"/>
          <w:spacing w:val="-24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5"/>
          <w:sz w:val="18"/>
          <w:szCs w:val="18"/>
        </w:rPr>
        <w:t>L’excédent</w:t>
      </w:r>
      <w:r>
        <w:rPr>
          <w:rFonts w:ascii="Theinhardt Regular" w:hAnsi="Theinhardt Regular" w:cs="Theinhardt Regular" w:eastAsia="Theinhardt Regular"/>
          <w:spacing w:val="-14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de</w:t>
      </w:r>
      <w:r>
        <w:rPr>
          <w:rFonts w:ascii="Theinhardt Regular" w:hAnsi="Theinhardt Regular" w:cs="Theinhardt Regular" w:eastAsia="Theinhardt Regular"/>
          <w:spacing w:val="-14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3"/>
          <w:sz w:val="18"/>
          <w:szCs w:val="18"/>
        </w:rPr>
        <w:t>courant</w:t>
      </w:r>
      <w:r>
        <w:rPr>
          <w:rFonts w:ascii="Theinhardt Regular" w:hAnsi="Theinhardt Regular" w:cs="Theinhardt Regular" w:eastAsia="Theinhardt Regular"/>
          <w:spacing w:val="23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de</w:t>
      </w:r>
      <w:r>
        <w:rPr>
          <w:rFonts w:ascii="Theinhardt Regular" w:hAnsi="Theinhardt Regular" w:cs="Theinhardt Regular" w:eastAsia="Theinhardt Regular"/>
          <w:spacing w:val="-7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9’600</w:t>
      </w:r>
      <w:r>
        <w:rPr>
          <w:rFonts w:ascii="Theinhardt Regular" w:hAnsi="Theinhardt Regular" w:cs="Theinhardt Regular" w:eastAsia="Theinhardt Regular"/>
          <w:spacing w:val="-7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4"/>
          <w:sz w:val="18"/>
          <w:szCs w:val="18"/>
        </w:rPr>
        <w:t>kWh/a</w:t>
      </w:r>
      <w:r>
        <w:rPr>
          <w:rFonts w:ascii="Theinhardt Regular" w:hAnsi="Theinhardt Regular" w:cs="Theinhardt Regular" w:eastAsia="Theinhardt Regular"/>
          <w:spacing w:val="-7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ou</w:t>
      </w:r>
      <w:r>
        <w:rPr>
          <w:rFonts w:ascii="Theinhardt Regular" w:hAnsi="Theinhardt Regular" w:cs="Theinhardt Regular" w:eastAsia="Theinhardt Regular"/>
          <w:spacing w:val="-7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de</w:t>
      </w:r>
      <w:r>
        <w:rPr>
          <w:rFonts w:ascii="Theinhardt Regular" w:hAnsi="Theinhardt Regular" w:cs="Theinhardt Regular" w:eastAsia="Theinhardt Regular"/>
          <w:spacing w:val="-7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14%</w:t>
      </w:r>
      <w:r>
        <w:rPr>
          <w:rFonts w:ascii="Theinhardt Regular" w:hAnsi="Theinhardt Regular" w:cs="Theinhardt Regular" w:eastAsia="Theinhardt Regular"/>
          <w:spacing w:val="-7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est</w:t>
      </w:r>
      <w:r>
        <w:rPr>
          <w:rFonts w:ascii="Theinhardt Regular" w:hAnsi="Theinhardt Regular" w:cs="Theinhardt Regular" w:eastAsia="Theinhardt Regular"/>
          <w:spacing w:val="-7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injecté</w:t>
      </w:r>
      <w:r>
        <w:rPr>
          <w:rFonts w:ascii="Theinhardt Regular" w:hAnsi="Theinhardt Regular" w:cs="Theinhardt Regular" w:eastAsia="Theinhardt Regular"/>
          <w:spacing w:val="-7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dans</w:t>
      </w:r>
      <w:r>
        <w:rPr>
          <w:rFonts w:ascii="Theinhardt Regular" w:hAnsi="Theinhardt Regular" w:cs="Theinhardt Regular" w:eastAsia="Theinhardt Regular"/>
          <w:spacing w:val="27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le</w:t>
      </w:r>
      <w:r>
        <w:rPr>
          <w:rFonts w:ascii="Theinhardt Regular" w:hAnsi="Theinhardt Regular" w:cs="Theinhardt Regular" w:eastAsia="Theinhardt Regular"/>
          <w:spacing w:val="23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3"/>
          <w:sz w:val="18"/>
          <w:szCs w:val="18"/>
        </w:rPr>
        <w:t>réseau</w:t>
      </w:r>
      <w:r>
        <w:rPr>
          <w:rFonts w:ascii="Theinhardt Regular" w:hAnsi="Theinhardt Regular" w:cs="Theinhardt Regular" w:eastAsia="Theinhardt Regular"/>
          <w:spacing w:val="23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public.</w:t>
      </w:r>
      <w:r>
        <w:rPr>
          <w:rFonts w:ascii="Theinhardt Regular" w:hAnsi="Theinhardt Regular" w:cs="Theinhardt Regular" w:eastAsia="Theinhardt Regular"/>
          <w:spacing w:val="13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Il</w:t>
      </w:r>
      <w:r>
        <w:rPr>
          <w:rFonts w:ascii="Theinhardt Regular" w:hAnsi="Theinhardt Regular" w:cs="Theinhardt Regular" w:eastAsia="Theinhardt Regular"/>
          <w:spacing w:val="23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permettrait</w:t>
      </w:r>
      <w:r>
        <w:rPr>
          <w:rFonts w:ascii="Theinhardt Regular" w:hAnsi="Theinhardt Regular" w:cs="Theinhardt Regular" w:eastAsia="Theinhardt Regular"/>
          <w:spacing w:val="23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z w:val="18"/>
          <w:szCs w:val="18"/>
        </w:rPr>
        <w:t>à</w:t>
      </w:r>
      <w:r>
        <w:rPr>
          <w:rFonts w:ascii="Theinhardt Regular" w:hAnsi="Theinhardt Regular" w:cs="Theinhardt Regular" w:eastAsia="Theinhardt Regular"/>
          <w:spacing w:val="23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sept</w:t>
      </w:r>
      <w:r>
        <w:rPr>
          <w:rFonts w:ascii="Theinhardt Regular" w:hAnsi="Theinhardt Regular" w:cs="Theinhardt Regular" w:eastAsia="Theinhardt Regular"/>
          <w:spacing w:val="23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véhi-</w:t>
      </w:r>
      <w:r>
        <w:rPr>
          <w:rFonts w:ascii="Theinhardt Regular" w:hAnsi="Theinhardt Regular" w:cs="Theinhardt Regular" w:eastAsia="Theinhardt Regular"/>
          <w:spacing w:val="41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cules</w:t>
      </w:r>
      <w:r>
        <w:rPr>
          <w:rFonts w:ascii="Theinhardt Regular" w:hAnsi="Theinhardt Regular" w:cs="Theinhardt Regular" w:eastAsia="Theinhardt Regular"/>
          <w:spacing w:val="3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électriques</w:t>
      </w:r>
      <w:r>
        <w:rPr>
          <w:rFonts w:ascii="Theinhardt Regular" w:hAnsi="Theinhardt Regular" w:cs="Theinhardt Regular" w:eastAsia="Theinhardt Regular"/>
          <w:spacing w:val="2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3"/>
          <w:sz w:val="18"/>
          <w:szCs w:val="18"/>
        </w:rPr>
        <w:t>zéro</w:t>
      </w:r>
      <w:r>
        <w:rPr>
          <w:rFonts w:ascii="Theinhardt Regular" w:hAnsi="Theinhardt Regular" w:cs="Theinhardt Regular" w:eastAsia="Theinhardt Regular"/>
          <w:spacing w:val="3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émission</w:t>
      </w:r>
      <w:r>
        <w:rPr>
          <w:rFonts w:ascii="Theinhardt Regular" w:hAnsi="Theinhardt Regular" w:cs="Theinhardt Regular" w:eastAsia="Theinhardt Regular"/>
          <w:spacing w:val="3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de</w:t>
      </w:r>
      <w:r>
        <w:rPr>
          <w:rFonts w:ascii="Theinhardt Regular" w:hAnsi="Theinhardt Regular" w:cs="Theinhardt Regular" w:eastAsia="Theinhardt Regular"/>
          <w:spacing w:val="3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3"/>
          <w:sz w:val="18"/>
          <w:szCs w:val="18"/>
        </w:rPr>
        <w:t>parcourir</w:t>
      </w:r>
      <w:r>
        <w:rPr>
          <w:rFonts w:ascii="Theinhardt Regular" w:hAnsi="Theinhardt Regular" w:cs="Theinhardt Regular" w:eastAsia="Theinhardt Regular"/>
          <w:spacing w:val="25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4"/>
          <w:sz w:val="18"/>
          <w:szCs w:val="18"/>
        </w:rPr>
        <w:t>environ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12’000</w:t>
      </w:r>
      <w:r>
        <w:rPr>
          <w:rFonts w:ascii="Theinhardt Regular" w:hAnsi="Theinhardt Regular" w:cs="Theinhardt Regular" w:eastAsia="Theinhardt Regular"/>
          <w:spacing w:val="-4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km</w:t>
      </w:r>
      <w:r>
        <w:rPr>
          <w:rFonts w:ascii="Theinhardt Regular" w:hAnsi="Theinhardt Regular" w:cs="Theinhardt Regular" w:eastAsia="Theinhardt Regular"/>
          <w:spacing w:val="-4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par</w:t>
      </w:r>
      <w:r>
        <w:rPr>
          <w:rFonts w:ascii="Theinhardt Regular" w:hAnsi="Theinhardt Regular" w:cs="Theinhardt Regular" w:eastAsia="Theinhardt Regular"/>
          <w:spacing w:val="-4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année</w:t>
      </w:r>
      <w:r>
        <w:rPr>
          <w:rFonts w:ascii="Theinhardt Regular" w:hAnsi="Theinhardt Regular" w:cs="Theinhardt Regular" w:eastAsia="Theinhardt Regular"/>
          <w:spacing w:val="-4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3"/>
          <w:sz w:val="18"/>
          <w:szCs w:val="18"/>
        </w:rPr>
        <w:t>chacun.</w:t>
      </w:r>
      <w:r>
        <w:rPr>
          <w:rFonts w:ascii="Theinhardt Regular" w:hAnsi="Theinhardt Regular" w:cs="Theinhardt Regular" w:eastAsia="Theinhardt Regular"/>
          <w:sz w:val="18"/>
          <w:szCs w:val="18"/>
        </w:rPr>
      </w:r>
    </w:p>
    <w:p>
      <w:pPr>
        <w:spacing w:line="232" w:lineRule="auto" w:before="15"/>
        <w:ind w:left="226" w:right="8" w:firstLine="226"/>
        <w:jc w:val="both"/>
        <w:rPr>
          <w:rFonts w:ascii="Theinhardt Regular" w:hAnsi="Theinhardt Regular" w:cs="Theinhardt Regular" w:eastAsia="Theinhardt Regular"/>
          <w:sz w:val="18"/>
          <w:szCs w:val="18"/>
        </w:rPr>
      </w:pPr>
      <w:r>
        <w:rPr>
          <w:rFonts w:ascii="Theinhardt Regular" w:hAnsi="Theinhardt Regular" w:cs="Theinhardt Regular" w:eastAsia="Theinhardt Regular"/>
          <w:spacing w:val="-4"/>
          <w:sz w:val="18"/>
          <w:szCs w:val="18"/>
        </w:rPr>
        <w:t>Les</w:t>
      </w:r>
      <w:r>
        <w:rPr>
          <w:rFonts w:ascii="Theinhardt Regular" w:hAnsi="Theinhardt Regular" w:cs="Theinhardt Regular" w:eastAsia="Theinhardt Regular"/>
          <w:spacing w:val="6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panneaux</w:t>
      </w:r>
      <w:r>
        <w:rPr>
          <w:rFonts w:ascii="Theinhardt Regular" w:hAnsi="Theinhardt Regular" w:cs="Theinhardt Regular" w:eastAsia="Theinhardt Regular"/>
          <w:spacing w:val="6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3"/>
          <w:sz w:val="18"/>
          <w:szCs w:val="18"/>
        </w:rPr>
        <w:t>solaires</w:t>
      </w:r>
      <w:r>
        <w:rPr>
          <w:rFonts w:ascii="Theinhardt Regular" w:hAnsi="Theinhardt Regular" w:cs="Theinhardt Regular" w:eastAsia="Theinhardt Regular"/>
          <w:spacing w:val="6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3"/>
          <w:sz w:val="18"/>
          <w:szCs w:val="18"/>
        </w:rPr>
        <w:t>intégrés</w:t>
      </w:r>
      <w:r>
        <w:rPr>
          <w:rFonts w:ascii="Theinhardt Regular" w:hAnsi="Theinhardt Regular" w:cs="Theinhardt Regular" w:eastAsia="Theinhardt Regular"/>
          <w:spacing w:val="6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au</w:t>
      </w:r>
      <w:r>
        <w:rPr>
          <w:rFonts w:ascii="Theinhardt Regular" w:hAnsi="Theinhardt Regular" w:cs="Theinhardt Regular" w:eastAsia="Theinhardt Regular"/>
          <w:spacing w:val="6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toit</w:t>
      </w:r>
      <w:r>
        <w:rPr>
          <w:rFonts w:ascii="Theinhardt Regular" w:hAnsi="Theinhardt Regular" w:cs="Theinhardt Regular" w:eastAsia="Theinhardt Regular"/>
          <w:spacing w:val="25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3"/>
          <w:sz w:val="18"/>
          <w:szCs w:val="18"/>
        </w:rPr>
        <w:t>couvrent</w:t>
      </w:r>
      <w:r>
        <w:rPr>
          <w:rFonts w:ascii="Theinhardt Regular" w:hAnsi="Theinhardt Regular" w:cs="Theinhardt Regular" w:eastAsia="Theinhardt Regular"/>
          <w:spacing w:val="1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une</w:t>
      </w:r>
      <w:r>
        <w:rPr>
          <w:rFonts w:ascii="Theinhardt Regular" w:hAnsi="Theinhardt Regular" w:cs="Theinhardt Regular" w:eastAsia="Theinhardt Regular"/>
          <w:spacing w:val="1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surface</w:t>
      </w:r>
      <w:r>
        <w:rPr>
          <w:rFonts w:ascii="Theinhardt Regular" w:hAnsi="Theinhardt Regular" w:cs="Theinhardt Regular" w:eastAsia="Theinhardt Regular"/>
          <w:spacing w:val="1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totale</w:t>
      </w:r>
      <w:r>
        <w:rPr>
          <w:rFonts w:ascii="Theinhardt Regular" w:hAnsi="Theinhardt Regular" w:cs="Theinhardt Regular" w:eastAsia="Theinhardt Regular"/>
          <w:spacing w:val="2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de</w:t>
      </w:r>
      <w:r>
        <w:rPr>
          <w:rFonts w:ascii="Theinhardt Regular" w:hAnsi="Theinhardt Regular" w:cs="Theinhardt Regular" w:eastAsia="Theinhardt Regular"/>
          <w:spacing w:val="1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515</w:t>
      </w:r>
      <w:r>
        <w:rPr>
          <w:rFonts w:ascii="Theinhardt Regular" w:hAnsi="Theinhardt Regular" w:cs="Theinhardt Regular" w:eastAsia="Theinhardt Regular"/>
          <w:spacing w:val="1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m</w:t>
      </w:r>
      <w:r>
        <w:rPr>
          <w:rFonts w:ascii="Theinhardt Regular" w:hAnsi="Theinhardt Regular" w:cs="Theinhardt Regular" w:eastAsia="Theinhardt Regular"/>
          <w:spacing w:val="-1"/>
          <w:position w:val="6"/>
          <w:sz w:val="10"/>
          <w:szCs w:val="10"/>
        </w:rPr>
        <w:t>2</w:t>
      </w:r>
      <w:r>
        <w:rPr>
          <w:rFonts w:ascii="Theinhardt Regular" w:hAnsi="Theinhardt Regular" w:cs="Theinhardt Regular" w:eastAsia="Theinhardt Regular"/>
          <w:spacing w:val="23"/>
          <w:position w:val="6"/>
          <w:sz w:val="10"/>
          <w:szCs w:val="10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et</w:t>
      </w:r>
      <w:r>
        <w:rPr>
          <w:rFonts w:ascii="Theinhardt Regular" w:hAnsi="Theinhardt Regular" w:cs="Theinhardt Regular" w:eastAsia="Theinhardt Regular"/>
          <w:spacing w:val="2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4"/>
          <w:sz w:val="18"/>
          <w:szCs w:val="18"/>
        </w:rPr>
        <w:t>se</w:t>
      </w:r>
      <w:r>
        <w:rPr>
          <w:rFonts w:ascii="Theinhardt Regular" w:hAnsi="Theinhardt Regular" w:cs="Theinhardt Regular" w:eastAsia="Theinhardt Regular"/>
          <w:spacing w:val="29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3"/>
          <w:sz w:val="18"/>
          <w:szCs w:val="18"/>
        </w:rPr>
        <w:t>fondent</w:t>
      </w:r>
      <w:r>
        <w:rPr>
          <w:rFonts w:ascii="Theinhardt Regular" w:hAnsi="Theinhardt Regular" w:cs="Theinhardt Regular" w:eastAsia="Theinhardt Regular"/>
          <w:spacing w:val="9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de</w:t>
      </w:r>
      <w:r>
        <w:rPr>
          <w:rFonts w:ascii="Theinhardt Regular" w:hAnsi="Theinhardt Regular" w:cs="Theinhardt Regular" w:eastAsia="Theinhardt Regular"/>
          <w:spacing w:val="9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3"/>
          <w:sz w:val="18"/>
          <w:szCs w:val="18"/>
        </w:rPr>
        <w:t>manière</w:t>
      </w:r>
      <w:r>
        <w:rPr>
          <w:rFonts w:ascii="Theinhardt Regular" w:hAnsi="Theinhardt Regular" w:cs="Theinhardt Regular" w:eastAsia="Theinhardt Regular"/>
          <w:spacing w:val="9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3"/>
          <w:sz w:val="18"/>
          <w:szCs w:val="18"/>
        </w:rPr>
        <w:t>harmonieuse</w:t>
      </w:r>
      <w:r>
        <w:rPr>
          <w:rFonts w:ascii="Theinhardt Regular" w:hAnsi="Theinhardt Regular" w:cs="Theinhardt Regular" w:eastAsia="Theinhardt Regular"/>
          <w:spacing w:val="9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au</w:t>
      </w:r>
      <w:r>
        <w:rPr>
          <w:rFonts w:ascii="Theinhardt Regular" w:hAnsi="Theinhardt Regular" w:cs="Theinhardt Regular" w:eastAsia="Theinhardt Regular"/>
          <w:spacing w:val="9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design</w:t>
      </w:r>
      <w:r>
        <w:rPr>
          <w:rFonts w:ascii="Theinhardt Regular" w:hAnsi="Theinhardt Regular" w:cs="Theinhardt Regular" w:eastAsia="Theinhardt Regular"/>
          <w:spacing w:val="35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3"/>
          <w:sz w:val="18"/>
          <w:szCs w:val="18"/>
        </w:rPr>
        <w:t>entrelacé</w:t>
      </w:r>
      <w:r>
        <w:rPr>
          <w:rFonts w:ascii="Theinhardt Regular" w:hAnsi="Theinhardt Regular" w:cs="Theinhardt Regular" w:eastAsia="Theinhardt Regular"/>
          <w:spacing w:val="-4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de</w:t>
      </w:r>
      <w:r>
        <w:rPr>
          <w:rFonts w:ascii="Theinhardt Regular" w:hAnsi="Theinhardt Regular" w:cs="Theinhardt Regular" w:eastAsia="Theinhardt Regular"/>
          <w:spacing w:val="-4"/>
          <w:sz w:val="18"/>
          <w:szCs w:val="18"/>
        </w:rPr>
        <w:t> l’enveloppe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du</w:t>
      </w:r>
      <w:r>
        <w:rPr>
          <w:rFonts w:ascii="Theinhardt Regular" w:hAnsi="Theinhardt Regular" w:cs="Theinhardt Regular" w:eastAsia="Theinhardt Regular"/>
          <w:spacing w:val="-4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bâtiment.</w:t>
      </w:r>
    </w:p>
    <w:p>
      <w:pPr>
        <w:spacing w:line="232" w:lineRule="auto" w:before="0"/>
        <w:ind w:left="226" w:right="8" w:firstLine="226"/>
        <w:jc w:val="left"/>
        <w:rPr>
          <w:rFonts w:ascii="Theinhardt Regular" w:hAnsi="Theinhardt Regular" w:cs="Theinhardt Regular" w:eastAsia="Theinhardt Regular"/>
          <w:sz w:val="18"/>
          <w:szCs w:val="18"/>
        </w:rPr>
      </w:pPr>
      <w:r>
        <w:rPr>
          <w:rFonts w:ascii="Theinhardt Regular" w:hAnsi="Theinhardt Regular"/>
          <w:spacing w:val="-1"/>
          <w:sz w:val="18"/>
        </w:rPr>
        <w:t>Un</w:t>
      </w:r>
      <w:r>
        <w:rPr>
          <w:rFonts w:ascii="Theinhardt Regular" w:hAnsi="Theinhardt Regular"/>
          <w:spacing w:val="24"/>
          <w:sz w:val="18"/>
        </w:rPr>
        <w:t> </w:t>
      </w:r>
      <w:r>
        <w:rPr>
          <w:rFonts w:ascii="Theinhardt Regular" w:hAnsi="Theinhardt Regular"/>
          <w:spacing w:val="-2"/>
          <w:sz w:val="18"/>
        </w:rPr>
        <w:t>système</w:t>
      </w:r>
      <w:r>
        <w:rPr>
          <w:rFonts w:ascii="Theinhardt Regular" w:hAnsi="Theinhardt Regular"/>
          <w:spacing w:val="25"/>
          <w:sz w:val="18"/>
        </w:rPr>
        <w:t> </w:t>
      </w:r>
      <w:r>
        <w:rPr>
          <w:rFonts w:ascii="Theinhardt Regular" w:hAnsi="Theinhardt Regular"/>
          <w:spacing w:val="-1"/>
          <w:sz w:val="18"/>
        </w:rPr>
        <w:t>de</w:t>
      </w:r>
      <w:r>
        <w:rPr>
          <w:rFonts w:ascii="Theinhardt Regular" w:hAnsi="Theinhardt Regular"/>
          <w:spacing w:val="24"/>
          <w:sz w:val="18"/>
        </w:rPr>
        <w:t> </w:t>
      </w:r>
      <w:r>
        <w:rPr>
          <w:rFonts w:ascii="Theinhardt Regular" w:hAnsi="Theinhardt Regular"/>
          <w:spacing w:val="-2"/>
          <w:sz w:val="18"/>
        </w:rPr>
        <w:t>ventilation</w:t>
      </w:r>
      <w:r>
        <w:rPr>
          <w:rFonts w:ascii="Theinhardt Regular" w:hAnsi="Theinhardt Regular"/>
          <w:spacing w:val="25"/>
          <w:sz w:val="18"/>
        </w:rPr>
        <w:t> </w:t>
      </w:r>
      <w:r>
        <w:rPr>
          <w:rFonts w:ascii="Theinhardt Regular" w:hAnsi="Theinhardt Regular"/>
          <w:sz w:val="18"/>
        </w:rPr>
        <w:t>à</w:t>
      </w:r>
      <w:r>
        <w:rPr>
          <w:rFonts w:ascii="Theinhardt Regular" w:hAnsi="Theinhardt Regular"/>
          <w:spacing w:val="25"/>
          <w:sz w:val="18"/>
        </w:rPr>
        <w:t> </w:t>
      </w:r>
      <w:r>
        <w:rPr>
          <w:rFonts w:ascii="Theinhardt Regular" w:hAnsi="Theinhardt Regular"/>
          <w:spacing w:val="-2"/>
          <w:sz w:val="18"/>
        </w:rPr>
        <w:t>double</w:t>
      </w:r>
      <w:r>
        <w:rPr>
          <w:rFonts w:ascii="Theinhardt Regular" w:hAnsi="Theinhardt Regular"/>
          <w:spacing w:val="24"/>
          <w:sz w:val="18"/>
        </w:rPr>
        <w:t> </w:t>
      </w:r>
      <w:r>
        <w:rPr>
          <w:rFonts w:ascii="Theinhardt Regular" w:hAnsi="Theinhardt Regular"/>
          <w:spacing w:val="-1"/>
          <w:sz w:val="18"/>
        </w:rPr>
        <w:t>fl</w:t>
      </w:r>
      <w:r>
        <w:rPr>
          <w:rFonts w:ascii="Theinhardt Regular" w:hAnsi="Theinhardt Regular"/>
          <w:spacing w:val="29"/>
          <w:sz w:val="18"/>
        </w:rPr>
        <w:t> </w:t>
      </w:r>
      <w:r>
        <w:rPr>
          <w:rFonts w:ascii="Theinhardt Regular" w:hAnsi="Theinhardt Regular"/>
          <w:spacing w:val="-2"/>
          <w:sz w:val="18"/>
        </w:rPr>
        <w:t>garantit une ambiance </w:t>
      </w:r>
      <w:r>
        <w:rPr>
          <w:rFonts w:ascii="Theinhardt Regular" w:hAnsi="Theinhardt Regular"/>
          <w:spacing w:val="-3"/>
          <w:sz w:val="18"/>
        </w:rPr>
        <w:t>agréable</w:t>
      </w:r>
      <w:r>
        <w:rPr>
          <w:rFonts w:ascii="Theinhardt Regular" w:hAnsi="Theinhardt Regular"/>
          <w:spacing w:val="-2"/>
          <w:sz w:val="18"/>
        </w:rPr>
        <w:t> </w:t>
      </w:r>
      <w:r>
        <w:rPr>
          <w:rFonts w:ascii="Theinhardt Regular" w:hAnsi="Theinhardt Regular"/>
          <w:spacing w:val="-1"/>
          <w:sz w:val="18"/>
        </w:rPr>
        <w:t>et</w:t>
      </w:r>
      <w:r>
        <w:rPr>
          <w:rFonts w:ascii="Theinhardt Regular" w:hAnsi="Theinhardt Regular"/>
          <w:spacing w:val="-2"/>
          <w:sz w:val="18"/>
        </w:rPr>
        <w:t> </w:t>
      </w:r>
      <w:r>
        <w:rPr>
          <w:rFonts w:ascii="Theinhardt Regular" w:hAnsi="Theinhardt Regular"/>
          <w:spacing w:val="-1"/>
          <w:sz w:val="18"/>
        </w:rPr>
        <w:t>un</w:t>
      </w:r>
      <w:r>
        <w:rPr>
          <w:rFonts w:ascii="Theinhardt Regular" w:hAnsi="Theinhardt Regular"/>
          <w:spacing w:val="-2"/>
          <w:sz w:val="18"/>
        </w:rPr>
        <w:t> dispo-</w:t>
      </w:r>
      <w:r>
        <w:rPr>
          <w:rFonts w:ascii="Theinhardt Regular" w:hAnsi="Theinhardt Regular"/>
          <w:spacing w:val="25"/>
          <w:sz w:val="18"/>
        </w:rPr>
        <w:t> </w:t>
      </w:r>
      <w:r>
        <w:rPr>
          <w:rFonts w:ascii="Theinhardt Regular" w:hAnsi="Theinhardt Regular"/>
          <w:spacing w:val="-1"/>
          <w:sz w:val="18"/>
        </w:rPr>
        <w:t>sitif</w:t>
      </w:r>
      <w:r>
        <w:rPr>
          <w:rFonts w:ascii="Theinhardt Regular" w:hAnsi="Theinhardt Regular"/>
          <w:spacing w:val="8"/>
          <w:sz w:val="18"/>
        </w:rPr>
        <w:t> </w:t>
      </w:r>
      <w:r>
        <w:rPr>
          <w:rFonts w:ascii="Theinhardt Regular" w:hAnsi="Theinhardt Regular"/>
          <w:spacing w:val="-1"/>
          <w:sz w:val="18"/>
        </w:rPr>
        <w:t>de</w:t>
      </w:r>
      <w:r>
        <w:rPr>
          <w:rFonts w:ascii="Theinhardt Regular" w:hAnsi="Theinhardt Regular"/>
          <w:spacing w:val="8"/>
          <w:sz w:val="18"/>
        </w:rPr>
        <w:t> </w:t>
      </w:r>
      <w:r>
        <w:rPr>
          <w:rFonts w:ascii="Theinhardt Regular" w:hAnsi="Theinhardt Regular"/>
          <w:spacing w:val="-3"/>
          <w:sz w:val="18"/>
        </w:rPr>
        <w:t>récupération</w:t>
      </w:r>
      <w:r>
        <w:rPr>
          <w:rFonts w:ascii="Theinhardt Regular" w:hAnsi="Theinhardt Regular"/>
          <w:spacing w:val="8"/>
          <w:sz w:val="18"/>
        </w:rPr>
        <w:t> </w:t>
      </w:r>
      <w:r>
        <w:rPr>
          <w:rFonts w:ascii="Theinhardt Regular" w:hAnsi="Theinhardt Regular"/>
          <w:spacing w:val="-1"/>
          <w:sz w:val="18"/>
        </w:rPr>
        <w:t>de</w:t>
      </w:r>
      <w:r>
        <w:rPr>
          <w:rFonts w:ascii="Theinhardt Regular" w:hAnsi="Theinhardt Regular"/>
          <w:spacing w:val="8"/>
          <w:sz w:val="18"/>
        </w:rPr>
        <w:t> </w:t>
      </w:r>
      <w:r>
        <w:rPr>
          <w:rFonts w:ascii="Theinhardt Regular" w:hAnsi="Theinhardt Regular"/>
          <w:spacing w:val="-1"/>
          <w:sz w:val="18"/>
        </w:rPr>
        <w:t>la</w:t>
      </w:r>
      <w:r>
        <w:rPr>
          <w:rFonts w:ascii="Theinhardt Regular" w:hAnsi="Theinhardt Regular"/>
          <w:spacing w:val="8"/>
          <w:sz w:val="18"/>
        </w:rPr>
        <w:t> </w:t>
      </w:r>
      <w:r>
        <w:rPr>
          <w:rFonts w:ascii="Theinhardt Regular" w:hAnsi="Theinhardt Regular"/>
          <w:spacing w:val="-2"/>
          <w:sz w:val="18"/>
        </w:rPr>
        <w:t>chaleur</w:t>
      </w:r>
      <w:r>
        <w:rPr>
          <w:rFonts w:ascii="Theinhardt Regular" w:hAnsi="Theinhardt Regular"/>
          <w:spacing w:val="8"/>
          <w:sz w:val="18"/>
        </w:rPr>
        <w:t> </w:t>
      </w:r>
      <w:r>
        <w:rPr>
          <w:rFonts w:ascii="Theinhardt Regular" w:hAnsi="Theinhardt Regular"/>
          <w:spacing w:val="-3"/>
          <w:sz w:val="18"/>
        </w:rPr>
        <w:t>réduit</w:t>
      </w:r>
      <w:r>
        <w:rPr>
          <w:rFonts w:ascii="Theinhardt Regular" w:hAnsi="Theinhardt Regular"/>
          <w:spacing w:val="8"/>
          <w:sz w:val="18"/>
        </w:rPr>
        <w:t> </w:t>
      </w:r>
      <w:r>
        <w:rPr>
          <w:rFonts w:ascii="Theinhardt Regular" w:hAnsi="Theinhardt Regular"/>
          <w:spacing w:val="-2"/>
          <w:sz w:val="18"/>
        </w:rPr>
        <w:t>les</w:t>
      </w:r>
      <w:r>
        <w:rPr>
          <w:rFonts w:ascii="Theinhardt Regular" w:hAnsi="Theinhardt Regular"/>
          <w:spacing w:val="29"/>
          <w:sz w:val="18"/>
        </w:rPr>
        <w:t> </w:t>
      </w:r>
      <w:r>
        <w:rPr>
          <w:rFonts w:ascii="Theinhardt Regular" w:hAnsi="Theinhardt Regular"/>
          <w:spacing w:val="-1"/>
          <w:sz w:val="18"/>
        </w:rPr>
        <w:t>pertes</w:t>
      </w:r>
      <w:r>
        <w:rPr>
          <w:rFonts w:ascii="Theinhardt Regular" w:hAnsi="Theinhardt Regular"/>
          <w:spacing w:val="-4"/>
          <w:sz w:val="18"/>
        </w:rPr>
        <w:t> </w:t>
      </w:r>
      <w:r>
        <w:rPr>
          <w:rFonts w:ascii="Theinhardt Regular" w:hAnsi="Theinhardt Regular"/>
          <w:spacing w:val="-3"/>
          <w:sz w:val="18"/>
        </w:rPr>
        <w:t>énergétiques.</w:t>
      </w:r>
      <w:r>
        <w:rPr>
          <w:rFonts w:ascii="Theinhardt Regular" w:hAnsi="Theinhardt Regular"/>
          <w:sz w:val="18"/>
        </w:rPr>
      </w:r>
    </w:p>
    <w:p>
      <w:pPr>
        <w:spacing w:line="232" w:lineRule="auto" w:before="0"/>
        <w:ind w:left="226" w:right="0" w:firstLine="226"/>
        <w:jc w:val="both"/>
        <w:rPr>
          <w:rFonts w:ascii="Theinhardt Regular" w:hAnsi="Theinhardt Regular" w:cs="Theinhardt Regular" w:eastAsia="Theinhardt Regular"/>
          <w:sz w:val="18"/>
          <w:szCs w:val="18"/>
        </w:rPr>
      </w:pPr>
      <w:r>
        <w:rPr>
          <w:rFonts w:ascii="Theinhardt Regular" w:hAnsi="Theinhardt Regular" w:cs="Theinhardt Regular" w:eastAsia="Theinhardt Regular"/>
          <w:spacing w:val="-3"/>
          <w:sz w:val="18"/>
          <w:szCs w:val="18"/>
        </w:rPr>
        <w:t>Après</w:t>
      </w:r>
      <w:r>
        <w:rPr>
          <w:rFonts w:ascii="Theinhardt Regular" w:hAnsi="Theinhardt Regular" w:cs="Theinhardt Regular" w:eastAsia="Theinhardt Regular"/>
          <w:spacing w:val="15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3"/>
          <w:sz w:val="18"/>
          <w:szCs w:val="18"/>
        </w:rPr>
        <w:t>rénovation,</w:t>
      </w:r>
      <w:r>
        <w:rPr>
          <w:rFonts w:ascii="Theinhardt Regular" w:hAnsi="Theinhardt Regular" w:cs="Theinhardt Regular" w:eastAsia="Theinhardt Regular"/>
          <w:spacing w:val="5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le</w:t>
      </w:r>
      <w:r>
        <w:rPr>
          <w:rFonts w:ascii="Theinhardt Regular" w:hAnsi="Theinhardt Regular" w:cs="Theinhardt Regular" w:eastAsia="Theinhardt Regular"/>
          <w:spacing w:val="15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BEP</w:t>
      </w:r>
      <w:r>
        <w:rPr>
          <w:rFonts w:ascii="Theinhardt Regular" w:hAnsi="Theinhardt Regular" w:cs="Theinhardt Regular" w:eastAsia="Theinhardt Regular"/>
          <w:spacing w:val="15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3"/>
          <w:sz w:val="18"/>
          <w:szCs w:val="18"/>
        </w:rPr>
        <w:t>assure</w:t>
      </w:r>
      <w:r>
        <w:rPr>
          <w:rFonts w:ascii="Theinhardt Regular" w:hAnsi="Theinhardt Regular" w:cs="Theinhardt Regular" w:eastAsia="Theinhardt Regular"/>
          <w:spacing w:val="15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une</w:t>
      </w:r>
      <w:r>
        <w:rPr>
          <w:rFonts w:ascii="Theinhardt Regular" w:hAnsi="Theinhardt Regular" w:cs="Theinhardt Regular" w:eastAsia="Theinhardt Regular"/>
          <w:spacing w:val="15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au-</w:t>
      </w:r>
      <w:r>
        <w:rPr>
          <w:rFonts w:ascii="Theinhardt Regular" w:hAnsi="Theinhardt Regular" w:cs="Theinhardt Regular" w:eastAsia="Theinhardt Regular"/>
          <w:spacing w:val="31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3"/>
          <w:sz w:val="18"/>
          <w:szCs w:val="18"/>
        </w:rPr>
        <w:t>toproduction</w:t>
      </w:r>
      <w:r>
        <w:rPr>
          <w:rFonts w:ascii="Theinhardt Regular" w:hAnsi="Theinhardt Regular" w:cs="Theinhardt Regular" w:eastAsia="Theinhardt Regular"/>
          <w:spacing w:val="32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de</w:t>
      </w:r>
      <w:r>
        <w:rPr>
          <w:rFonts w:ascii="Theinhardt Regular" w:hAnsi="Theinhardt Regular" w:cs="Theinhardt Regular" w:eastAsia="Theinhardt Regular"/>
          <w:spacing w:val="33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114%.</w:t>
      </w:r>
      <w:r>
        <w:rPr>
          <w:rFonts w:ascii="Theinhardt Regular" w:hAnsi="Theinhardt Regular" w:cs="Theinhardt Regular" w:eastAsia="Theinhardt Regular"/>
          <w:spacing w:val="22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4"/>
          <w:sz w:val="18"/>
          <w:szCs w:val="18"/>
        </w:rPr>
        <w:t>Pour</w:t>
      </w:r>
      <w:r>
        <w:rPr>
          <w:rFonts w:ascii="Theinhardt Regular" w:hAnsi="Theinhardt Regular" w:cs="Theinhardt Regular" w:eastAsia="Theinhardt Regular"/>
          <w:spacing w:val="32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l’utilisation</w:t>
      </w:r>
      <w:r>
        <w:rPr>
          <w:rFonts w:ascii="Theinhardt Regular" w:hAnsi="Theinhardt Regular" w:cs="Theinhardt Regular" w:eastAsia="Theinhardt Regular"/>
          <w:spacing w:val="37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judicieuse</w:t>
      </w:r>
      <w:r>
        <w:rPr>
          <w:rFonts w:ascii="Theinhardt Regular" w:hAnsi="Theinhardt Regular" w:cs="Theinhardt Regular" w:eastAsia="Theinhardt Regular"/>
          <w:spacing w:val="24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d’un</w:t>
      </w:r>
      <w:r>
        <w:rPr>
          <w:rFonts w:ascii="Theinhardt Regular" w:hAnsi="Theinhardt Regular" w:cs="Theinhardt Regular" w:eastAsia="Theinhardt Regular"/>
          <w:spacing w:val="25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bâtiment</w:t>
      </w:r>
      <w:r>
        <w:rPr>
          <w:rFonts w:ascii="Theinhardt Regular" w:hAnsi="Theinhardt Regular" w:cs="Theinhardt Regular" w:eastAsia="Theinhardt Regular"/>
          <w:spacing w:val="24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existant</w:t>
      </w:r>
      <w:r>
        <w:rPr>
          <w:rFonts w:ascii="Theinhardt Regular" w:hAnsi="Theinhardt Regular" w:cs="Theinhardt Regular" w:eastAsia="Theinhardt Regular"/>
          <w:spacing w:val="25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ainsi</w:t>
      </w:r>
      <w:r>
        <w:rPr>
          <w:rFonts w:ascii="Theinhardt Regular" w:hAnsi="Theinhardt Regular" w:cs="Theinhardt Regular" w:eastAsia="Theinhardt Regular"/>
          <w:spacing w:val="25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que</w:t>
      </w:r>
      <w:r>
        <w:rPr>
          <w:rFonts w:ascii="Theinhardt Regular" w:hAnsi="Theinhardt Regular" w:cs="Theinhardt Regular" w:eastAsia="Theinhardt Regular"/>
          <w:spacing w:val="19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pour</w:t>
      </w:r>
      <w:r>
        <w:rPr>
          <w:rFonts w:ascii="Theinhardt Regular" w:hAnsi="Theinhardt Regular" w:cs="Theinhardt Regular" w:eastAsia="Theinhardt Regular"/>
          <w:spacing w:val="31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son</w:t>
      </w:r>
      <w:r>
        <w:rPr>
          <w:rFonts w:ascii="Theinhardt Regular" w:hAnsi="Theinhardt Regular" w:cs="Theinhardt Regular" w:eastAsia="Theinhardt Regular"/>
          <w:spacing w:val="32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intégration</w:t>
      </w:r>
      <w:r>
        <w:rPr>
          <w:rFonts w:ascii="Theinhardt Regular" w:hAnsi="Theinhardt Regular" w:cs="Theinhardt Regular" w:eastAsia="Theinhardt Regular"/>
          <w:spacing w:val="31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3"/>
          <w:sz w:val="18"/>
          <w:szCs w:val="18"/>
        </w:rPr>
        <w:t>architecturale</w:t>
      </w:r>
      <w:r>
        <w:rPr>
          <w:rFonts w:ascii="Theinhardt Regular" w:hAnsi="Theinhardt Regular" w:cs="Theinhardt Regular" w:eastAsia="Theinhardt Regular"/>
          <w:spacing w:val="32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3"/>
          <w:sz w:val="18"/>
          <w:szCs w:val="18"/>
        </w:rPr>
        <w:t>réussie,</w:t>
      </w:r>
      <w:r>
        <w:rPr>
          <w:rFonts w:ascii="Theinhardt Regular" w:hAnsi="Theinhardt Regular" w:cs="Theinhardt Regular" w:eastAsia="Theinhardt Regular"/>
          <w:spacing w:val="39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la</w:t>
      </w:r>
      <w:r>
        <w:rPr>
          <w:rFonts w:ascii="Theinhardt Regular" w:hAnsi="Theinhardt Regular" w:cs="Theinhardt Regular" w:eastAsia="Theinhardt Regular"/>
          <w:spacing w:val="-9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3"/>
          <w:sz w:val="18"/>
          <w:szCs w:val="18"/>
        </w:rPr>
        <w:t>crèche</w:t>
      </w:r>
      <w:r>
        <w:rPr>
          <w:rFonts w:ascii="Theinhardt Regular" w:hAnsi="Theinhardt Regular" w:cs="Theinhardt Regular" w:eastAsia="Theinhardt Regular"/>
          <w:spacing w:val="-9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Chateaubriand</w:t>
      </w:r>
      <w:r>
        <w:rPr>
          <w:rFonts w:ascii="Theinhardt Regular" w:hAnsi="Theinhardt Regular" w:cs="Theinhardt Regular" w:eastAsia="Theinhardt Regular"/>
          <w:spacing w:val="-9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obtient</w:t>
      </w:r>
      <w:r>
        <w:rPr>
          <w:rFonts w:ascii="Theinhardt Regular" w:hAnsi="Theinhardt Regular" w:cs="Theinhardt Regular" w:eastAsia="Theinhardt Regular"/>
          <w:spacing w:val="-9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la</w:t>
      </w:r>
      <w:r>
        <w:rPr>
          <w:rFonts w:ascii="Theinhardt Regular" w:hAnsi="Theinhardt Regular" w:cs="Theinhardt Regular" w:eastAsia="Theinhardt Regular"/>
          <w:spacing w:val="-9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deuxième</w:t>
      </w:r>
      <w:r>
        <w:rPr>
          <w:rFonts w:ascii="Theinhardt Regular" w:hAnsi="Theinhardt Regular" w:cs="Theinhardt Regular" w:eastAsia="Theinhardt Regular"/>
          <w:spacing w:val="19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place</w:t>
      </w:r>
      <w:r>
        <w:rPr>
          <w:rFonts w:ascii="Theinhardt Regular" w:hAnsi="Theinhardt Regular" w:cs="Theinhardt Regular" w:eastAsia="Theinhardt Regular"/>
          <w:spacing w:val="-7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du</w:t>
      </w:r>
      <w:r>
        <w:rPr>
          <w:rFonts w:ascii="Theinhardt Regular" w:hAnsi="Theinhardt Regular" w:cs="Theinhardt Regular" w:eastAsia="Theinhardt Regular"/>
          <w:spacing w:val="-7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Norman</w:t>
      </w:r>
      <w:r>
        <w:rPr>
          <w:rFonts w:ascii="Theinhardt Regular" w:hAnsi="Theinhardt Regular" w:cs="Theinhardt Regular" w:eastAsia="Theinhardt Regular"/>
          <w:spacing w:val="-7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3"/>
          <w:sz w:val="18"/>
          <w:szCs w:val="18"/>
        </w:rPr>
        <w:t>Foster</w:t>
      </w:r>
      <w:r>
        <w:rPr>
          <w:rFonts w:ascii="Theinhardt Regular" w:hAnsi="Theinhardt Regular" w:cs="Theinhardt Regular" w:eastAsia="Theinhardt Regular"/>
          <w:spacing w:val="-7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Solar</w:t>
      </w:r>
      <w:r>
        <w:rPr>
          <w:rFonts w:ascii="Theinhardt Regular" w:hAnsi="Theinhardt Regular" w:cs="Theinhardt Regular" w:eastAsia="Theinhardt Regular"/>
          <w:spacing w:val="-7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4"/>
          <w:sz w:val="18"/>
          <w:szCs w:val="18"/>
        </w:rPr>
        <w:t>Awards</w:t>
      </w:r>
      <w:r>
        <w:rPr>
          <w:rFonts w:ascii="Theinhardt Regular" w:hAnsi="Theinhardt Regular" w:cs="Theinhardt Regular" w:eastAsia="Theinhardt Regular"/>
          <w:spacing w:val="-7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2016.</w:t>
      </w:r>
      <w:r>
        <w:rPr>
          <w:rFonts w:ascii="Theinhardt Regular" w:hAnsi="Theinhardt Regular" w:cs="Theinhardt Regular" w:eastAsia="Theinhardt Regular"/>
          <w:sz w:val="18"/>
          <w:szCs w:val="18"/>
        </w:rPr>
      </w:r>
    </w:p>
    <w:p>
      <w:pPr>
        <w:pStyle w:val="BodyText"/>
        <w:spacing w:line="230" w:lineRule="exact" w:before="52"/>
        <w:ind w:left="176" w:right="0" w:firstLine="0"/>
        <w:jc w:val="both"/>
        <w:rPr>
          <w:i w:val="0"/>
        </w:rPr>
      </w:pPr>
      <w:r>
        <w:rPr>
          <w:i w:val="0"/>
        </w:rPr>
        <w:br w:type="column"/>
      </w:r>
      <w:r>
        <w:rPr>
          <w:spacing w:val="-4"/>
        </w:rPr>
        <w:t>Wegen</w:t>
      </w:r>
      <w:r>
        <w:rPr>
          <w:spacing w:val="-2"/>
        </w:rPr>
        <w:t> Platzmangels </w:t>
      </w:r>
      <w:r>
        <w:rPr>
          <w:spacing w:val="-3"/>
        </w:rPr>
        <w:t>wurde</w:t>
      </w:r>
      <w:r>
        <w:rPr>
          <w:spacing w:val="-2"/>
        </w:rPr>
        <w:t> </w:t>
      </w:r>
      <w:r>
        <w:rPr>
          <w:spacing w:val="-3"/>
        </w:rPr>
        <w:t>die</w:t>
      </w:r>
      <w:r>
        <w:rPr>
          <w:spacing w:val="-2"/>
        </w:rPr>
        <w:t> 2005 </w:t>
      </w:r>
      <w:r>
        <w:rPr>
          <w:spacing w:val="-3"/>
        </w:rPr>
        <w:t>erstell-</w:t>
      </w:r>
      <w:r>
        <w:rPr>
          <w:spacing w:val="27"/>
        </w:rPr>
        <w:t> </w:t>
      </w:r>
      <w:r>
        <w:rPr>
          <w:spacing w:val="-3"/>
        </w:rPr>
        <w:t>te</w:t>
      </w:r>
      <w:r>
        <w:rPr>
          <w:spacing w:val="19"/>
        </w:rPr>
        <w:t> </w:t>
      </w:r>
      <w:r>
        <w:rPr>
          <w:spacing w:val="-2"/>
        </w:rPr>
        <w:t>Krippe</w:t>
      </w:r>
      <w:r>
        <w:rPr>
          <w:spacing w:val="19"/>
        </w:rPr>
        <w:t> </w:t>
      </w:r>
      <w:r>
        <w:rPr>
          <w:spacing w:val="-2"/>
        </w:rPr>
        <w:t>Châteaubriand</w:t>
      </w:r>
      <w:r>
        <w:rPr>
          <w:spacing w:val="19"/>
        </w:rPr>
        <w:t> </w:t>
      </w:r>
      <w:r>
        <w:rPr>
          <w:spacing w:val="-1"/>
        </w:rPr>
        <w:t>im</w:t>
      </w:r>
      <w:r>
        <w:rPr>
          <w:spacing w:val="19"/>
        </w:rPr>
        <w:t> </w:t>
      </w:r>
      <w:r>
        <w:rPr>
          <w:spacing w:val="-2"/>
        </w:rPr>
        <w:t>Stadtteil</w:t>
      </w:r>
      <w:r>
        <w:rPr>
          <w:spacing w:val="19"/>
        </w:rPr>
        <w:t> </w:t>
      </w:r>
      <w:r>
        <w:rPr>
          <w:spacing w:val="-2"/>
        </w:rPr>
        <w:t>Pâquis</w:t>
      </w:r>
      <w:r>
        <w:rPr>
          <w:spacing w:val="24"/>
        </w:rPr>
        <w:t> </w:t>
      </w:r>
      <w:r>
        <w:rPr>
          <w:spacing w:val="-1"/>
        </w:rPr>
        <w:t>im</w:t>
      </w:r>
      <w:r>
        <w:rPr>
          <w:spacing w:val="47"/>
        </w:rPr>
        <w:t> </w:t>
      </w:r>
      <w:r>
        <w:rPr>
          <w:spacing w:val="-1"/>
        </w:rPr>
        <w:t>Jahr</w:t>
      </w:r>
      <w:r>
        <w:rPr>
          <w:spacing w:val="48"/>
        </w:rPr>
        <w:t> </w:t>
      </w:r>
      <w:r>
        <w:rPr>
          <w:spacing w:val="-2"/>
        </w:rPr>
        <w:t>2015</w:t>
      </w:r>
      <w:r>
        <w:rPr>
          <w:spacing w:val="47"/>
        </w:rPr>
        <w:t> </w:t>
      </w:r>
      <w:r>
        <w:rPr>
          <w:spacing w:val="-3"/>
        </w:rPr>
        <w:t>vergrössert.</w:t>
      </w:r>
      <w:r>
        <w:rPr>
          <w:spacing w:val="41"/>
        </w:rPr>
        <w:t> </w:t>
      </w:r>
      <w:r>
        <w:rPr>
          <w:spacing w:val="-2"/>
        </w:rPr>
        <w:t>Die</w:t>
      </w:r>
      <w:r>
        <w:rPr>
          <w:spacing w:val="48"/>
        </w:rPr>
        <w:t> </w:t>
      </w:r>
      <w:r>
        <w:rPr>
          <w:spacing w:val="-2"/>
        </w:rPr>
        <w:t>Stadt</w:t>
      </w:r>
      <w:r>
        <w:rPr>
          <w:spacing w:val="47"/>
        </w:rPr>
        <w:t> </w:t>
      </w:r>
      <w:r>
        <w:rPr>
          <w:spacing w:val="-2"/>
        </w:rPr>
        <w:t>Genf</w:t>
      </w:r>
      <w:r>
        <w:rPr>
          <w:spacing w:val="37"/>
        </w:rPr>
        <w:t> </w:t>
      </w:r>
      <w:r>
        <w:rPr>
          <w:spacing w:val="-3"/>
        </w:rPr>
        <w:t>entschied</w:t>
      </w:r>
      <w:r>
        <w:rPr>
          <w:spacing w:val="10"/>
        </w:rPr>
        <w:t> </w:t>
      </w:r>
      <w:r>
        <w:rPr>
          <w:spacing w:val="-3"/>
        </w:rPr>
        <w:t>sich</w:t>
      </w:r>
      <w:r>
        <w:rPr>
          <w:spacing w:val="10"/>
        </w:rPr>
        <w:t> </w:t>
      </w:r>
      <w:r>
        <w:rPr>
          <w:spacing w:val="-2"/>
        </w:rPr>
        <w:t>dabei</w:t>
      </w:r>
      <w:r>
        <w:rPr>
          <w:spacing w:val="10"/>
        </w:rPr>
        <w:t> </w:t>
      </w:r>
      <w:r>
        <w:rPr>
          <w:spacing w:val="-1"/>
        </w:rPr>
        <w:t>für</w:t>
      </w:r>
      <w:r>
        <w:rPr>
          <w:spacing w:val="10"/>
        </w:rPr>
        <w:t> </w:t>
      </w:r>
      <w:r>
        <w:rPr>
          <w:spacing w:val="-2"/>
        </w:rPr>
        <w:t>eine</w:t>
      </w:r>
      <w:r>
        <w:rPr>
          <w:spacing w:val="10"/>
        </w:rPr>
        <w:t> </w:t>
      </w:r>
      <w:r>
        <w:rPr>
          <w:spacing w:val="-3"/>
        </w:rPr>
        <w:t>besonders</w:t>
      </w:r>
      <w:r>
        <w:rPr>
          <w:spacing w:val="10"/>
        </w:rPr>
        <w:t> </w:t>
      </w:r>
      <w:r>
        <w:rPr>
          <w:spacing w:val="-3"/>
        </w:rPr>
        <w:t>res-</w:t>
      </w:r>
      <w:r>
        <w:rPr>
          <w:spacing w:val="21"/>
        </w:rPr>
        <w:t> </w:t>
      </w:r>
      <w:r>
        <w:rPr>
          <w:spacing w:val="-3"/>
        </w:rPr>
        <w:t>sourceneffi</w:t>
      </w:r>
      <w:r>
        <w:rPr>
          <w:spacing w:val="13"/>
        </w:rPr>
        <w:t> </w:t>
      </w:r>
      <w:r>
        <w:rPr>
          <w:spacing w:val="-3"/>
        </w:rPr>
        <w:t>ente</w:t>
      </w:r>
      <w:r>
        <w:rPr>
          <w:spacing w:val="-1"/>
        </w:rPr>
        <w:t> </w:t>
      </w:r>
      <w:r>
        <w:rPr>
          <w:spacing w:val="-4"/>
        </w:rPr>
        <w:t>Lösung</w:t>
      </w:r>
      <w:r>
        <w:rPr>
          <w:spacing w:val="-1"/>
        </w:rPr>
        <w:t> mit </w:t>
      </w:r>
      <w:r>
        <w:rPr>
          <w:spacing w:val="-3"/>
        </w:rPr>
        <w:t>einer</w:t>
      </w:r>
      <w:r>
        <w:rPr>
          <w:spacing w:val="-1"/>
        </w:rPr>
        <w:t> </w:t>
      </w:r>
      <w:r>
        <w:rPr>
          <w:spacing w:val="-2"/>
        </w:rPr>
        <w:t>Sanierung</w:t>
      </w:r>
      <w:r>
        <w:rPr>
          <w:spacing w:val="29"/>
        </w:rPr>
        <w:t> </w:t>
      </w:r>
      <w:r>
        <w:rPr>
          <w:spacing w:val="-3"/>
        </w:rPr>
        <w:t>inklusive</w:t>
      </w:r>
      <w:r>
        <w:rPr>
          <w:spacing w:val="8"/>
        </w:rPr>
        <w:t> </w:t>
      </w:r>
      <w:r>
        <w:rPr>
          <w:spacing w:val="-3"/>
        </w:rPr>
        <w:t>Aufstockung.</w:t>
      </w:r>
      <w:r>
        <w:rPr>
          <w:spacing w:val="1"/>
        </w:rPr>
        <w:t> </w:t>
      </w:r>
      <w:r>
        <w:rPr>
          <w:spacing w:val="-2"/>
        </w:rPr>
        <w:t>Gerade</w:t>
      </w:r>
      <w:r>
        <w:rPr>
          <w:spacing w:val="8"/>
        </w:rPr>
        <w:t> </w:t>
      </w:r>
      <w:r>
        <w:rPr>
          <w:spacing w:val="-3"/>
        </w:rPr>
        <w:t>diese</w:t>
      </w:r>
      <w:r>
        <w:rPr>
          <w:spacing w:val="1"/>
        </w:rPr>
        <w:t> </w:t>
      </w:r>
      <w:r>
        <w:rPr>
          <w:spacing w:val="-4"/>
        </w:rPr>
        <w:t>Verdich-</w:t>
      </w:r>
      <w:r>
        <w:rPr>
          <w:spacing w:val="43"/>
        </w:rPr>
        <w:t> </w:t>
      </w:r>
      <w:r>
        <w:rPr>
          <w:spacing w:val="-3"/>
        </w:rPr>
        <w:t>tung</w:t>
      </w:r>
      <w:r>
        <w:rPr>
          <w:spacing w:val="-18"/>
        </w:rPr>
        <w:t> </w:t>
      </w:r>
      <w:r>
        <w:rPr>
          <w:spacing w:val="-1"/>
        </w:rPr>
        <w:t>im</w:t>
      </w:r>
      <w:r>
        <w:rPr>
          <w:spacing w:val="-18"/>
        </w:rPr>
        <w:t> </w:t>
      </w:r>
      <w:r>
        <w:rPr>
          <w:spacing w:val="-2"/>
        </w:rPr>
        <w:t>Stadtbau</w:t>
      </w:r>
      <w:r>
        <w:rPr>
          <w:spacing w:val="-18"/>
        </w:rPr>
        <w:t> </w:t>
      </w:r>
      <w:r>
        <w:rPr>
          <w:spacing w:val="-3"/>
        </w:rPr>
        <w:t>stellt</w:t>
      </w:r>
      <w:r>
        <w:rPr>
          <w:spacing w:val="-18"/>
        </w:rPr>
        <w:t> </w:t>
      </w:r>
      <w:r>
        <w:rPr>
          <w:spacing w:val="-1"/>
        </w:rPr>
        <w:t>ein</w:t>
      </w:r>
      <w:r>
        <w:rPr>
          <w:spacing w:val="-18"/>
        </w:rPr>
        <w:t> </w:t>
      </w:r>
      <w:r>
        <w:rPr>
          <w:spacing w:val="-3"/>
        </w:rPr>
        <w:t>vorbildliches</w:t>
      </w:r>
      <w:r>
        <w:rPr>
          <w:spacing w:val="-18"/>
        </w:rPr>
        <w:t> </w:t>
      </w:r>
      <w:r>
        <w:rPr>
          <w:spacing w:val="-2"/>
        </w:rPr>
        <w:t>Erneu-</w:t>
      </w:r>
      <w:r>
        <w:rPr>
          <w:spacing w:val="33"/>
        </w:rPr>
        <w:t> </w:t>
      </w:r>
      <w:r>
        <w:rPr>
          <w:spacing w:val="-3"/>
        </w:rPr>
        <w:t>erungskonzept</w:t>
      </w:r>
      <w:r>
        <w:rPr>
          <w:spacing w:val="-4"/>
        </w:rPr>
        <w:t> </w:t>
      </w:r>
      <w:r>
        <w:rPr>
          <w:spacing w:val="-5"/>
        </w:rPr>
        <w:t>dar.</w:t>
      </w:r>
      <w:r>
        <w:rPr>
          <w:i w:val="0"/>
        </w:rPr>
      </w:r>
    </w:p>
    <w:p>
      <w:pPr>
        <w:pStyle w:val="BodyText"/>
        <w:spacing w:line="230" w:lineRule="exact"/>
        <w:ind w:left="176" w:right="0"/>
        <w:jc w:val="both"/>
        <w:rPr>
          <w:i w:val="0"/>
        </w:rPr>
      </w:pPr>
      <w:r>
        <w:rPr>
          <w:spacing w:val="-2"/>
        </w:rPr>
        <w:t>Die</w:t>
      </w:r>
      <w:r>
        <w:rPr>
          <w:spacing w:val="46"/>
        </w:rPr>
        <w:t> </w:t>
      </w:r>
      <w:r>
        <w:rPr>
          <w:spacing w:val="-3"/>
        </w:rPr>
        <w:t>südlich</w:t>
      </w:r>
      <w:r>
        <w:rPr>
          <w:spacing w:val="47"/>
        </w:rPr>
        <w:t> </w:t>
      </w:r>
      <w:r>
        <w:rPr>
          <w:spacing w:val="-4"/>
        </w:rPr>
        <w:t>ausgerichtete</w:t>
      </w:r>
      <w:r>
        <w:rPr>
          <w:spacing w:val="46"/>
        </w:rPr>
        <w:t> </w:t>
      </w:r>
      <w:r>
        <w:rPr>
          <w:spacing w:val="-3"/>
        </w:rPr>
        <w:t>und</w:t>
      </w:r>
      <w:r>
        <w:rPr>
          <w:spacing w:val="47"/>
        </w:rPr>
        <w:t> </w:t>
      </w:r>
      <w:r>
        <w:rPr>
          <w:spacing w:val="-2"/>
        </w:rPr>
        <w:t>88.5</w:t>
      </w:r>
      <w:r>
        <w:rPr>
          <w:spacing w:val="47"/>
        </w:rPr>
        <w:t> </w:t>
      </w:r>
      <w:r>
        <w:rPr>
          <w:spacing w:val="-2"/>
        </w:rPr>
        <w:t>kW</w:t>
      </w:r>
      <w:r>
        <w:rPr>
          <w:spacing w:val="31"/>
        </w:rPr>
        <w:t> </w:t>
      </w:r>
      <w:r>
        <w:rPr>
          <w:spacing w:val="-3"/>
        </w:rPr>
        <w:t>starke</w:t>
      </w:r>
      <w:r>
        <w:rPr>
          <w:spacing w:val="20"/>
        </w:rPr>
        <w:t> </w:t>
      </w:r>
      <w:r>
        <w:rPr>
          <w:spacing w:val="-2"/>
        </w:rPr>
        <w:t>Solaranlage</w:t>
      </w:r>
      <w:r>
        <w:rPr>
          <w:spacing w:val="20"/>
        </w:rPr>
        <w:t> </w:t>
      </w:r>
      <w:r>
        <w:rPr>
          <w:spacing w:val="-2"/>
        </w:rPr>
        <w:t>produziert</w:t>
      </w:r>
      <w:r>
        <w:rPr>
          <w:spacing w:val="20"/>
        </w:rPr>
        <w:t> </w:t>
      </w:r>
      <w:r>
        <w:rPr>
          <w:spacing w:val="-1"/>
        </w:rPr>
        <w:t>mit</w:t>
      </w:r>
      <w:r>
        <w:rPr>
          <w:spacing w:val="20"/>
        </w:rPr>
        <w:t> </w:t>
      </w:r>
      <w:r>
        <w:rPr>
          <w:spacing w:val="-2"/>
        </w:rPr>
        <w:t>76’800</w:t>
      </w:r>
      <w:r>
        <w:rPr>
          <w:spacing w:val="25"/>
        </w:rPr>
        <w:t> </w:t>
      </w:r>
      <w:r>
        <w:rPr>
          <w:spacing w:val="-4"/>
        </w:rPr>
        <w:t>kWh/a</w:t>
      </w:r>
      <w:r>
        <w:rPr>
          <w:spacing w:val="44"/>
        </w:rPr>
        <w:t> </w:t>
      </w:r>
      <w:r>
        <w:rPr>
          <w:spacing w:val="-3"/>
        </w:rPr>
        <w:t>die</w:t>
      </w:r>
      <w:r>
        <w:rPr>
          <w:spacing w:val="45"/>
        </w:rPr>
        <w:t> </w:t>
      </w:r>
      <w:r>
        <w:rPr>
          <w:spacing w:val="-1"/>
        </w:rPr>
        <w:t>für</w:t>
      </w:r>
      <w:r>
        <w:rPr>
          <w:spacing w:val="44"/>
        </w:rPr>
        <w:t> </w:t>
      </w:r>
      <w:r>
        <w:rPr>
          <w:spacing w:val="-3"/>
        </w:rPr>
        <w:t>die</w:t>
      </w:r>
      <w:r>
        <w:rPr>
          <w:spacing w:val="45"/>
        </w:rPr>
        <w:t> </w:t>
      </w:r>
      <w:r>
        <w:rPr>
          <w:spacing w:val="-3"/>
        </w:rPr>
        <w:t>Wärmepumpe</w:t>
      </w:r>
      <w:r>
        <w:rPr>
          <w:spacing w:val="45"/>
        </w:rPr>
        <w:t> </w:t>
      </w:r>
      <w:r>
        <w:rPr>
          <w:spacing w:val="-3"/>
        </w:rPr>
        <w:t>benötigte</w:t>
      </w:r>
      <w:r>
        <w:rPr>
          <w:spacing w:val="25"/>
        </w:rPr>
        <w:t> </w:t>
      </w:r>
      <w:r>
        <w:rPr>
          <w:spacing w:val="-2"/>
        </w:rPr>
        <w:t>Elektrizität.</w:t>
      </w:r>
      <w:r>
        <w:rPr>
          <w:spacing w:val="27"/>
        </w:rPr>
        <w:t> </w:t>
      </w:r>
      <w:r>
        <w:rPr>
          <w:spacing w:val="-1"/>
        </w:rPr>
        <w:t>Dabei</w:t>
      </w:r>
      <w:r>
        <w:rPr>
          <w:spacing w:val="36"/>
        </w:rPr>
        <w:t> </w:t>
      </w:r>
      <w:r>
        <w:rPr>
          <w:spacing w:val="-3"/>
        </w:rPr>
        <w:t>wird</w:t>
      </w:r>
      <w:r>
        <w:rPr>
          <w:spacing w:val="35"/>
        </w:rPr>
        <w:t> </w:t>
      </w:r>
      <w:r>
        <w:rPr>
          <w:spacing w:val="-3"/>
        </w:rPr>
        <w:t>der</w:t>
      </w:r>
      <w:r>
        <w:rPr>
          <w:spacing w:val="36"/>
        </w:rPr>
        <w:t> </w:t>
      </w:r>
      <w:r>
        <w:rPr>
          <w:spacing w:val="-3"/>
        </w:rPr>
        <w:t>Solarstromüber-</w:t>
      </w:r>
      <w:r>
        <w:rPr>
          <w:spacing w:val="53"/>
        </w:rPr>
        <w:t> </w:t>
      </w:r>
      <w:r>
        <w:rPr>
          <w:spacing w:val="-3"/>
        </w:rPr>
        <w:t>schuss</w:t>
      </w:r>
      <w:r>
        <w:rPr>
          <w:spacing w:val="17"/>
        </w:rPr>
        <w:t> </w:t>
      </w:r>
      <w:r>
        <w:rPr>
          <w:spacing w:val="-3"/>
        </w:rPr>
        <w:t>von</w:t>
      </w:r>
      <w:r>
        <w:rPr>
          <w:spacing w:val="17"/>
        </w:rPr>
        <w:t> </w:t>
      </w:r>
      <w:r>
        <w:rPr>
          <w:spacing w:val="-2"/>
        </w:rPr>
        <w:t>14%</w:t>
      </w:r>
      <w:r>
        <w:rPr>
          <w:spacing w:val="17"/>
        </w:rPr>
        <w:t> </w:t>
      </w:r>
      <w:r>
        <w:rPr>
          <w:spacing w:val="-1"/>
        </w:rPr>
        <w:t>ins</w:t>
      </w:r>
      <w:r>
        <w:rPr>
          <w:spacing w:val="17"/>
        </w:rPr>
        <w:t> </w:t>
      </w:r>
      <w:r>
        <w:rPr>
          <w:spacing w:val="-3"/>
        </w:rPr>
        <w:t>öffentliche</w:t>
      </w:r>
      <w:r>
        <w:rPr>
          <w:spacing w:val="17"/>
        </w:rPr>
        <w:t> </w:t>
      </w:r>
      <w:r>
        <w:rPr>
          <w:spacing w:val="-1"/>
        </w:rPr>
        <w:t>Netz</w:t>
      </w:r>
      <w:r>
        <w:rPr>
          <w:spacing w:val="17"/>
        </w:rPr>
        <w:t> </w:t>
      </w:r>
      <w:r>
        <w:rPr>
          <w:spacing w:val="-3"/>
        </w:rPr>
        <w:t>einge-</w:t>
      </w:r>
      <w:r>
        <w:rPr>
          <w:spacing w:val="41"/>
        </w:rPr>
        <w:t> </w:t>
      </w:r>
      <w:r>
        <w:rPr>
          <w:spacing w:val="-2"/>
        </w:rPr>
        <w:t>speist.</w:t>
      </w:r>
      <w:r>
        <w:rPr>
          <w:spacing w:val="45"/>
        </w:rPr>
        <w:t> </w:t>
      </w:r>
      <w:r>
        <w:rPr>
          <w:spacing w:val="-1"/>
        </w:rPr>
        <w:t>Mit</w:t>
      </w:r>
      <w:r>
        <w:rPr>
          <w:spacing w:val="4"/>
        </w:rPr>
        <w:t> </w:t>
      </w:r>
      <w:r>
        <w:rPr>
          <w:spacing w:val="-3"/>
        </w:rPr>
        <w:t>dem</w:t>
      </w:r>
      <w:r>
        <w:rPr>
          <w:spacing w:val="4"/>
        </w:rPr>
        <w:t> </w:t>
      </w:r>
      <w:r>
        <w:rPr>
          <w:spacing w:val="-3"/>
        </w:rPr>
        <w:t>Solarstromüberschuss</w:t>
      </w:r>
      <w:r>
        <w:rPr>
          <w:spacing w:val="4"/>
        </w:rPr>
        <w:t> </w:t>
      </w:r>
      <w:r>
        <w:rPr>
          <w:spacing w:val="-3"/>
        </w:rPr>
        <w:t>von</w:t>
      </w:r>
      <w:r>
        <w:rPr>
          <w:spacing w:val="35"/>
        </w:rPr>
        <w:t> </w:t>
      </w:r>
      <w:r>
        <w:rPr>
          <w:spacing w:val="-2"/>
        </w:rPr>
        <w:t>9’600</w:t>
      </w:r>
      <w:r>
        <w:rPr>
          <w:spacing w:val="46"/>
        </w:rPr>
        <w:t> </w:t>
      </w:r>
      <w:r>
        <w:rPr>
          <w:spacing w:val="-4"/>
        </w:rPr>
        <w:t>kWh/a</w:t>
      </w:r>
      <w:r>
        <w:rPr>
          <w:spacing w:val="47"/>
        </w:rPr>
        <w:t> </w:t>
      </w:r>
      <w:r>
        <w:rPr>
          <w:spacing w:val="-4"/>
        </w:rPr>
        <w:t>können</w:t>
      </w:r>
      <w:r>
        <w:rPr>
          <w:spacing w:val="46"/>
        </w:rPr>
        <w:t> </w:t>
      </w:r>
      <w:r>
        <w:rPr>
          <w:spacing w:val="-3"/>
        </w:rPr>
        <w:t>jährlich</w:t>
      </w:r>
      <w:r>
        <w:rPr>
          <w:spacing w:val="47"/>
        </w:rPr>
        <w:t> </w:t>
      </w:r>
      <w:r>
        <w:rPr>
          <w:spacing w:val="-1"/>
        </w:rPr>
        <w:t>etwa</w:t>
      </w:r>
      <w:r>
        <w:rPr>
          <w:spacing w:val="47"/>
        </w:rPr>
        <w:t> </w:t>
      </w:r>
      <w:r>
        <w:rPr>
          <w:spacing w:val="-3"/>
        </w:rPr>
        <w:t>sieben</w:t>
      </w:r>
      <w:r>
        <w:rPr>
          <w:spacing w:val="39"/>
        </w:rPr>
        <w:t> </w:t>
      </w:r>
      <w:r>
        <w:rPr>
          <w:spacing w:val="-3"/>
        </w:rPr>
        <w:t>Elektroautos</w:t>
      </w:r>
      <w:r>
        <w:rPr>
          <w:spacing w:val="-5"/>
        </w:rPr>
        <w:t> </w:t>
      </w:r>
      <w:r>
        <w:rPr>
          <w:spacing w:val="-2"/>
        </w:rPr>
        <w:t>eine</w:t>
      </w:r>
      <w:r>
        <w:rPr>
          <w:spacing w:val="-5"/>
        </w:rPr>
        <w:t> </w:t>
      </w:r>
      <w:r>
        <w:rPr>
          <w:spacing w:val="-4"/>
        </w:rPr>
        <w:t>Strecke</w:t>
      </w:r>
      <w:r>
        <w:rPr>
          <w:spacing w:val="-5"/>
        </w:rPr>
        <w:t> </w:t>
      </w:r>
      <w:r>
        <w:rPr>
          <w:spacing w:val="-3"/>
        </w:rPr>
        <w:t>von</w:t>
      </w:r>
      <w:r>
        <w:rPr>
          <w:spacing w:val="-5"/>
        </w:rPr>
        <w:t> </w:t>
      </w:r>
      <w:r>
        <w:rPr>
          <w:spacing w:val="-3"/>
        </w:rPr>
        <w:t>jeweils</w:t>
      </w:r>
      <w:r>
        <w:rPr>
          <w:spacing w:val="-5"/>
        </w:rPr>
        <w:t> </w:t>
      </w:r>
      <w:r>
        <w:rPr>
          <w:spacing w:val="-2"/>
        </w:rPr>
        <w:t>12’000</w:t>
      </w:r>
      <w:r>
        <w:rPr>
          <w:spacing w:val="23"/>
        </w:rPr>
        <w:t> </w:t>
      </w:r>
      <w:r>
        <w:rPr>
          <w:spacing w:val="-3"/>
        </w:rPr>
        <w:t>km CO</w:t>
      </w:r>
      <w:r>
        <w:rPr>
          <w:spacing w:val="-3"/>
          <w:position w:val="-5"/>
          <w:sz w:val="10"/>
          <w:szCs w:val="10"/>
        </w:rPr>
        <w:t>2</w:t>
      </w:r>
      <w:r>
        <w:rPr>
          <w:spacing w:val="-3"/>
        </w:rPr>
        <w:t>-frei fahren.</w:t>
      </w:r>
      <w:r>
        <w:rPr>
          <w:i w:val="0"/>
        </w:rPr>
      </w:r>
    </w:p>
    <w:p>
      <w:pPr>
        <w:pStyle w:val="BodyText"/>
        <w:spacing w:line="232" w:lineRule="auto" w:before="14"/>
        <w:ind w:left="175" w:right="0"/>
        <w:jc w:val="both"/>
        <w:rPr>
          <w:i w:val="0"/>
        </w:rPr>
      </w:pPr>
      <w:r>
        <w:rPr>
          <w:spacing w:val="-2"/>
        </w:rPr>
        <w:t>Die</w:t>
      </w:r>
      <w:r>
        <w:rPr>
          <w:spacing w:val="38"/>
        </w:rPr>
        <w:t> </w:t>
      </w:r>
      <w:r>
        <w:rPr>
          <w:spacing w:val="-3"/>
        </w:rPr>
        <w:t>dachintegrierten</w:t>
      </w:r>
      <w:r>
        <w:rPr>
          <w:spacing w:val="39"/>
        </w:rPr>
        <w:t> </w:t>
      </w:r>
      <w:r>
        <w:rPr>
          <w:spacing w:val="-3"/>
        </w:rPr>
        <w:t>Solarpaneele</w:t>
      </w:r>
      <w:r>
        <w:rPr>
          <w:spacing w:val="38"/>
        </w:rPr>
        <w:t> </w:t>
      </w:r>
      <w:r>
        <w:rPr>
          <w:spacing w:val="-3"/>
        </w:rPr>
        <w:t>bede-</w:t>
      </w:r>
      <w:r>
        <w:rPr>
          <w:spacing w:val="39"/>
        </w:rPr>
        <w:t> </w:t>
      </w:r>
      <w:r>
        <w:rPr>
          <w:spacing w:val="-4"/>
        </w:rPr>
        <w:t>cken</w:t>
      </w:r>
      <w:r>
        <w:rPr>
          <w:spacing w:val="5"/>
        </w:rPr>
        <w:t> </w:t>
      </w:r>
      <w:r>
        <w:rPr>
          <w:spacing w:val="-2"/>
        </w:rPr>
        <w:t>eine</w:t>
      </w:r>
      <w:r>
        <w:rPr>
          <w:spacing w:val="5"/>
        </w:rPr>
        <w:t> </w:t>
      </w:r>
      <w:r>
        <w:rPr>
          <w:spacing w:val="-3"/>
        </w:rPr>
        <w:t>Fläche</w:t>
      </w:r>
      <w:r>
        <w:rPr>
          <w:spacing w:val="5"/>
        </w:rPr>
        <w:t> </w:t>
      </w:r>
      <w:r>
        <w:rPr>
          <w:spacing w:val="-3"/>
        </w:rPr>
        <w:t>von</w:t>
      </w:r>
      <w:r>
        <w:rPr>
          <w:spacing w:val="6"/>
        </w:rPr>
        <w:t> </w:t>
      </w:r>
      <w:r>
        <w:rPr>
          <w:spacing w:val="-3"/>
        </w:rPr>
        <w:t>insgesamt</w:t>
      </w:r>
      <w:r>
        <w:rPr>
          <w:spacing w:val="5"/>
        </w:rPr>
        <w:t> </w:t>
      </w:r>
      <w:r>
        <w:rPr>
          <w:spacing w:val="-2"/>
        </w:rPr>
        <w:t>515</w:t>
      </w:r>
      <w:r>
        <w:rPr>
          <w:spacing w:val="5"/>
        </w:rPr>
        <w:t> </w:t>
      </w:r>
      <w:r>
        <w:rPr>
          <w:spacing w:val="-1"/>
        </w:rPr>
        <w:t>m</w:t>
      </w:r>
      <w:r>
        <w:rPr>
          <w:spacing w:val="-1"/>
          <w:position w:val="6"/>
          <w:sz w:val="10"/>
        </w:rPr>
        <w:t>2</w:t>
      </w:r>
      <w:r>
        <w:rPr>
          <w:spacing w:val="1"/>
          <w:position w:val="6"/>
          <w:sz w:val="10"/>
        </w:rPr>
        <w:t> </w:t>
      </w:r>
      <w:r>
        <w:rPr>
          <w:spacing w:val="-4"/>
        </w:rPr>
        <w:t>und</w:t>
      </w:r>
      <w:r>
        <w:rPr>
          <w:spacing w:val="26"/>
        </w:rPr>
        <w:t> </w:t>
      </w:r>
      <w:r>
        <w:rPr>
          <w:spacing w:val="-3"/>
        </w:rPr>
        <w:t>fügen</w:t>
      </w:r>
      <w:r>
        <w:rPr>
          <w:spacing w:val="17"/>
        </w:rPr>
        <w:t> </w:t>
      </w:r>
      <w:r>
        <w:rPr>
          <w:spacing w:val="-3"/>
        </w:rPr>
        <w:t>sich</w:t>
      </w:r>
      <w:r>
        <w:rPr>
          <w:spacing w:val="17"/>
        </w:rPr>
        <w:t> </w:t>
      </w:r>
      <w:r>
        <w:rPr>
          <w:spacing w:val="-3"/>
        </w:rPr>
        <w:t>harmonisch</w:t>
      </w:r>
      <w:r>
        <w:rPr>
          <w:spacing w:val="17"/>
        </w:rPr>
        <w:t> </w:t>
      </w:r>
      <w:r>
        <w:rPr>
          <w:spacing w:val="-1"/>
        </w:rPr>
        <w:t>in</w:t>
      </w:r>
      <w:r>
        <w:rPr>
          <w:spacing w:val="17"/>
        </w:rPr>
        <w:t> </w:t>
      </w:r>
      <w:r>
        <w:rPr>
          <w:spacing w:val="-1"/>
        </w:rPr>
        <w:t>das</w:t>
      </w:r>
      <w:r>
        <w:rPr>
          <w:spacing w:val="17"/>
        </w:rPr>
        <w:t> </w:t>
      </w:r>
      <w:r>
        <w:rPr>
          <w:spacing w:val="-3"/>
        </w:rPr>
        <w:t>verschachtelte</w:t>
      </w:r>
      <w:r>
        <w:rPr>
          <w:spacing w:val="28"/>
        </w:rPr>
        <w:t> </w:t>
      </w:r>
      <w:r>
        <w:rPr>
          <w:spacing w:val="-2"/>
        </w:rPr>
        <w:t>Design</w:t>
      </w:r>
      <w:r>
        <w:rPr>
          <w:spacing w:val="-4"/>
        </w:rPr>
        <w:t> </w:t>
      </w:r>
      <w:r>
        <w:rPr>
          <w:spacing w:val="-3"/>
        </w:rPr>
        <w:t>der</w:t>
      </w:r>
      <w:r>
        <w:rPr>
          <w:spacing w:val="-4"/>
        </w:rPr>
        <w:t> </w:t>
      </w:r>
      <w:r>
        <w:rPr>
          <w:spacing w:val="-3"/>
        </w:rPr>
        <w:t>Gebäudehülle</w:t>
      </w:r>
      <w:r>
        <w:rPr>
          <w:spacing w:val="-4"/>
        </w:rPr>
        <w:t> </w:t>
      </w:r>
      <w:r>
        <w:rPr>
          <w:spacing w:val="-2"/>
        </w:rPr>
        <w:t>ein.</w:t>
      </w:r>
      <w:r>
        <w:rPr>
          <w:i w:val="0"/>
        </w:rPr>
      </w:r>
    </w:p>
    <w:p>
      <w:pPr>
        <w:pStyle w:val="BodyText"/>
        <w:spacing w:line="232" w:lineRule="auto"/>
        <w:ind w:left="175" w:right="0"/>
        <w:jc w:val="both"/>
        <w:rPr>
          <w:i w:val="0"/>
        </w:rPr>
      </w:pPr>
      <w:r>
        <w:rPr>
          <w:spacing w:val="-1"/>
        </w:rPr>
        <w:t>Ein</w:t>
      </w:r>
      <w:r>
        <w:rPr>
          <w:spacing w:val="11"/>
        </w:rPr>
        <w:t> </w:t>
      </w:r>
      <w:r>
        <w:rPr>
          <w:spacing w:val="-3"/>
        </w:rPr>
        <w:t>Ventilations-Belüftungssystem</w:t>
      </w:r>
      <w:r>
        <w:rPr>
          <w:spacing w:val="19"/>
        </w:rPr>
        <w:t> </w:t>
      </w:r>
      <w:r>
        <w:rPr>
          <w:spacing w:val="-1"/>
        </w:rPr>
        <w:t>mit</w:t>
      </w:r>
      <w:r>
        <w:rPr>
          <w:spacing w:val="55"/>
        </w:rPr>
        <w:t> </w:t>
      </w:r>
      <w:r>
        <w:rPr>
          <w:spacing w:val="-1"/>
        </w:rPr>
        <w:t>Doppelfluss</w:t>
      </w:r>
      <w:r>
        <w:rPr>
          <w:spacing w:val="-6"/>
        </w:rPr>
        <w:t> </w:t>
      </w:r>
      <w:r>
        <w:rPr>
          <w:spacing w:val="-3"/>
        </w:rPr>
        <w:t>sorgt</w:t>
      </w:r>
      <w:r>
        <w:rPr>
          <w:spacing w:val="-6"/>
        </w:rPr>
        <w:t> </w:t>
      </w:r>
      <w:r>
        <w:rPr>
          <w:spacing w:val="-1"/>
        </w:rPr>
        <w:t>für</w:t>
      </w:r>
      <w:r>
        <w:rPr>
          <w:spacing w:val="-6"/>
        </w:rPr>
        <w:t> </w:t>
      </w:r>
      <w:r>
        <w:rPr>
          <w:spacing w:val="-1"/>
        </w:rPr>
        <w:t>ein</w:t>
      </w:r>
      <w:r>
        <w:rPr>
          <w:spacing w:val="-6"/>
        </w:rPr>
        <w:t> </w:t>
      </w:r>
      <w:r>
        <w:rPr>
          <w:spacing w:val="-4"/>
        </w:rPr>
        <w:t>angenehmes</w:t>
      </w:r>
      <w:r>
        <w:rPr>
          <w:spacing w:val="-6"/>
        </w:rPr>
        <w:t> </w:t>
      </w:r>
      <w:r>
        <w:rPr>
          <w:spacing w:val="-1"/>
        </w:rPr>
        <w:t>Raum-</w:t>
      </w:r>
      <w:r>
        <w:rPr>
          <w:spacing w:val="27"/>
        </w:rPr>
        <w:t> </w:t>
      </w:r>
      <w:r>
        <w:rPr>
          <w:spacing w:val="-2"/>
        </w:rPr>
        <w:t>klima.</w:t>
      </w:r>
      <w:r>
        <w:rPr>
          <w:spacing w:val="8"/>
        </w:rPr>
        <w:t> </w:t>
      </w:r>
      <w:r>
        <w:rPr>
          <w:spacing w:val="-1"/>
        </w:rPr>
        <w:t>Ein</w:t>
      </w:r>
      <w:r>
        <w:rPr>
          <w:spacing w:val="15"/>
        </w:rPr>
        <w:t> </w:t>
      </w:r>
      <w:r>
        <w:rPr>
          <w:spacing w:val="-3"/>
        </w:rPr>
        <w:t>Wärmerekuperationsmechanismus</w:t>
      </w:r>
      <w:r>
        <w:rPr>
          <w:spacing w:val="25"/>
        </w:rPr>
        <w:t> </w:t>
      </w:r>
      <w:r>
        <w:rPr>
          <w:spacing w:val="-2"/>
        </w:rPr>
        <w:t>reduziert</w:t>
      </w:r>
      <w:r>
        <w:rPr>
          <w:spacing w:val="-4"/>
        </w:rPr>
        <w:t> </w:t>
      </w:r>
      <w:r>
        <w:rPr>
          <w:spacing w:val="-2"/>
        </w:rPr>
        <w:t>dabei</w:t>
      </w:r>
      <w:r>
        <w:rPr>
          <w:spacing w:val="-4"/>
        </w:rPr>
        <w:t> </w:t>
      </w:r>
      <w:r>
        <w:rPr>
          <w:spacing w:val="-3"/>
        </w:rPr>
        <w:t>die</w:t>
      </w:r>
      <w:r>
        <w:rPr>
          <w:spacing w:val="-4"/>
        </w:rPr>
        <w:t> Energieverluste.</w:t>
      </w:r>
      <w:r>
        <w:rPr>
          <w:i w:val="0"/>
        </w:rPr>
      </w:r>
    </w:p>
    <w:p>
      <w:pPr>
        <w:pStyle w:val="BodyText"/>
        <w:spacing w:line="232" w:lineRule="auto"/>
        <w:ind w:left="175" w:right="0"/>
        <w:jc w:val="both"/>
        <w:rPr>
          <w:i w:val="0"/>
        </w:rPr>
      </w:pPr>
      <w:r>
        <w:rPr>
          <w:spacing w:val="-1"/>
        </w:rPr>
        <w:t>Dank</w:t>
      </w:r>
      <w:r>
        <w:rPr>
          <w:spacing w:val="26"/>
        </w:rPr>
        <w:t> </w:t>
      </w:r>
      <w:r>
        <w:rPr>
          <w:spacing w:val="-3"/>
        </w:rPr>
        <w:t>der</w:t>
      </w:r>
      <w:r>
        <w:rPr>
          <w:spacing w:val="27"/>
        </w:rPr>
        <w:t> </w:t>
      </w:r>
      <w:r>
        <w:rPr>
          <w:spacing w:val="-3"/>
        </w:rPr>
        <w:t>umfassenden</w:t>
      </w:r>
      <w:r>
        <w:rPr>
          <w:spacing w:val="26"/>
        </w:rPr>
        <w:t> </w:t>
      </w:r>
      <w:r>
        <w:rPr>
          <w:spacing w:val="-3"/>
        </w:rPr>
        <w:t>PEB-Sanierung</w:t>
      </w:r>
      <w:r>
        <w:rPr>
          <w:spacing w:val="33"/>
        </w:rPr>
        <w:t> </w:t>
      </w:r>
      <w:r>
        <w:rPr>
          <w:spacing w:val="-3"/>
        </w:rPr>
        <w:t>weist</w:t>
      </w:r>
      <w:r>
        <w:rPr>
          <w:spacing w:val="48"/>
        </w:rPr>
        <w:t> </w:t>
      </w:r>
      <w:r>
        <w:rPr>
          <w:spacing w:val="-1"/>
        </w:rPr>
        <w:t>das</w:t>
      </w:r>
      <w:r>
        <w:rPr/>
        <w:t>  </w:t>
      </w:r>
      <w:r>
        <w:rPr>
          <w:spacing w:val="-2"/>
        </w:rPr>
        <w:t>Gebäude</w:t>
      </w:r>
      <w:r>
        <w:rPr/>
        <w:t> </w:t>
      </w:r>
      <w:r>
        <w:rPr>
          <w:spacing w:val="-3"/>
        </w:rPr>
        <w:t>heute</w:t>
      </w:r>
      <w:r>
        <w:rPr/>
        <w:t> </w:t>
      </w:r>
      <w:r>
        <w:rPr>
          <w:spacing w:val="-2"/>
        </w:rPr>
        <w:t>eine</w:t>
      </w:r>
      <w:r>
        <w:rPr/>
        <w:t> </w:t>
      </w:r>
      <w:r>
        <w:rPr>
          <w:spacing w:val="-4"/>
        </w:rPr>
        <w:t>Eigenener-</w:t>
      </w:r>
      <w:r>
        <w:rPr>
          <w:spacing w:val="21"/>
        </w:rPr>
        <w:t> </w:t>
      </w:r>
      <w:r>
        <w:rPr>
          <w:spacing w:val="-4"/>
        </w:rPr>
        <w:t>gieversorgung</w:t>
      </w:r>
      <w:r>
        <w:rPr>
          <w:spacing w:val="23"/>
        </w:rPr>
        <w:t> </w:t>
      </w:r>
      <w:r>
        <w:rPr>
          <w:spacing w:val="-3"/>
        </w:rPr>
        <w:t>von</w:t>
      </w:r>
      <w:r>
        <w:rPr>
          <w:spacing w:val="23"/>
        </w:rPr>
        <w:t> </w:t>
      </w:r>
      <w:r>
        <w:rPr>
          <w:spacing w:val="-2"/>
        </w:rPr>
        <w:t>114%</w:t>
      </w:r>
      <w:r>
        <w:rPr>
          <w:spacing w:val="23"/>
        </w:rPr>
        <w:t> </w:t>
      </w:r>
      <w:r>
        <w:rPr>
          <w:spacing w:val="-2"/>
        </w:rPr>
        <w:t>auf.</w:t>
      </w:r>
      <w:r>
        <w:rPr>
          <w:spacing w:val="16"/>
        </w:rPr>
        <w:t> </w:t>
      </w:r>
      <w:r>
        <w:rPr>
          <w:spacing w:val="-2"/>
        </w:rPr>
        <w:t>Aufgrund</w:t>
      </w:r>
      <w:r>
        <w:rPr>
          <w:spacing w:val="23"/>
        </w:rPr>
        <w:t> </w:t>
      </w:r>
      <w:r>
        <w:rPr>
          <w:spacing w:val="-3"/>
        </w:rPr>
        <w:t>des</w:t>
      </w:r>
      <w:r>
        <w:rPr>
          <w:spacing w:val="33"/>
        </w:rPr>
        <w:t> </w:t>
      </w:r>
      <w:r>
        <w:rPr>
          <w:spacing w:val="-3"/>
        </w:rPr>
        <w:t>sorgfältigen</w:t>
      </w:r>
      <w:r>
        <w:rPr>
          <w:spacing w:val="34"/>
        </w:rPr>
        <w:t> </w:t>
      </w:r>
      <w:r>
        <w:rPr>
          <w:spacing w:val="-3"/>
        </w:rPr>
        <w:t>Umgangs</w:t>
      </w:r>
      <w:r>
        <w:rPr>
          <w:spacing w:val="35"/>
        </w:rPr>
        <w:t> </w:t>
      </w:r>
      <w:r>
        <w:rPr>
          <w:spacing w:val="-1"/>
        </w:rPr>
        <w:t>mit</w:t>
      </w:r>
      <w:r>
        <w:rPr>
          <w:spacing w:val="34"/>
        </w:rPr>
        <w:t> </w:t>
      </w:r>
      <w:r>
        <w:rPr>
          <w:spacing w:val="-3"/>
        </w:rPr>
        <w:t>der</w:t>
      </w:r>
      <w:r>
        <w:rPr>
          <w:spacing w:val="35"/>
        </w:rPr>
        <w:t> </w:t>
      </w:r>
      <w:r>
        <w:rPr>
          <w:spacing w:val="-4"/>
        </w:rPr>
        <w:t>bestehenden</w:t>
      </w:r>
      <w:r>
        <w:rPr>
          <w:spacing w:val="45"/>
        </w:rPr>
        <w:t> </w:t>
      </w:r>
      <w:r>
        <w:rPr>
          <w:spacing w:val="-2"/>
        </w:rPr>
        <w:t>Bausubstanz</w:t>
      </w:r>
      <w:r>
        <w:rPr>
          <w:spacing w:val="7"/>
        </w:rPr>
        <w:t> </w:t>
      </w:r>
      <w:r>
        <w:rPr>
          <w:spacing w:val="-4"/>
        </w:rPr>
        <w:t>sowie</w:t>
      </w:r>
      <w:r>
        <w:rPr>
          <w:spacing w:val="7"/>
        </w:rPr>
        <w:t> </w:t>
      </w:r>
      <w:r>
        <w:rPr>
          <w:spacing w:val="-3"/>
        </w:rPr>
        <w:t>der</w:t>
      </w:r>
      <w:r>
        <w:rPr>
          <w:spacing w:val="7"/>
        </w:rPr>
        <w:t> </w:t>
      </w:r>
      <w:r>
        <w:rPr>
          <w:spacing w:val="-4"/>
        </w:rPr>
        <w:t>gelungenen</w:t>
      </w:r>
      <w:r>
        <w:rPr>
          <w:spacing w:val="7"/>
        </w:rPr>
        <w:t> </w:t>
      </w:r>
      <w:r>
        <w:rPr>
          <w:spacing w:val="-4"/>
        </w:rPr>
        <w:t>architek-</w:t>
      </w:r>
      <w:r>
        <w:rPr>
          <w:spacing w:val="55"/>
        </w:rPr>
        <w:t> </w:t>
      </w:r>
      <w:r>
        <w:rPr>
          <w:spacing w:val="-4"/>
        </w:rPr>
        <w:t>tonischen</w:t>
      </w:r>
      <w:r>
        <w:rPr>
          <w:spacing w:val="2"/>
        </w:rPr>
        <w:t> </w:t>
      </w:r>
      <w:r>
        <w:rPr>
          <w:spacing w:val="-2"/>
        </w:rPr>
        <w:t>Einbettung</w:t>
      </w:r>
      <w:r>
        <w:rPr>
          <w:spacing w:val="2"/>
        </w:rPr>
        <w:t> </w:t>
      </w:r>
      <w:r>
        <w:rPr>
          <w:spacing w:val="-3"/>
        </w:rPr>
        <w:t>des</w:t>
      </w:r>
      <w:r>
        <w:rPr>
          <w:spacing w:val="2"/>
        </w:rPr>
        <w:t> </w:t>
      </w:r>
      <w:r>
        <w:rPr>
          <w:spacing w:val="-3"/>
        </w:rPr>
        <w:t>erneuerten</w:t>
      </w:r>
      <w:r>
        <w:rPr>
          <w:spacing w:val="2"/>
        </w:rPr>
        <w:t> </w:t>
      </w:r>
      <w:r>
        <w:rPr>
          <w:spacing w:val="-1"/>
        </w:rPr>
        <w:t>Gebäu-</w:t>
      </w:r>
      <w:r>
        <w:rPr>
          <w:spacing w:val="35"/>
        </w:rPr>
        <w:t> </w:t>
      </w:r>
      <w:r>
        <w:rPr>
          <w:spacing w:val="-3"/>
        </w:rPr>
        <w:t>des</w:t>
      </w:r>
      <w:r>
        <w:rPr>
          <w:spacing w:val="5"/>
        </w:rPr>
        <w:t> </w:t>
      </w:r>
      <w:r>
        <w:rPr>
          <w:spacing w:val="-3"/>
        </w:rPr>
        <w:t>erreicht</w:t>
      </w:r>
      <w:r>
        <w:rPr>
          <w:spacing w:val="5"/>
        </w:rPr>
        <w:t> </w:t>
      </w:r>
      <w:r>
        <w:rPr>
          <w:spacing w:val="-3"/>
        </w:rPr>
        <w:t>die</w:t>
      </w:r>
      <w:r>
        <w:rPr>
          <w:spacing w:val="5"/>
        </w:rPr>
        <w:t> </w:t>
      </w:r>
      <w:r>
        <w:rPr>
          <w:spacing w:val="-2"/>
        </w:rPr>
        <w:t>sanierte</w:t>
      </w:r>
      <w:r>
        <w:rPr>
          <w:spacing w:val="5"/>
        </w:rPr>
        <w:t> </w:t>
      </w:r>
      <w:r>
        <w:rPr>
          <w:spacing w:val="-4"/>
        </w:rPr>
        <w:t>Crèche</w:t>
      </w:r>
      <w:r>
        <w:rPr>
          <w:spacing w:val="5"/>
        </w:rPr>
        <w:t> </w:t>
      </w:r>
      <w:r>
        <w:rPr>
          <w:spacing w:val="-3"/>
        </w:rPr>
        <w:t>de</w:t>
      </w:r>
      <w:r>
        <w:rPr>
          <w:spacing w:val="5"/>
        </w:rPr>
        <w:t> </w:t>
      </w:r>
      <w:r>
        <w:rPr>
          <w:spacing w:val="-2"/>
        </w:rPr>
        <w:t>Chateau-</w:t>
      </w:r>
      <w:r>
        <w:rPr>
          <w:spacing w:val="23"/>
        </w:rPr>
        <w:t> </w:t>
      </w:r>
      <w:r>
        <w:rPr>
          <w:spacing w:val="-2"/>
        </w:rPr>
        <w:t>briand</w:t>
      </w:r>
      <w:r>
        <w:rPr>
          <w:spacing w:val="6"/>
        </w:rPr>
        <w:t> </w:t>
      </w:r>
      <w:r>
        <w:rPr>
          <w:spacing w:val="-3"/>
        </w:rPr>
        <w:t>den</w:t>
      </w:r>
      <w:r>
        <w:rPr>
          <w:spacing w:val="6"/>
        </w:rPr>
        <w:t> </w:t>
      </w:r>
      <w:r>
        <w:rPr>
          <w:spacing w:val="-1"/>
        </w:rPr>
        <w:t>2. Platz</w:t>
      </w:r>
      <w:r>
        <w:rPr>
          <w:spacing w:val="6"/>
        </w:rPr>
        <w:t> </w:t>
      </w:r>
      <w:r>
        <w:rPr>
          <w:spacing w:val="-3"/>
        </w:rPr>
        <w:t>des</w:t>
      </w:r>
      <w:r>
        <w:rPr>
          <w:spacing w:val="6"/>
        </w:rPr>
        <w:t> </w:t>
      </w:r>
      <w:r>
        <w:rPr>
          <w:spacing w:val="-2"/>
        </w:rPr>
        <w:t>Norman</w:t>
      </w:r>
      <w:r>
        <w:rPr>
          <w:spacing w:val="6"/>
        </w:rPr>
        <w:t> </w:t>
      </w:r>
      <w:r>
        <w:rPr>
          <w:spacing w:val="-4"/>
        </w:rPr>
        <w:t>Foster</w:t>
      </w:r>
      <w:r>
        <w:rPr>
          <w:spacing w:val="6"/>
        </w:rPr>
        <w:t> </w:t>
      </w:r>
      <w:r>
        <w:rPr>
          <w:spacing w:val="-3"/>
        </w:rPr>
        <w:t>Solar</w:t>
      </w:r>
      <w:r>
        <w:rPr>
          <w:spacing w:val="27"/>
        </w:rPr>
        <w:t> </w:t>
      </w:r>
      <w:r>
        <w:rPr>
          <w:spacing w:val="-2"/>
        </w:rPr>
        <w:t>Awards.</w:t>
      </w:r>
      <w:r>
        <w:rPr>
          <w:i w:val="0"/>
        </w:rPr>
      </w:r>
    </w:p>
    <w:p>
      <w:pPr>
        <w:spacing w:before="76"/>
        <w:ind w:left="186" w:right="0" w:firstLine="0"/>
        <w:jc w:val="left"/>
        <w:rPr>
          <w:rFonts w:ascii="Theinhardt Black" w:hAnsi="Theinhardt Black" w:cs="Theinhardt Black" w:eastAsia="Theinhardt Black"/>
          <w:sz w:val="14"/>
          <w:szCs w:val="14"/>
        </w:rPr>
      </w:pPr>
      <w:r>
        <w:rPr/>
        <w:br w:type="column"/>
      </w:r>
      <w:r>
        <w:rPr>
          <w:rFonts w:ascii="Theinhardt Black" w:hAnsi="Theinhardt Black"/>
          <w:b/>
          <w:spacing w:val="1"/>
          <w:sz w:val="14"/>
        </w:rPr>
        <w:t>Données</w:t>
      </w:r>
      <w:r>
        <w:rPr>
          <w:rFonts w:ascii="Theinhardt Black" w:hAnsi="Theinhardt Black"/>
          <w:b/>
          <w:sz w:val="14"/>
        </w:rPr>
        <w:t> techniques</w:t>
      </w:r>
      <w:r>
        <w:rPr>
          <w:rFonts w:ascii="Theinhardt Black" w:hAnsi="Theinhardt Black"/>
          <w:sz w:val="14"/>
        </w:rPr>
      </w:r>
    </w:p>
    <w:p>
      <w:pPr>
        <w:spacing w:line="240" w:lineRule="auto" w:before="10"/>
        <w:rPr>
          <w:rFonts w:ascii="Theinhardt Black" w:hAnsi="Theinhardt Black" w:cs="Theinhardt Black" w:eastAsia="Theinhardt Black"/>
          <w:b/>
          <w:bCs/>
          <w:sz w:val="2"/>
          <w:szCs w:val="2"/>
        </w:rPr>
      </w:pPr>
    </w:p>
    <w:p>
      <w:pPr>
        <w:spacing w:line="20" w:lineRule="atLeast"/>
        <w:ind w:left="186" w:right="0" w:firstLine="0"/>
        <w:rPr>
          <w:rFonts w:ascii="Theinhardt Black" w:hAnsi="Theinhardt Black" w:cs="Theinhardt Black" w:eastAsia="Theinhardt Black"/>
          <w:sz w:val="2"/>
          <w:szCs w:val="2"/>
        </w:rPr>
      </w:pPr>
      <w:r>
        <w:rPr>
          <w:rFonts w:ascii="Theinhardt Black" w:hAnsi="Theinhardt Black" w:cs="Theinhardt Black" w:eastAsia="Theinhardt Black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00000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00000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000000">
                <v:path arrowok="t"/>
              </v:shape>
            </v:group>
          </v:group>
        </w:pict>
      </w:r>
      <w:r>
        <w:rPr>
          <w:rFonts w:ascii="Theinhardt Black" w:hAnsi="Theinhardt Black" w:cs="Theinhardt Black" w:eastAsia="Theinhardt Black"/>
          <w:sz w:val="2"/>
          <w:szCs w:val="2"/>
        </w:rPr>
      </w:r>
    </w:p>
    <w:p>
      <w:pPr>
        <w:spacing w:line="172" w:lineRule="exact" w:before="20"/>
        <w:ind w:left="186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pacing w:val="1"/>
          <w:sz w:val="14"/>
        </w:rPr>
        <w:t>Isolation</w:t>
      </w:r>
      <w:r>
        <w:rPr>
          <w:rFonts w:ascii="Theinhardt Bold"/>
          <w:b/>
          <w:sz w:val="14"/>
        </w:rPr>
        <w:t> </w:t>
      </w:r>
      <w:r>
        <w:rPr>
          <w:rFonts w:ascii="Theinhardt Bold"/>
          <w:b/>
          <w:spacing w:val="1"/>
          <w:sz w:val="14"/>
        </w:rPr>
        <w:t>thermique</w:t>
      </w:r>
      <w:r>
        <w:rPr>
          <w:rFonts w:ascii="Theinhardt Bold"/>
          <w:sz w:val="14"/>
        </w:rPr>
      </w:r>
    </w:p>
    <w:p>
      <w:pPr>
        <w:tabs>
          <w:tab w:pos="1401" w:val="left" w:leader="none"/>
        </w:tabs>
        <w:spacing w:line="207" w:lineRule="auto" w:before="6"/>
        <w:ind w:left="186" w:right="293" w:hanging="1"/>
        <w:jc w:val="both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1"/>
          <w:sz w:val="14"/>
        </w:rPr>
        <w:t>Mur:</w:t>
        <w:tab/>
      </w:r>
      <w:r>
        <w:rPr>
          <w:rFonts w:ascii="Theinhardt Regular"/>
          <w:spacing w:val="-2"/>
          <w:sz w:val="14"/>
        </w:rPr>
        <w:t>21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cm</w:t>
      </w:r>
      <w:r>
        <w:rPr>
          <w:rFonts w:ascii="Theinhardt Regular"/>
          <w:spacing w:val="32"/>
          <w:sz w:val="14"/>
        </w:rPr>
        <w:t> </w:t>
      </w:r>
      <w:r>
        <w:rPr>
          <w:rFonts w:ascii="Theinhardt Regular"/>
          <w:sz w:val="14"/>
        </w:rPr>
        <w:t>Valeur U:</w:t>
      </w:r>
      <w:r>
        <w:rPr>
          <w:rFonts w:ascii="Theinhardt Regular"/>
          <w:spacing w:val="17"/>
          <w:sz w:val="14"/>
        </w:rPr>
        <w:t> </w:t>
      </w:r>
      <w:r>
        <w:rPr>
          <w:rFonts w:ascii="Theinhardt Regular"/>
          <w:spacing w:val="-5"/>
          <w:sz w:val="14"/>
        </w:rPr>
        <w:t>0.13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2"/>
          <w:sz w:val="14"/>
        </w:rPr>
        <w:t>W/m</w:t>
      </w:r>
      <w:r>
        <w:rPr>
          <w:rFonts w:ascii="Theinhardt Regular"/>
          <w:spacing w:val="-2"/>
          <w:position w:val="5"/>
          <w:sz w:val="8"/>
        </w:rPr>
        <w:t>2</w:t>
      </w:r>
      <w:r>
        <w:rPr>
          <w:rFonts w:ascii="Theinhardt Regular"/>
          <w:spacing w:val="-2"/>
          <w:sz w:val="14"/>
        </w:rPr>
        <w:t>K</w:t>
      </w:r>
      <w:r>
        <w:rPr>
          <w:rFonts w:ascii="Theinhardt Regular"/>
          <w:spacing w:val="25"/>
          <w:sz w:val="14"/>
        </w:rPr>
        <w:t> </w:t>
      </w:r>
      <w:r>
        <w:rPr>
          <w:rFonts w:ascii="Theinhardt Regular"/>
          <w:sz w:val="14"/>
        </w:rPr>
        <w:t>Toiture/grenier:</w:t>
      </w:r>
      <w:r>
        <w:rPr>
          <w:rFonts w:ascii="Theinhardt Regular"/>
          <w:spacing w:val="25"/>
          <w:sz w:val="14"/>
        </w:rPr>
        <w:t> </w:t>
      </w:r>
      <w:r>
        <w:rPr>
          <w:rFonts w:ascii="Theinhardt Regular"/>
          <w:spacing w:val="-2"/>
          <w:sz w:val="14"/>
        </w:rPr>
        <w:t>24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cm</w:t>
      </w:r>
      <w:r>
        <w:rPr>
          <w:rFonts w:ascii="Theinhardt Regular"/>
          <w:spacing w:val="32"/>
          <w:sz w:val="14"/>
        </w:rPr>
        <w:t> </w:t>
      </w:r>
      <w:r>
        <w:rPr>
          <w:rFonts w:ascii="Theinhardt Regular"/>
          <w:sz w:val="14"/>
        </w:rPr>
        <w:t>Valeur U:</w:t>
      </w:r>
      <w:r>
        <w:rPr>
          <w:rFonts w:ascii="Theinhardt Regular"/>
          <w:spacing w:val="17"/>
          <w:sz w:val="14"/>
        </w:rPr>
        <w:t> </w:t>
      </w:r>
      <w:r>
        <w:rPr>
          <w:rFonts w:ascii="Theinhardt Regular"/>
          <w:spacing w:val="-5"/>
          <w:sz w:val="14"/>
        </w:rPr>
        <w:t>0.12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2"/>
          <w:sz w:val="14"/>
        </w:rPr>
        <w:t>W/m</w:t>
      </w:r>
      <w:r>
        <w:rPr>
          <w:rFonts w:ascii="Theinhardt Regular"/>
          <w:spacing w:val="-2"/>
          <w:position w:val="5"/>
          <w:sz w:val="8"/>
        </w:rPr>
        <w:t>2</w:t>
      </w:r>
      <w:r>
        <w:rPr>
          <w:rFonts w:ascii="Theinhardt Regular"/>
          <w:spacing w:val="-2"/>
          <w:sz w:val="14"/>
        </w:rPr>
        <w:t>K</w:t>
      </w:r>
      <w:r>
        <w:rPr>
          <w:rFonts w:ascii="Theinhardt Regular"/>
          <w:spacing w:val="30"/>
          <w:sz w:val="14"/>
        </w:rPr>
        <w:t> </w:t>
      </w:r>
      <w:r>
        <w:rPr>
          <w:rFonts w:ascii="Theinhardt Regular"/>
          <w:w w:val="95"/>
          <w:sz w:val="14"/>
        </w:rPr>
        <w:t>Plancher:</w:t>
        <w:tab/>
      </w:r>
      <w:r>
        <w:rPr>
          <w:rFonts w:ascii="Theinhardt Regular"/>
          <w:spacing w:val="-3"/>
          <w:sz w:val="14"/>
        </w:rPr>
        <w:t>10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cm</w:t>
      </w:r>
      <w:r>
        <w:rPr>
          <w:rFonts w:ascii="Theinhardt Regular"/>
          <w:spacing w:val="32"/>
          <w:sz w:val="14"/>
        </w:rPr>
        <w:t> </w:t>
      </w:r>
      <w:r>
        <w:rPr>
          <w:rFonts w:ascii="Theinhardt Regular"/>
          <w:sz w:val="14"/>
        </w:rPr>
        <w:t>Valeur U:</w:t>
      </w:r>
      <w:r>
        <w:rPr>
          <w:rFonts w:ascii="Theinhardt Regular"/>
          <w:spacing w:val="35"/>
          <w:sz w:val="14"/>
        </w:rPr>
        <w:t> </w:t>
      </w:r>
      <w:r>
        <w:rPr>
          <w:rFonts w:ascii="Theinhardt Regular"/>
          <w:sz w:val="14"/>
        </w:rPr>
        <w:t>0.22 </w:t>
      </w:r>
      <w:r>
        <w:rPr>
          <w:rFonts w:ascii="Theinhardt Regular"/>
          <w:spacing w:val="-2"/>
          <w:sz w:val="14"/>
        </w:rPr>
        <w:t>W/m</w:t>
      </w:r>
      <w:r>
        <w:rPr>
          <w:rFonts w:ascii="Theinhardt Regular"/>
          <w:spacing w:val="-2"/>
          <w:position w:val="5"/>
          <w:sz w:val="8"/>
        </w:rPr>
        <w:t>2</w:t>
      </w:r>
      <w:r>
        <w:rPr>
          <w:rFonts w:ascii="Theinhardt Regular"/>
          <w:spacing w:val="-2"/>
          <w:sz w:val="14"/>
        </w:rPr>
        <w:t>K</w:t>
      </w:r>
      <w:r>
        <w:rPr>
          <w:rFonts w:ascii="Theinhardt Regular"/>
          <w:spacing w:val="22"/>
          <w:sz w:val="14"/>
        </w:rPr>
        <w:t> </w:t>
      </w:r>
      <w:r>
        <w:rPr>
          <w:rFonts w:ascii="Theinhardt Regular"/>
          <w:spacing w:val="1"/>
          <w:sz w:val="14"/>
        </w:rPr>
        <w:t>Vitre:</w:t>
        <w:tab/>
        <w:t>triple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31"/>
          <w:sz w:val="14"/>
        </w:rPr>
        <w:t> </w:t>
      </w:r>
      <w:r>
        <w:rPr>
          <w:rFonts w:ascii="Theinhardt Regular"/>
          <w:sz w:val="14"/>
        </w:rPr>
        <w:t>Valeur U:  </w:t>
      </w:r>
      <w:r>
        <w:rPr>
          <w:rFonts w:ascii="Theinhardt Regular"/>
          <w:spacing w:val="37"/>
          <w:sz w:val="14"/>
        </w:rPr>
        <w:t> </w:t>
      </w:r>
      <w:r>
        <w:rPr>
          <w:rFonts w:ascii="Theinhardt Regular"/>
          <w:spacing w:val="-1"/>
          <w:sz w:val="14"/>
        </w:rPr>
        <w:t>0.97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2"/>
          <w:sz w:val="14"/>
        </w:rPr>
        <w:t>W/m</w:t>
      </w:r>
      <w:r>
        <w:rPr>
          <w:rFonts w:ascii="Theinhardt Regular"/>
          <w:spacing w:val="-2"/>
          <w:position w:val="5"/>
          <w:sz w:val="8"/>
        </w:rPr>
        <w:t>2</w:t>
      </w:r>
      <w:r>
        <w:rPr>
          <w:rFonts w:ascii="Theinhardt Regular"/>
          <w:spacing w:val="-2"/>
          <w:sz w:val="14"/>
        </w:rPr>
        <w:t>K</w:t>
      </w:r>
    </w:p>
    <w:p>
      <w:pPr>
        <w:spacing w:line="172" w:lineRule="exact" w:before="38"/>
        <w:ind w:left="186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spacing w:val="1"/>
          <w:sz w:val="14"/>
        </w:rPr>
        <w:t>Besoin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1"/>
          <w:sz w:val="14"/>
        </w:rPr>
        <w:t>en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1"/>
          <w:sz w:val="14"/>
        </w:rPr>
        <w:t>énergie</w:t>
      </w:r>
      <w:r>
        <w:rPr>
          <w:rFonts w:ascii="Theinhardt Bold" w:hAnsi="Theinhardt Bold"/>
          <w:sz w:val="14"/>
        </w:rPr>
      </w:r>
    </w:p>
    <w:p>
      <w:pPr>
        <w:tabs>
          <w:tab w:pos="1599" w:val="left" w:leader="none"/>
          <w:tab w:pos="1971" w:val="left" w:leader="none"/>
          <w:tab w:pos="2461" w:val="left" w:leader="none"/>
          <w:tab w:pos="2876" w:val="left" w:leader="none"/>
        </w:tabs>
        <w:spacing w:line="207" w:lineRule="auto" w:before="6"/>
        <w:ind w:left="186" w:right="333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SRE: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2"/>
          <w:sz w:val="14"/>
          <w:szCs w:val="14"/>
        </w:rPr>
        <w:t>2009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-1"/>
          <w:sz w:val="14"/>
          <w:szCs w:val="14"/>
        </w:rPr>
        <w:t>m</w:t>
      </w:r>
      <w:r>
        <w:rPr>
          <w:rFonts w:ascii="Theinhardt Regular" w:hAnsi="Theinhardt Regular" w:cs="Theinhardt Regular" w:eastAsia="Theinhardt Regular"/>
          <w:spacing w:val="-1"/>
          <w:position w:val="5"/>
          <w:sz w:val="8"/>
          <w:szCs w:val="8"/>
        </w:rPr>
        <w:t>2</w:t>
        <w:tab/>
      </w:r>
      <w:r>
        <w:rPr>
          <w:rFonts w:ascii="Theinhardt Regular" w:hAnsi="Theinhardt Regular" w:cs="Theinhardt Regular" w:eastAsia="Theinhardt Regular"/>
          <w:sz w:val="14"/>
          <w:szCs w:val="14"/>
        </w:rPr>
        <w:t>kWh/m</w:t>
      </w:r>
      <w:r>
        <w:rPr>
          <w:rFonts w:ascii="Theinhardt Regular" w:hAnsi="Theinhardt Regular" w:cs="Theinhardt Regular" w:eastAsia="Theinhardt Regular"/>
          <w:position w:val="5"/>
          <w:sz w:val="8"/>
          <w:szCs w:val="8"/>
        </w:rPr>
        <w:t>2</w:t>
      </w:r>
      <w:r>
        <w:rPr>
          <w:rFonts w:ascii="Theinhardt Regular" w:hAnsi="Theinhardt Regular" w:cs="Theinhardt Regular" w:eastAsia="Theinhardt Regular"/>
          <w:sz w:val="14"/>
          <w:szCs w:val="14"/>
        </w:rPr>
        <w:t>a</w:t>
        <w:tab/>
        <w:t>%</w:t>
        <w:tab/>
        <w:t>kWh/a</w:t>
      </w:r>
      <w:r>
        <w:rPr>
          <w:rFonts w:ascii="Theinhardt Regular" w:hAnsi="Theinhardt Regular" w:cs="Theinhardt Regular" w:eastAsia="Theinhardt Regular"/>
          <w:spacing w:val="22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2"/>
          <w:sz w:val="14"/>
          <w:szCs w:val="14"/>
        </w:rPr>
        <w:t>Electricité</w:t>
      </w:r>
      <w:r>
        <w:rPr>
          <w:rFonts w:ascii="Theinhardt Regular" w:hAnsi="Theinhardt Regular" w:cs="Theinhardt Regular" w:eastAsia="Theinhardt Regular"/>
          <w:sz w:val="14"/>
          <w:szCs w:val="14"/>
        </w:rPr>
        <w:t> (PAC):</w:t>
        <w:tab/>
        <w:tab/>
      </w:r>
      <w:r>
        <w:rPr>
          <w:rFonts w:ascii="Theinhardt Regular" w:hAnsi="Theinhardt Regular" w:cs="Theinhardt Regular" w:eastAsia="Theinhardt Regular"/>
          <w:spacing w:val="-3"/>
          <w:sz w:val="14"/>
          <w:szCs w:val="14"/>
        </w:rPr>
        <w:t>7.3</w:t>
        <w:tab/>
      </w:r>
      <w:r>
        <w:rPr>
          <w:rFonts w:ascii="Theinhardt Regular" w:hAnsi="Theinhardt Regular" w:cs="Theinhardt Regular" w:eastAsia="Theinhardt Regular"/>
          <w:spacing w:val="-1"/>
          <w:w w:val="95"/>
          <w:sz w:val="14"/>
          <w:szCs w:val="14"/>
        </w:rPr>
        <w:t>22</w:t>
        <w:tab/>
      </w:r>
      <w:r>
        <w:rPr>
          <w:rFonts w:ascii="Theinhardt Regular" w:hAnsi="Theinhardt Regular" w:cs="Theinhardt Regular" w:eastAsia="Theinhardt Regular"/>
          <w:spacing w:val="-4"/>
          <w:sz w:val="14"/>
          <w:szCs w:val="14"/>
        </w:rPr>
        <w:t>14’619</w:t>
      </w:r>
    </w:p>
    <w:p>
      <w:pPr>
        <w:tabs>
          <w:tab w:pos="1879" w:val="left" w:leader="none"/>
          <w:tab w:pos="2460" w:val="left" w:leader="none"/>
          <w:tab w:pos="2858" w:val="left" w:leader="none"/>
        </w:tabs>
        <w:spacing w:line="154" w:lineRule="exact" w:before="0"/>
        <w:ind w:left="18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Electricité:</w:t>
        <w:tab/>
      </w:r>
      <w:r>
        <w:rPr>
          <w:rFonts w:ascii="Theinhardt Regular" w:hAnsi="Theinhardt Regular" w:cs="Theinhardt Regular" w:eastAsia="Theinhardt Regular"/>
          <w:sz w:val="14"/>
          <w:szCs w:val="14"/>
        </w:rPr>
        <w:t>26.2</w:t>
        <w:tab/>
      </w:r>
      <w:r>
        <w:rPr>
          <w:rFonts w:ascii="Theinhardt Regular" w:hAnsi="Theinhardt Regular" w:cs="Theinhardt Regular" w:eastAsia="Theinhardt Regular"/>
          <w:spacing w:val="-1"/>
          <w:w w:val="95"/>
          <w:sz w:val="14"/>
          <w:szCs w:val="14"/>
        </w:rPr>
        <w:t>78</w:t>
        <w:tab/>
      </w:r>
      <w:r>
        <w:rPr>
          <w:rFonts w:ascii="Theinhardt Regular" w:hAnsi="Theinhardt Regular" w:cs="Theinhardt Regular" w:eastAsia="Theinhardt Regular"/>
          <w:spacing w:val="-1"/>
          <w:sz w:val="14"/>
          <w:szCs w:val="14"/>
        </w:rPr>
        <w:t>52’623</w:t>
      </w:r>
    </w:p>
    <w:p>
      <w:pPr>
        <w:tabs>
          <w:tab w:pos="1868" w:val="left" w:leader="none"/>
          <w:tab w:pos="2378" w:val="left" w:leader="none"/>
          <w:tab w:pos="2841" w:val="left" w:leader="none"/>
        </w:tabs>
        <w:spacing w:line="172" w:lineRule="exact" w:before="0"/>
        <w:ind w:left="186" w:right="0" w:hanging="1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Total </w:t>
      </w:r>
      <w:r>
        <w:rPr>
          <w:rFonts w:ascii="Theinhardt Bold" w:hAnsi="Theinhardt Bold" w:cs="Theinhardt Bold" w:eastAsia="Theinhardt Bold"/>
          <w:b/>
          <w:bCs/>
          <w:spacing w:val="1"/>
          <w:sz w:val="14"/>
          <w:szCs w:val="14"/>
        </w:rPr>
        <w:t>besoins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1"/>
          <w:sz w:val="14"/>
          <w:szCs w:val="14"/>
        </w:rPr>
        <w:t>énerg.:</w:t>
        <w:tab/>
      </w:r>
      <w:r>
        <w:rPr>
          <w:rFonts w:ascii="Theinhardt Bold" w:hAnsi="Theinhardt Bold" w:cs="Theinhardt Bold" w:eastAsia="Theinhardt Bold"/>
          <w:b/>
          <w:bCs/>
          <w:w w:val="95"/>
          <w:sz w:val="14"/>
          <w:szCs w:val="14"/>
        </w:rPr>
        <w:t>33.5</w:t>
        <w:tab/>
      </w:r>
      <w:r>
        <w:rPr>
          <w:rFonts w:ascii="Theinhardt Regular" w:hAnsi="Theinhardt Regular" w:cs="Theinhardt Regular" w:eastAsia="Theinhardt Regular"/>
          <w:spacing w:val="-1"/>
          <w:w w:val="95"/>
          <w:sz w:val="14"/>
          <w:szCs w:val="14"/>
        </w:rPr>
        <w:t>100</w:t>
        <w:tab/>
      </w:r>
      <w:r>
        <w:rPr>
          <w:rFonts w:ascii="Theinhardt Bold" w:hAnsi="Theinhardt Bold" w:cs="Theinhardt Bold" w:eastAsia="Theinhardt Bold"/>
          <w:b/>
          <w:bCs/>
          <w:spacing w:val="1"/>
          <w:sz w:val="14"/>
          <w:szCs w:val="14"/>
        </w:rPr>
        <w:t>67’242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spacing w:line="240" w:lineRule="auto" w:before="11"/>
        <w:rPr>
          <w:rFonts w:ascii="Theinhardt Bold" w:hAnsi="Theinhardt Bold" w:cs="Theinhardt Bold" w:eastAsia="Theinhardt Bold"/>
          <w:b/>
          <w:bCs/>
          <w:sz w:val="9"/>
          <w:szCs w:val="9"/>
        </w:rPr>
      </w:pPr>
    </w:p>
    <w:tbl>
      <w:tblPr>
        <w:tblW w:w="0" w:type="auto"/>
        <w:jc w:val="left"/>
        <w:tblInd w:w="131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24"/>
        <w:gridCol w:w="623"/>
        <w:gridCol w:w="465"/>
        <w:gridCol w:w="637"/>
      </w:tblGrid>
      <w:tr>
        <w:trPr>
          <w:trHeight w:val="243" w:hRule="exact"/>
        </w:trPr>
        <w:tc>
          <w:tcPr>
            <w:tcW w:w="2148" w:type="dxa"/>
            <w:gridSpan w:val="2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75" w:lineRule="exact"/>
              <w:ind w:left="54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 w:hAnsi="Theinhardt Bold"/>
                <w:b/>
                <w:spacing w:val="1"/>
                <w:sz w:val="14"/>
              </w:rPr>
              <w:t>Alimentation</w:t>
            </w:r>
            <w:r>
              <w:rPr>
                <w:rFonts w:ascii="Theinhardt Bold" w:hAnsi="Theinhardt Bold"/>
                <w:b/>
                <w:sz w:val="14"/>
              </w:rPr>
              <w:t> </w:t>
            </w:r>
            <w:r>
              <w:rPr>
                <w:rFonts w:ascii="Theinhardt Bold" w:hAnsi="Theinhardt Bold"/>
                <w:b/>
                <w:spacing w:val="2"/>
                <w:sz w:val="14"/>
              </w:rPr>
              <w:t>énergétique</w:t>
            </w:r>
            <w:r>
              <w:rPr>
                <w:rFonts w:ascii="Theinhardt Bold" w:hAnsi="Theinhardt Bold"/>
                <w:sz w:val="14"/>
              </w:rPr>
            </w:r>
          </w:p>
          <w:p>
            <w:pPr>
              <w:pStyle w:val="TableParagraph"/>
              <w:spacing w:line="168" w:lineRule="exact"/>
              <w:ind w:left="54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pacing w:val="1"/>
                <w:sz w:val="14"/>
              </w:rPr>
              <w:t>Autoprod.:</w:t>
            </w:r>
            <w:r>
              <w:rPr>
                <w:rFonts w:ascii="Theinhardt Regular"/>
                <w:sz w:val="14"/>
              </w:rPr>
              <w:t>  </w:t>
            </w:r>
            <w:r>
              <w:rPr>
                <w:rFonts w:ascii="Theinhardt Regular"/>
                <w:spacing w:val="18"/>
                <w:sz w:val="14"/>
              </w:rPr>
              <w:t> </w:t>
            </w:r>
            <w:r>
              <w:rPr>
                <w:rFonts w:ascii="Theinhardt Regular"/>
                <w:sz w:val="14"/>
              </w:rPr>
              <w:t>m</w:t>
            </w:r>
            <w:r>
              <w:rPr>
                <w:rFonts w:ascii="Theinhardt Regular"/>
                <w:position w:val="5"/>
                <w:sz w:val="8"/>
              </w:rPr>
              <w:t>2    </w:t>
            </w:r>
            <w:r>
              <w:rPr>
                <w:rFonts w:ascii="Theinhardt Regular"/>
                <w:spacing w:val="14"/>
                <w:position w:val="5"/>
                <w:sz w:val="8"/>
              </w:rPr>
              <w:t> </w:t>
            </w:r>
            <w:r>
              <w:rPr>
                <w:rFonts w:ascii="Theinhardt Regular"/>
                <w:sz w:val="14"/>
              </w:rPr>
              <w:t>kWc </w:t>
            </w:r>
            <w:r>
              <w:rPr>
                <w:rFonts w:ascii="Theinhardt Regular"/>
                <w:spacing w:val="17"/>
                <w:sz w:val="14"/>
              </w:rPr>
              <w:t> </w:t>
            </w:r>
            <w:r>
              <w:rPr>
                <w:rFonts w:ascii="Theinhardt Regular"/>
                <w:sz w:val="14"/>
              </w:rPr>
              <w:t>kWh/m</w:t>
            </w:r>
            <w:r>
              <w:rPr>
                <w:rFonts w:ascii="Theinhardt Regular"/>
                <w:position w:val="5"/>
                <w:sz w:val="8"/>
              </w:rPr>
              <w:t>2</w:t>
            </w:r>
            <w:r>
              <w:rPr>
                <w:rFonts w:ascii="Theinhardt Regular"/>
                <w:sz w:val="14"/>
              </w:rPr>
              <w:t>a</w:t>
            </w:r>
          </w:p>
        </w:tc>
        <w:tc>
          <w:tcPr>
            <w:tcW w:w="46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80" w:lineRule="exact" w:before="62"/>
              <w:ind w:left="219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z w:val="14"/>
              </w:rPr>
              <w:t>%</w:t>
            </w:r>
          </w:p>
        </w:tc>
        <w:tc>
          <w:tcPr>
            <w:tcW w:w="63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80" w:lineRule="exact" w:before="62"/>
              <w:ind w:left="179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z w:val="14"/>
              </w:rPr>
              <w:t>kWh/a</w:t>
            </w:r>
          </w:p>
        </w:tc>
      </w:tr>
      <w:tr>
        <w:trPr>
          <w:trHeight w:val="187" w:hRule="exact"/>
        </w:trPr>
        <w:tc>
          <w:tcPr>
            <w:tcW w:w="152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5" w:lineRule="exact"/>
              <w:ind w:left="55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z w:val="14"/>
              </w:rPr>
              <w:t>Toiture PV:</w:t>
            </w:r>
            <w:r>
              <w:rPr>
                <w:rFonts w:ascii="Theinhardt Regular"/>
                <w:spacing w:val="4"/>
                <w:sz w:val="14"/>
              </w:rPr>
              <w:t> </w:t>
            </w:r>
            <w:r>
              <w:rPr>
                <w:rFonts w:ascii="Theinhardt Regular"/>
                <w:spacing w:val="-6"/>
                <w:sz w:val="14"/>
              </w:rPr>
              <w:t>515</w:t>
            </w:r>
            <w:r>
              <w:rPr>
                <w:rFonts w:ascii="Theinhardt Regular"/>
                <w:sz w:val="14"/>
              </w:rPr>
              <w:t> </w:t>
            </w:r>
            <w:r>
              <w:rPr>
                <w:rFonts w:ascii="Theinhardt Regular"/>
                <w:spacing w:val="14"/>
                <w:sz w:val="14"/>
              </w:rPr>
              <w:t> </w:t>
            </w:r>
            <w:r>
              <w:rPr>
                <w:rFonts w:ascii="Theinhardt Regular"/>
                <w:spacing w:val="1"/>
                <w:sz w:val="14"/>
              </w:rPr>
              <w:t>88.5</w:t>
            </w:r>
          </w:p>
        </w:tc>
        <w:tc>
          <w:tcPr>
            <w:tcW w:w="62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5" w:lineRule="exact"/>
              <w:ind w:left="149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pacing w:val="-2"/>
                <w:sz w:val="14"/>
              </w:rPr>
              <w:t>149.2</w:t>
            </w:r>
          </w:p>
        </w:tc>
        <w:tc>
          <w:tcPr>
            <w:tcW w:w="46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5" w:lineRule="exact"/>
              <w:ind w:left="112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/>
                <w:b/>
                <w:spacing w:val="-5"/>
                <w:sz w:val="14"/>
              </w:rPr>
              <w:t>114</w:t>
            </w:r>
            <w:r>
              <w:rPr>
                <w:rFonts w:ascii="Theinhardt Bold"/>
                <w:sz w:val="14"/>
              </w:rPr>
            </w:r>
          </w:p>
        </w:tc>
        <w:tc>
          <w:tcPr>
            <w:tcW w:w="63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5" w:lineRule="exact"/>
              <w:ind w:left="118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 w:hAnsi="Theinhardt Bold" w:cs="Theinhardt Bold" w:eastAsia="Theinhardt Bold"/>
                <w:b/>
                <w:bCs/>
                <w:sz w:val="14"/>
                <w:szCs w:val="14"/>
              </w:rPr>
              <w:t>7</w:t>
            </w:r>
            <w:r>
              <w:rPr>
                <w:rFonts w:ascii="Theinhardt Bold" w:hAnsi="Theinhardt Bold" w:cs="Theinhardt Bold" w:eastAsia="Theinhardt Bold"/>
                <w:b/>
                <w:bCs/>
                <w:spacing w:val="1"/>
                <w:sz w:val="14"/>
                <w:szCs w:val="14"/>
              </w:rPr>
              <w:t>6’</w:t>
            </w:r>
            <w:r>
              <w:rPr>
                <w:rFonts w:ascii="Theinhardt Bold" w:hAnsi="Theinhardt Bold" w:cs="Theinhardt Bold" w:eastAsia="Theinhardt Bold"/>
                <w:b/>
                <w:bCs/>
                <w:spacing w:val="3"/>
                <w:sz w:val="14"/>
                <w:szCs w:val="14"/>
              </w:rPr>
              <w:t>8</w:t>
            </w:r>
            <w:r>
              <w:rPr>
                <w:rFonts w:ascii="Theinhardt Bold" w:hAnsi="Theinhardt Bold" w:cs="Theinhardt Bold" w:eastAsia="Theinhardt Bold"/>
                <w:b/>
                <w:bCs/>
                <w:spacing w:val="1"/>
                <w:sz w:val="14"/>
                <w:szCs w:val="14"/>
              </w:rPr>
              <w:t>3</w:t>
            </w:r>
            <w:r>
              <w:rPr>
                <w:rFonts w:ascii="Theinhardt Bold" w:hAnsi="Theinhardt Bold" w:cs="Theinhardt Bold" w:eastAsia="Theinhardt Bold"/>
                <w:b/>
                <w:bCs/>
                <w:sz w:val="14"/>
                <w:szCs w:val="14"/>
              </w:rPr>
              <w:t>6</w:t>
            </w:r>
            <w:r>
              <w:rPr>
                <w:rFonts w:ascii="Theinhardt Bold" w:hAnsi="Theinhardt Bold" w:cs="Theinhardt Bold" w:eastAsia="Theinhardt Bold"/>
                <w:sz w:val="14"/>
                <w:szCs w:val="14"/>
              </w:rPr>
            </w:r>
          </w:p>
        </w:tc>
      </w:tr>
    </w:tbl>
    <w:p>
      <w:pPr>
        <w:tabs>
          <w:tab w:pos="2903" w:val="left" w:leader="none"/>
        </w:tabs>
        <w:spacing w:line="172" w:lineRule="exact" w:before="10"/>
        <w:ind w:left="18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 w:hAnsi="Theinhardt Bold"/>
          <w:b/>
          <w:spacing w:val="1"/>
          <w:sz w:val="14"/>
        </w:rPr>
        <w:t>Bilan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1"/>
          <w:sz w:val="14"/>
        </w:rPr>
        <w:t>énergétique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(énergie</w:t>
      </w:r>
      <w:r>
        <w:rPr>
          <w:rFonts w:ascii="Theinhardt Regular" w:hAnsi="Theinhardt Regular"/>
          <w:sz w:val="14"/>
        </w:rPr>
        <w:t> finale)    </w:t>
      </w:r>
      <w:r>
        <w:rPr>
          <w:rFonts w:ascii="Theinhardt Regular" w:hAnsi="Theinhardt Regular"/>
          <w:spacing w:val="8"/>
          <w:sz w:val="14"/>
        </w:rPr>
        <w:t> </w:t>
      </w:r>
      <w:r>
        <w:rPr>
          <w:rFonts w:ascii="Theinhardt Regular" w:hAnsi="Theinhardt Regular"/>
          <w:sz w:val="14"/>
        </w:rPr>
        <w:t>%</w:t>
        <w:tab/>
      </w:r>
      <w:r>
        <w:rPr>
          <w:rFonts w:ascii="Theinhardt Regular" w:hAnsi="Theinhardt Regular"/>
          <w:spacing w:val="-1"/>
          <w:sz w:val="14"/>
        </w:rPr>
        <w:t>kWh/a</w:t>
      </w:r>
      <w:r>
        <w:rPr>
          <w:rFonts w:ascii="Theinhardt Regular" w:hAnsi="Theinhardt Regular"/>
          <w:sz w:val="14"/>
        </w:rPr>
      </w:r>
    </w:p>
    <w:p>
      <w:pPr>
        <w:tabs>
          <w:tab w:pos="2391" w:val="left" w:leader="none"/>
          <w:tab w:pos="2842" w:val="left" w:leader="none"/>
        </w:tabs>
        <w:spacing w:line="160" w:lineRule="exact" w:before="0"/>
        <w:ind w:left="186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spacing w:val="1"/>
          <w:sz w:val="14"/>
          <w:szCs w:val="14"/>
        </w:rPr>
        <w:t>Alimentation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1"/>
          <w:sz w:val="14"/>
          <w:szCs w:val="14"/>
        </w:rPr>
        <w:t>énergétique:</w:t>
        <w:tab/>
      </w:r>
      <w:r>
        <w:rPr>
          <w:rFonts w:ascii="Theinhardt Bold" w:hAnsi="Theinhardt Bold" w:cs="Theinhardt Bold" w:eastAsia="Theinhardt Bold"/>
          <w:b/>
          <w:bCs/>
          <w:spacing w:val="-5"/>
          <w:sz w:val="14"/>
          <w:szCs w:val="14"/>
        </w:rPr>
        <w:t>114</w:t>
        <w:tab/>
      </w:r>
      <w:r>
        <w:rPr>
          <w:rFonts w:ascii="Theinhardt Bold" w:hAnsi="Theinhardt Bold" w:cs="Theinhardt Bold" w:eastAsia="Theinhardt Bold"/>
          <w:b/>
          <w:bCs/>
          <w:spacing w:val="1"/>
          <w:sz w:val="14"/>
          <w:szCs w:val="14"/>
        </w:rPr>
        <w:t>76’836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tabs>
          <w:tab w:pos="2378" w:val="left" w:leader="none"/>
          <w:tab w:pos="2858" w:val="left" w:leader="none"/>
        </w:tabs>
        <w:spacing w:line="160" w:lineRule="exact" w:before="0"/>
        <w:ind w:left="18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sz w:val="14"/>
          <w:szCs w:val="14"/>
        </w:rPr>
        <w:t>Total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besoins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énerg.:</w:t>
        <w:tab/>
      </w:r>
      <w:r>
        <w:rPr>
          <w:rFonts w:ascii="Theinhardt Regular" w:hAnsi="Theinhardt Regular" w:cs="Theinhardt Regular" w:eastAsia="Theinhardt Regular"/>
          <w:spacing w:val="-1"/>
          <w:w w:val="95"/>
          <w:sz w:val="14"/>
          <w:szCs w:val="14"/>
        </w:rPr>
        <w:t>100</w:t>
        <w:tab/>
      </w:r>
      <w:r>
        <w:rPr>
          <w:rFonts w:ascii="Theinhardt Regular" w:hAnsi="Theinhardt Regular" w:cs="Theinhardt Regular" w:eastAsia="Theinhardt Regular"/>
          <w:spacing w:val="-1"/>
          <w:sz w:val="14"/>
          <w:szCs w:val="14"/>
        </w:rPr>
        <w:t>67’242</w:t>
      </w:r>
    </w:p>
    <w:p>
      <w:pPr>
        <w:tabs>
          <w:tab w:pos="2465" w:val="left" w:leader="none"/>
          <w:tab w:pos="2925" w:val="left" w:leader="none"/>
        </w:tabs>
        <w:spacing w:line="172" w:lineRule="exact" w:before="0"/>
        <w:ind w:left="185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Surplus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d’électricité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solaire:</w:t>
        <w:tab/>
      </w:r>
      <w:r>
        <w:rPr>
          <w:rFonts w:ascii="Theinhardt Bold" w:hAnsi="Theinhardt Bold" w:cs="Theinhardt Bold" w:eastAsia="Theinhardt Bold"/>
          <w:b/>
          <w:bCs/>
          <w:spacing w:val="-3"/>
          <w:w w:val="95"/>
          <w:sz w:val="14"/>
          <w:szCs w:val="14"/>
        </w:rPr>
        <w:t>14</w:t>
        <w:tab/>
      </w:r>
      <w:r>
        <w:rPr>
          <w:rFonts w:ascii="Theinhardt Bold" w:hAnsi="Theinhardt Bold" w:cs="Theinhardt Bold" w:eastAsia="Theinhardt Bold"/>
          <w:b/>
          <w:bCs/>
          <w:spacing w:val="1"/>
          <w:sz w:val="14"/>
          <w:szCs w:val="14"/>
        </w:rPr>
        <w:t>9’594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spacing w:line="160" w:lineRule="exact" w:before="39"/>
        <w:ind w:left="185" w:right="1045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 w:hAnsi="Theinhardt Bold"/>
          <w:b/>
          <w:spacing w:val="1"/>
          <w:sz w:val="14"/>
        </w:rPr>
        <w:t>Confirmé</w:t>
      </w:r>
      <w:r>
        <w:rPr>
          <w:rFonts w:ascii="Theinhardt Bold" w:hAnsi="Theinhardt Bold"/>
          <w:b/>
          <w:spacing w:val="-1"/>
          <w:sz w:val="14"/>
        </w:rPr>
        <w:t> </w:t>
      </w:r>
      <w:r>
        <w:rPr>
          <w:rFonts w:ascii="Theinhardt Bold" w:hAnsi="Theinhardt Bold"/>
          <w:b/>
          <w:spacing w:val="1"/>
          <w:sz w:val="14"/>
        </w:rPr>
        <w:t>par</w:t>
      </w:r>
      <w:r>
        <w:rPr>
          <w:rFonts w:ascii="Theinhardt Bold" w:hAnsi="Theinhardt Bold"/>
          <w:b/>
          <w:spacing w:val="-1"/>
          <w:sz w:val="14"/>
        </w:rPr>
        <w:t> </w:t>
      </w:r>
      <w:r>
        <w:rPr>
          <w:rFonts w:ascii="Theinhardt Bold" w:hAnsi="Theinhardt Bold"/>
          <w:b/>
          <w:spacing w:val="2"/>
          <w:sz w:val="14"/>
        </w:rPr>
        <w:t>SIG</w:t>
      </w:r>
      <w:r>
        <w:rPr>
          <w:rFonts w:ascii="Theinhardt Bold" w:hAnsi="Theinhardt Bold"/>
          <w:b/>
          <w:spacing w:val="-1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le</w:t>
      </w:r>
      <w:r>
        <w:rPr>
          <w:rFonts w:ascii="Theinhardt Regular" w:hAnsi="Theinhardt Regular"/>
          <w:spacing w:val="-1"/>
          <w:sz w:val="14"/>
        </w:rPr>
        <w:t> </w:t>
      </w:r>
      <w:r>
        <w:rPr>
          <w:rFonts w:ascii="Theinhardt Regular" w:hAnsi="Theinhardt Regular"/>
          <w:spacing w:val="-2"/>
          <w:sz w:val="14"/>
        </w:rPr>
        <w:t>12.05.2016</w:t>
      </w:r>
      <w:r>
        <w:rPr>
          <w:rFonts w:ascii="Theinhardt Regular" w:hAnsi="Theinhardt Regular"/>
          <w:spacing w:val="22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Patrick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Schaub,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-2"/>
          <w:sz w:val="14"/>
        </w:rPr>
        <w:t>Tel.</w:t>
      </w:r>
      <w:r>
        <w:rPr>
          <w:rFonts w:ascii="Theinhardt Regular" w:hAnsi="Theinhardt Regular"/>
          <w:sz w:val="14"/>
        </w:rPr>
        <w:t> 022 </w:t>
      </w:r>
      <w:r>
        <w:rPr>
          <w:rFonts w:ascii="Theinhardt Regular" w:hAnsi="Theinhardt Regular"/>
          <w:spacing w:val="-1"/>
          <w:sz w:val="14"/>
        </w:rPr>
        <w:t>420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-1"/>
          <w:sz w:val="14"/>
        </w:rPr>
        <w:t>79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04</w:t>
      </w:r>
    </w:p>
    <w:p>
      <w:pPr>
        <w:spacing w:line="160" w:lineRule="exact" w:before="56"/>
        <w:ind w:left="185" w:right="115" w:firstLine="0"/>
        <w:jc w:val="left"/>
        <w:rPr>
          <w:rFonts w:ascii="Theinhardt Light Italic" w:hAnsi="Theinhardt Light Italic" w:cs="Theinhardt Light Italic" w:eastAsia="Theinhardt Light Italic"/>
          <w:sz w:val="14"/>
          <w:szCs w:val="14"/>
        </w:rPr>
      </w:pPr>
      <w:r>
        <w:rPr>
          <w:rFonts w:ascii="Theinhardt Light Italic" w:hAnsi="Theinhardt Light Italic" w:cs="Theinhardt Light Italic" w:eastAsia="Theinhardt Light Italic"/>
          <w:i/>
          <w:spacing w:val="-2"/>
          <w:sz w:val="14"/>
          <w:szCs w:val="14"/>
        </w:rPr>
        <w:t>*2016</w:t>
      </w:r>
      <w:r>
        <w:rPr>
          <w:rFonts w:ascii="Theinhardt Light Italic" w:hAnsi="Theinhardt Light Italic" w:cs="Theinhardt Light Italic" w:eastAsia="Theinhardt Light Italic"/>
          <w:i/>
          <w:sz w:val="14"/>
          <w:szCs w:val="14"/>
        </w:rPr>
        <w:t> </w:t>
      </w:r>
      <w:r>
        <w:rPr>
          <w:rFonts w:ascii="Theinhardt Light Italic" w:hAnsi="Theinhardt Light Italic" w:cs="Theinhardt Light Italic" w:eastAsia="Theinhardt Light Italic"/>
          <w:i/>
          <w:spacing w:val="1"/>
          <w:sz w:val="14"/>
          <w:szCs w:val="14"/>
        </w:rPr>
        <w:t>est,</w:t>
      </w:r>
      <w:r>
        <w:rPr>
          <w:rFonts w:ascii="Theinhardt Light Italic" w:hAnsi="Theinhardt Light Italic" w:cs="Theinhardt Light Italic" w:eastAsia="Theinhardt Light Italic"/>
          <w:i/>
          <w:sz w:val="14"/>
          <w:szCs w:val="14"/>
        </w:rPr>
        <w:t> </w:t>
      </w:r>
      <w:r>
        <w:rPr>
          <w:rFonts w:ascii="Theinhardt Light Italic" w:hAnsi="Theinhardt Light Italic" w:cs="Theinhardt Light Italic" w:eastAsia="Theinhardt Light Italic"/>
          <w:i/>
          <w:spacing w:val="1"/>
          <w:sz w:val="14"/>
          <w:szCs w:val="14"/>
        </w:rPr>
        <w:t>d’après</w:t>
      </w:r>
      <w:r>
        <w:rPr>
          <w:rFonts w:ascii="Theinhardt Light Italic" w:hAnsi="Theinhardt Light Italic" w:cs="Theinhardt Light Italic" w:eastAsia="Theinhardt Light Italic"/>
          <w:i/>
          <w:sz w:val="14"/>
          <w:szCs w:val="14"/>
        </w:rPr>
        <w:t> </w:t>
      </w:r>
      <w:r>
        <w:rPr>
          <w:rFonts w:ascii="Theinhardt Light Italic" w:hAnsi="Theinhardt Light Italic" w:cs="Theinhardt Light Italic" w:eastAsia="Theinhardt Light Italic"/>
          <w:i/>
          <w:spacing w:val="1"/>
          <w:sz w:val="14"/>
          <w:szCs w:val="14"/>
        </w:rPr>
        <w:t>Meteotest,</w:t>
      </w:r>
      <w:r>
        <w:rPr>
          <w:rFonts w:ascii="Theinhardt Light Italic" w:hAnsi="Theinhardt Light Italic" w:cs="Theinhardt Light Italic" w:eastAsia="Theinhardt Light Italic"/>
          <w:i/>
          <w:sz w:val="14"/>
          <w:szCs w:val="14"/>
        </w:rPr>
        <w:t> </w:t>
      </w:r>
      <w:r>
        <w:rPr>
          <w:rFonts w:ascii="Theinhardt Light Italic" w:hAnsi="Theinhardt Light Italic" w:cs="Theinhardt Light Italic" w:eastAsia="Theinhardt Light Italic"/>
          <w:i/>
          <w:spacing w:val="1"/>
          <w:sz w:val="14"/>
          <w:szCs w:val="14"/>
        </w:rPr>
        <w:t>une</w:t>
      </w:r>
      <w:r>
        <w:rPr>
          <w:rFonts w:ascii="Theinhardt Light Italic" w:hAnsi="Theinhardt Light Italic" w:cs="Theinhardt Light Italic" w:eastAsia="Theinhardt Light Italic"/>
          <w:i/>
          <w:sz w:val="14"/>
          <w:szCs w:val="14"/>
        </w:rPr>
        <w:t> </w:t>
      </w:r>
      <w:r>
        <w:rPr>
          <w:rFonts w:ascii="Theinhardt Light Italic" w:hAnsi="Theinhardt Light Italic" w:cs="Theinhardt Light Italic" w:eastAsia="Theinhardt Light Italic"/>
          <w:i/>
          <w:spacing w:val="2"/>
          <w:sz w:val="14"/>
          <w:szCs w:val="14"/>
        </w:rPr>
        <w:t>«année</w:t>
      </w:r>
      <w:r>
        <w:rPr>
          <w:rFonts w:ascii="Theinhardt Light Italic" w:hAnsi="Theinhardt Light Italic" w:cs="Theinhardt Light Italic" w:eastAsia="Theinhardt Light Italic"/>
          <w:i/>
          <w:sz w:val="14"/>
          <w:szCs w:val="14"/>
        </w:rPr>
        <w:t> </w:t>
      </w:r>
      <w:r>
        <w:rPr>
          <w:rFonts w:ascii="Theinhardt Light Italic" w:hAnsi="Theinhardt Light Italic" w:cs="Theinhardt Light Italic" w:eastAsia="Theinhardt Light Italic"/>
          <w:i/>
          <w:spacing w:val="2"/>
          <w:sz w:val="14"/>
          <w:szCs w:val="14"/>
        </w:rPr>
        <w:t>pluvieuse»</w:t>
      </w:r>
      <w:r>
        <w:rPr>
          <w:rFonts w:ascii="Theinhardt Light Italic" w:hAnsi="Theinhardt Light Italic" w:cs="Theinhardt Light Italic" w:eastAsia="Theinhardt Light Italic"/>
          <w:i/>
          <w:sz w:val="14"/>
          <w:szCs w:val="14"/>
        </w:rPr>
        <w:t> (J.</w:t>
      </w:r>
      <w:r>
        <w:rPr>
          <w:rFonts w:ascii="Theinhardt Light Italic" w:hAnsi="Theinhardt Light Italic" w:cs="Theinhardt Light Italic" w:eastAsia="Theinhardt Light Italic"/>
          <w:i/>
          <w:spacing w:val="30"/>
          <w:sz w:val="14"/>
          <w:szCs w:val="14"/>
        </w:rPr>
        <w:t> </w:t>
      </w:r>
      <w:r>
        <w:rPr>
          <w:rFonts w:ascii="Theinhardt Light Italic" w:hAnsi="Theinhardt Light Italic" w:cs="Theinhardt Light Italic" w:eastAsia="Theinhardt Light Italic"/>
          <w:i/>
          <w:spacing w:val="1"/>
          <w:sz w:val="14"/>
          <w:szCs w:val="14"/>
        </w:rPr>
        <w:t>Remund,</w:t>
      </w:r>
      <w:r>
        <w:rPr>
          <w:rFonts w:ascii="Theinhardt Light Italic" w:hAnsi="Theinhardt Light Italic" w:cs="Theinhardt Light Italic" w:eastAsia="Theinhardt Light Italic"/>
          <w:i/>
          <w:sz w:val="14"/>
          <w:szCs w:val="14"/>
        </w:rPr>
        <w:t> </w:t>
      </w:r>
      <w:r>
        <w:rPr>
          <w:rFonts w:ascii="Theinhardt Light Italic" w:hAnsi="Theinhardt Light Italic" w:cs="Theinhardt Light Italic" w:eastAsia="Theinhardt Light Italic"/>
          <w:i/>
          <w:spacing w:val="-5"/>
          <w:sz w:val="14"/>
          <w:szCs w:val="14"/>
        </w:rPr>
        <w:t>12.7.2016)</w:t>
      </w:r>
      <w:r>
        <w:rPr>
          <w:rFonts w:ascii="Theinhardt Light Italic" w:hAnsi="Theinhardt Light Italic" w:cs="Theinhardt Light Italic" w:eastAsia="Theinhardt Light Italic"/>
          <w:i/>
          <w:sz w:val="14"/>
          <w:szCs w:val="14"/>
        </w:rPr>
        <w:t> </w:t>
      </w:r>
      <w:r>
        <w:rPr>
          <w:rFonts w:ascii="Theinhardt Light Italic" w:hAnsi="Theinhardt Light Italic" w:cs="Theinhardt Light Italic" w:eastAsia="Theinhardt Light Italic"/>
          <w:i/>
          <w:spacing w:val="1"/>
          <w:sz w:val="14"/>
          <w:szCs w:val="14"/>
        </w:rPr>
        <w:t>avec</w:t>
      </w:r>
      <w:r>
        <w:rPr>
          <w:rFonts w:ascii="Theinhardt Light Italic" w:hAnsi="Theinhardt Light Italic" w:cs="Theinhardt Light Italic" w:eastAsia="Theinhardt Light Italic"/>
          <w:i/>
          <w:sz w:val="14"/>
          <w:szCs w:val="14"/>
        </w:rPr>
        <w:t> </w:t>
      </w:r>
      <w:r>
        <w:rPr>
          <w:rFonts w:ascii="Theinhardt Light Italic" w:hAnsi="Theinhardt Light Italic" w:cs="Theinhardt Light Italic" w:eastAsia="Theinhardt Light Italic"/>
          <w:i/>
          <w:spacing w:val="1"/>
          <w:sz w:val="14"/>
          <w:szCs w:val="14"/>
        </w:rPr>
        <w:t>un</w:t>
      </w:r>
      <w:r>
        <w:rPr>
          <w:rFonts w:ascii="Theinhardt Light Italic" w:hAnsi="Theinhardt Light Italic" w:cs="Theinhardt Light Italic" w:eastAsia="Theinhardt Light Italic"/>
          <w:i/>
          <w:sz w:val="14"/>
          <w:szCs w:val="14"/>
        </w:rPr>
        <w:t> </w:t>
      </w:r>
      <w:r>
        <w:rPr>
          <w:rFonts w:ascii="Theinhardt Light Italic" w:hAnsi="Theinhardt Light Italic" w:cs="Theinhardt Light Italic" w:eastAsia="Theinhardt Light Italic"/>
          <w:i/>
          <w:spacing w:val="1"/>
          <w:sz w:val="14"/>
          <w:szCs w:val="14"/>
        </w:rPr>
        <w:t>ensoleillement</w:t>
      </w:r>
      <w:r>
        <w:rPr>
          <w:rFonts w:ascii="Theinhardt Light Italic" w:hAnsi="Theinhardt Light Italic" w:cs="Theinhardt Light Italic" w:eastAsia="Theinhardt Light Italic"/>
          <w:i/>
          <w:sz w:val="14"/>
          <w:szCs w:val="14"/>
        </w:rPr>
        <w:t> </w:t>
      </w:r>
      <w:r>
        <w:rPr>
          <w:rFonts w:ascii="Theinhardt Light Italic" w:hAnsi="Theinhardt Light Italic" w:cs="Theinhardt Light Italic" w:eastAsia="Theinhardt Light Italic"/>
          <w:i/>
          <w:spacing w:val="1"/>
          <w:sz w:val="14"/>
          <w:szCs w:val="14"/>
        </w:rPr>
        <w:t>de</w:t>
      </w:r>
      <w:r>
        <w:rPr>
          <w:rFonts w:ascii="Theinhardt Light Italic" w:hAnsi="Theinhardt Light Italic" w:cs="Theinhardt Light Italic" w:eastAsia="Theinhardt Light Italic"/>
          <w:i/>
          <w:spacing w:val="50"/>
          <w:sz w:val="14"/>
          <w:szCs w:val="14"/>
        </w:rPr>
        <w:t> </w:t>
      </w:r>
      <w:r>
        <w:rPr>
          <w:rFonts w:ascii="Theinhardt Light Italic" w:hAnsi="Theinhardt Light Italic" w:cs="Theinhardt Light Italic" w:eastAsia="Theinhardt Light Italic"/>
          <w:i/>
          <w:spacing w:val="1"/>
          <w:sz w:val="14"/>
          <w:szCs w:val="14"/>
        </w:rPr>
        <w:t>seulement</w:t>
      </w:r>
      <w:r>
        <w:rPr>
          <w:rFonts w:ascii="Theinhardt Light Italic" w:hAnsi="Theinhardt Light Italic" w:cs="Theinhardt Light Italic" w:eastAsia="Theinhardt Light Italic"/>
          <w:i/>
          <w:sz w:val="14"/>
          <w:szCs w:val="14"/>
        </w:rPr>
        <w:t> </w:t>
      </w:r>
      <w:r>
        <w:rPr>
          <w:rFonts w:ascii="Theinhardt Light Italic" w:hAnsi="Theinhardt Light Italic" w:cs="Theinhardt Light Italic" w:eastAsia="Theinhardt Light Italic"/>
          <w:i/>
          <w:spacing w:val="-1"/>
          <w:sz w:val="14"/>
          <w:szCs w:val="14"/>
        </w:rPr>
        <w:t>94%,</w:t>
      </w:r>
      <w:r>
        <w:rPr>
          <w:rFonts w:ascii="Theinhardt Light Italic" w:hAnsi="Theinhardt Light Italic" w:cs="Theinhardt Light Italic" w:eastAsia="Theinhardt Light Italic"/>
          <w:i/>
          <w:sz w:val="14"/>
          <w:szCs w:val="14"/>
        </w:rPr>
        <w:t> </w:t>
      </w:r>
      <w:r>
        <w:rPr>
          <w:rFonts w:ascii="Theinhardt Light Italic" w:hAnsi="Theinhardt Light Italic" w:cs="Theinhardt Light Italic" w:eastAsia="Theinhardt Light Italic"/>
          <w:i/>
          <w:spacing w:val="1"/>
          <w:sz w:val="14"/>
          <w:szCs w:val="14"/>
        </w:rPr>
        <w:t>ce</w:t>
      </w:r>
      <w:r>
        <w:rPr>
          <w:rFonts w:ascii="Theinhardt Light Italic" w:hAnsi="Theinhardt Light Italic" w:cs="Theinhardt Light Italic" w:eastAsia="Theinhardt Light Italic"/>
          <w:i/>
          <w:sz w:val="14"/>
          <w:szCs w:val="14"/>
        </w:rPr>
        <w:t> </w:t>
      </w:r>
      <w:r>
        <w:rPr>
          <w:rFonts w:ascii="Theinhardt Light Italic" w:hAnsi="Theinhardt Light Italic" w:cs="Theinhardt Light Italic" w:eastAsia="Theinhardt Light Italic"/>
          <w:i/>
          <w:spacing w:val="1"/>
          <w:sz w:val="14"/>
          <w:szCs w:val="14"/>
        </w:rPr>
        <w:t>qui</w:t>
      </w:r>
      <w:r>
        <w:rPr>
          <w:rFonts w:ascii="Theinhardt Light Italic" w:hAnsi="Theinhardt Light Italic" w:cs="Theinhardt Light Italic" w:eastAsia="Theinhardt Light Italic"/>
          <w:i/>
          <w:sz w:val="14"/>
          <w:szCs w:val="14"/>
        </w:rPr>
        <w:t> a été </w:t>
      </w:r>
      <w:r>
        <w:rPr>
          <w:rFonts w:ascii="Theinhardt Light Italic" w:hAnsi="Theinhardt Light Italic" w:cs="Theinhardt Light Italic" w:eastAsia="Theinhardt Light Italic"/>
          <w:i/>
          <w:spacing w:val="1"/>
          <w:sz w:val="14"/>
          <w:szCs w:val="14"/>
        </w:rPr>
        <w:t>ici</w:t>
      </w:r>
      <w:r>
        <w:rPr>
          <w:rFonts w:ascii="Theinhardt Light Italic" w:hAnsi="Theinhardt Light Italic" w:cs="Theinhardt Light Italic" w:eastAsia="Theinhardt Light Italic"/>
          <w:i/>
          <w:sz w:val="14"/>
          <w:szCs w:val="14"/>
        </w:rPr>
        <w:t> </w:t>
      </w:r>
      <w:r>
        <w:rPr>
          <w:rFonts w:ascii="Theinhardt Light Italic" w:hAnsi="Theinhardt Light Italic" w:cs="Theinhardt Light Italic" w:eastAsia="Theinhardt Light Italic"/>
          <w:i/>
          <w:spacing w:val="1"/>
          <w:sz w:val="14"/>
          <w:szCs w:val="14"/>
        </w:rPr>
        <w:t>pris</w:t>
      </w:r>
      <w:r>
        <w:rPr>
          <w:rFonts w:ascii="Theinhardt Light Italic" w:hAnsi="Theinhardt Light Italic" w:cs="Theinhardt Light Italic" w:eastAsia="Theinhardt Light Italic"/>
          <w:i/>
          <w:sz w:val="14"/>
          <w:szCs w:val="14"/>
        </w:rPr>
        <w:t> </w:t>
      </w:r>
      <w:r>
        <w:rPr>
          <w:rFonts w:ascii="Theinhardt Light Italic" w:hAnsi="Theinhardt Light Italic" w:cs="Theinhardt Light Italic" w:eastAsia="Theinhardt Light Italic"/>
          <w:i/>
          <w:spacing w:val="1"/>
          <w:sz w:val="14"/>
          <w:szCs w:val="14"/>
        </w:rPr>
        <w:t>en</w:t>
      </w:r>
      <w:r>
        <w:rPr>
          <w:rFonts w:ascii="Theinhardt Light Italic" w:hAnsi="Theinhardt Light Italic" w:cs="Theinhardt Light Italic" w:eastAsia="Theinhardt Light Italic"/>
          <w:i/>
          <w:sz w:val="14"/>
          <w:szCs w:val="14"/>
        </w:rPr>
        <w:t> </w:t>
      </w:r>
      <w:r>
        <w:rPr>
          <w:rFonts w:ascii="Theinhardt Light Italic" w:hAnsi="Theinhardt Light Italic" w:cs="Theinhardt Light Italic" w:eastAsia="Theinhardt Light Italic"/>
          <w:i/>
          <w:spacing w:val="1"/>
          <w:sz w:val="14"/>
          <w:szCs w:val="14"/>
        </w:rPr>
        <w:t>compte.</w:t>
      </w:r>
      <w:r>
        <w:rPr>
          <w:rFonts w:ascii="Theinhardt Light Italic" w:hAnsi="Theinhardt Light Italic" w:cs="Theinhardt Light Italic" w:eastAsia="Theinhardt Light Italic"/>
          <w:sz w:val="14"/>
          <w:szCs w:val="14"/>
        </w:rPr>
      </w:r>
    </w:p>
    <w:p>
      <w:pPr>
        <w:spacing w:line="240" w:lineRule="auto" w:before="11"/>
        <w:rPr>
          <w:rFonts w:ascii="Theinhardt Light Italic" w:hAnsi="Theinhardt Light Italic" w:cs="Theinhardt Light Italic" w:eastAsia="Theinhardt Light Italic"/>
          <w:i/>
          <w:sz w:val="15"/>
          <w:szCs w:val="15"/>
        </w:rPr>
      </w:pPr>
    </w:p>
    <w:p>
      <w:pPr>
        <w:spacing w:before="0"/>
        <w:ind w:left="185" w:right="0" w:firstLine="0"/>
        <w:jc w:val="left"/>
        <w:rPr>
          <w:rFonts w:ascii="Theinhardt Black" w:hAnsi="Theinhardt Black" w:cs="Theinhardt Black" w:eastAsia="Theinhardt Black"/>
          <w:sz w:val="14"/>
          <w:szCs w:val="14"/>
        </w:rPr>
      </w:pPr>
      <w:r>
        <w:rPr>
          <w:rFonts w:ascii="Theinhardt Black" w:hAnsi="Theinhardt Black"/>
          <w:b/>
          <w:spacing w:val="2"/>
          <w:sz w:val="14"/>
        </w:rPr>
        <w:t>Personnes</w:t>
      </w:r>
      <w:r>
        <w:rPr>
          <w:rFonts w:ascii="Theinhardt Black" w:hAnsi="Theinhardt Black"/>
          <w:b/>
          <w:sz w:val="14"/>
        </w:rPr>
        <w:t> </w:t>
      </w:r>
      <w:r>
        <w:rPr>
          <w:rFonts w:ascii="Theinhardt Black" w:hAnsi="Theinhardt Black"/>
          <w:b/>
          <w:spacing w:val="1"/>
          <w:sz w:val="14"/>
        </w:rPr>
        <w:t>impliquées</w:t>
      </w:r>
      <w:r>
        <w:rPr>
          <w:rFonts w:ascii="Theinhardt Black" w:hAnsi="Theinhardt Black"/>
          <w:sz w:val="14"/>
        </w:rPr>
      </w:r>
    </w:p>
    <w:p>
      <w:pPr>
        <w:spacing w:line="240" w:lineRule="auto" w:before="9"/>
        <w:rPr>
          <w:rFonts w:ascii="Theinhardt Black" w:hAnsi="Theinhardt Black" w:cs="Theinhardt Black" w:eastAsia="Theinhardt Black"/>
          <w:b/>
          <w:bCs/>
          <w:sz w:val="2"/>
          <w:szCs w:val="2"/>
        </w:rPr>
      </w:pPr>
    </w:p>
    <w:p>
      <w:pPr>
        <w:spacing w:line="20" w:lineRule="atLeast"/>
        <w:ind w:left="186" w:right="0" w:firstLine="0"/>
        <w:rPr>
          <w:rFonts w:ascii="Theinhardt Black" w:hAnsi="Theinhardt Black" w:cs="Theinhardt Black" w:eastAsia="Theinhardt Black"/>
          <w:sz w:val="2"/>
          <w:szCs w:val="2"/>
        </w:rPr>
      </w:pPr>
      <w:r>
        <w:rPr>
          <w:rFonts w:ascii="Theinhardt Black" w:hAnsi="Theinhardt Black" w:cs="Theinhardt Black" w:eastAsia="Theinhardt Black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00000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00000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000000">
                <v:path arrowok="t"/>
              </v:shape>
            </v:group>
          </v:group>
        </w:pict>
      </w:r>
      <w:r>
        <w:rPr>
          <w:rFonts w:ascii="Theinhardt Black" w:hAnsi="Theinhardt Black" w:cs="Theinhardt Black" w:eastAsia="Theinhardt Black"/>
          <w:sz w:val="2"/>
          <w:szCs w:val="2"/>
        </w:rPr>
      </w:r>
    </w:p>
    <w:p>
      <w:pPr>
        <w:spacing w:line="172" w:lineRule="exact" w:before="20"/>
        <w:ind w:left="185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spacing w:val="1"/>
          <w:sz w:val="14"/>
        </w:rPr>
        <w:t>Adresse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1"/>
          <w:sz w:val="14"/>
        </w:rPr>
        <w:t>de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1"/>
          <w:sz w:val="14"/>
        </w:rPr>
        <w:t>bâtiment:</w:t>
      </w:r>
      <w:r>
        <w:rPr>
          <w:rFonts w:ascii="Theinhardt Bold" w:hAnsi="Theinhardt Bold"/>
          <w:sz w:val="14"/>
        </w:rPr>
      </w:r>
    </w:p>
    <w:p>
      <w:pPr>
        <w:spacing w:line="207" w:lineRule="auto" w:before="6"/>
        <w:ind w:left="185" w:right="393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/>
          <w:spacing w:val="1"/>
          <w:sz w:val="14"/>
        </w:rPr>
        <w:t>Crèche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2"/>
          <w:sz w:val="14"/>
        </w:rPr>
        <w:t>Carfagni-Léman,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De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Châteaubriand</w:t>
      </w:r>
      <w:r>
        <w:rPr>
          <w:rFonts w:ascii="Theinhardt Regular" w:hAnsi="Theinhardt Regular"/>
          <w:sz w:val="14"/>
        </w:rPr>
        <w:t> 2</w:t>
      </w:r>
      <w:r>
        <w:rPr>
          <w:rFonts w:ascii="Theinhardt Regular" w:hAnsi="Theinhardt Regular"/>
          <w:spacing w:val="30"/>
          <w:sz w:val="14"/>
        </w:rPr>
        <w:t> </w:t>
      </w:r>
      <w:r>
        <w:rPr>
          <w:rFonts w:ascii="Theinhardt Regular" w:hAnsi="Theinhardt Regular"/>
          <w:spacing w:val="-2"/>
          <w:sz w:val="14"/>
        </w:rPr>
        <w:t>1202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Genève</w:t>
      </w:r>
      <w:r>
        <w:rPr>
          <w:rFonts w:ascii="Theinhardt Regular" w:hAnsi="Theinhardt Regular"/>
          <w:sz w:val="14"/>
        </w:rPr>
      </w:r>
    </w:p>
    <w:p>
      <w:pPr>
        <w:spacing w:line="172" w:lineRule="exact" w:before="41"/>
        <w:ind w:left="185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spacing w:val="2"/>
          <w:sz w:val="14"/>
          <w:szCs w:val="14"/>
        </w:rPr>
        <w:t>Maître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1"/>
          <w:sz w:val="14"/>
          <w:szCs w:val="14"/>
        </w:rPr>
        <w:t>d’ouvrage: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spacing w:line="207" w:lineRule="auto" w:before="6"/>
        <w:ind w:left="185" w:right="67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/>
          <w:spacing w:val="1"/>
          <w:sz w:val="14"/>
        </w:rPr>
        <w:t>Ville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de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Genève,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Valérie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2"/>
          <w:sz w:val="14"/>
        </w:rPr>
        <w:t>Cerda,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Stand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-1"/>
          <w:sz w:val="14"/>
        </w:rPr>
        <w:t>25</w:t>
      </w:r>
      <w:r>
        <w:rPr>
          <w:rFonts w:ascii="Theinhardt Regular" w:hAnsi="Theinhardt Regular"/>
          <w:spacing w:val="29"/>
          <w:sz w:val="14"/>
        </w:rPr>
        <w:t> </w:t>
      </w:r>
      <w:r>
        <w:rPr>
          <w:rFonts w:ascii="Theinhardt Regular" w:hAnsi="Theinhardt Regular"/>
          <w:spacing w:val="-1"/>
          <w:sz w:val="14"/>
        </w:rPr>
        <w:t>1204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Genève,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-2"/>
          <w:sz w:val="14"/>
        </w:rPr>
        <w:t>Tel.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-1"/>
          <w:sz w:val="14"/>
        </w:rPr>
        <w:t>0041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-1"/>
          <w:sz w:val="14"/>
        </w:rPr>
        <w:t>22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-6"/>
          <w:sz w:val="14"/>
        </w:rPr>
        <w:t>418</w:t>
      </w:r>
      <w:r>
        <w:rPr>
          <w:rFonts w:ascii="Theinhardt Regular" w:hAnsi="Theinhardt Regular"/>
          <w:sz w:val="14"/>
        </w:rPr>
        <w:t> 58 </w:t>
      </w:r>
      <w:r>
        <w:rPr>
          <w:rFonts w:ascii="Theinhardt Regular" w:hAnsi="Theinhardt Regular"/>
          <w:spacing w:val="1"/>
          <w:sz w:val="14"/>
        </w:rPr>
        <w:t>50</w:t>
      </w:r>
    </w:p>
    <w:p>
      <w:pPr>
        <w:spacing w:line="167" w:lineRule="exact" w:before="0"/>
        <w:ind w:left="185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hyperlink r:id="rId16">
        <w:r>
          <w:rPr>
            <w:rFonts w:ascii="Theinhardt Regular"/>
            <w:spacing w:val="1"/>
            <w:sz w:val="14"/>
          </w:rPr>
          <w:t>valerie.cerda@ville-ge.ch</w:t>
        </w:r>
      </w:hyperlink>
    </w:p>
    <w:p>
      <w:pPr>
        <w:spacing w:line="172" w:lineRule="exact" w:before="32"/>
        <w:ind w:left="185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pacing w:val="2"/>
          <w:sz w:val="14"/>
        </w:rPr>
        <w:t>Architectes:</w:t>
      </w:r>
      <w:r>
        <w:rPr>
          <w:rFonts w:ascii="Theinhardt Bold"/>
          <w:sz w:val="14"/>
        </w:rPr>
      </w:r>
    </w:p>
    <w:p>
      <w:pPr>
        <w:spacing w:line="207" w:lineRule="auto" w:before="6"/>
        <w:ind w:left="185" w:right="115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1"/>
          <w:sz w:val="14"/>
        </w:rPr>
        <w:t>MPH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2"/>
          <w:sz w:val="14"/>
        </w:rPr>
        <w:t>Architectes,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Rue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2"/>
          <w:sz w:val="14"/>
        </w:rPr>
        <w:t>Saint-Martin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9,</w:t>
      </w:r>
      <w:r>
        <w:rPr>
          <w:rFonts w:ascii="Theinhardt Regular"/>
          <w:sz w:val="14"/>
        </w:rPr>
        <w:t> 1003 </w:t>
      </w:r>
      <w:r>
        <w:rPr>
          <w:rFonts w:ascii="Theinhardt Regular"/>
          <w:spacing w:val="1"/>
          <w:sz w:val="14"/>
        </w:rPr>
        <w:t>Lausanne</w:t>
      </w:r>
      <w:r>
        <w:rPr>
          <w:rFonts w:ascii="Theinhardt Regular"/>
          <w:spacing w:val="22"/>
          <w:sz w:val="14"/>
        </w:rPr>
        <w:t> </w:t>
      </w:r>
      <w:r>
        <w:rPr>
          <w:rFonts w:ascii="Theinhardt Regular"/>
          <w:spacing w:val="-2"/>
          <w:sz w:val="14"/>
        </w:rPr>
        <w:t>Tel.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021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646</w:t>
      </w:r>
      <w:r>
        <w:rPr>
          <w:rFonts w:ascii="Theinhardt Regular"/>
          <w:sz w:val="14"/>
        </w:rPr>
        <w:t> 33 20</w:t>
      </w:r>
      <w:hyperlink r:id="rId17">
        <w:r>
          <w:rPr>
            <w:rFonts w:ascii="Theinhardt Regular"/>
            <w:sz w:val="14"/>
          </w:rPr>
          <w:t>, </w:t>
        </w:r>
        <w:r>
          <w:rPr>
            <w:rFonts w:ascii="Theinhardt Regular"/>
            <w:spacing w:val="1"/>
            <w:sz w:val="14"/>
          </w:rPr>
          <w:t>info@mpharchitectes.ch</w:t>
        </w:r>
      </w:hyperlink>
    </w:p>
    <w:p>
      <w:pPr>
        <w:spacing w:line="160" w:lineRule="exact" w:before="46"/>
        <w:ind w:left="185" w:right="76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/>
          <w:spacing w:val="1"/>
          <w:sz w:val="14"/>
        </w:rPr>
        <w:t>QUARTAL,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Chemin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de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la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Chevillarde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45</w:t>
      </w:r>
      <w:r>
        <w:rPr>
          <w:rFonts w:ascii="Theinhardt Regular" w:hAnsi="Theinhardt Regular"/>
          <w:spacing w:val="29"/>
          <w:sz w:val="14"/>
        </w:rPr>
        <w:t> </w:t>
      </w:r>
      <w:r>
        <w:rPr>
          <w:rFonts w:ascii="Theinhardt Regular" w:hAnsi="Theinhardt Regular"/>
          <w:spacing w:val="-3"/>
          <w:sz w:val="14"/>
        </w:rPr>
        <w:t>1224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2"/>
          <w:sz w:val="14"/>
        </w:rPr>
        <w:t>Chêne-Bougeries</w:t>
      </w:r>
    </w:p>
    <w:p>
      <w:pPr>
        <w:spacing w:line="177" w:lineRule="exact" w:before="0"/>
        <w:ind w:left="185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-2"/>
          <w:sz w:val="14"/>
        </w:rPr>
        <w:t>Tel.</w:t>
      </w:r>
      <w:r>
        <w:rPr>
          <w:rFonts w:ascii="Theinhardt Regular"/>
          <w:sz w:val="14"/>
        </w:rPr>
        <w:t> 022 307 </w:t>
      </w:r>
      <w:r>
        <w:rPr>
          <w:rFonts w:ascii="Theinhardt Regular"/>
          <w:spacing w:val="1"/>
          <w:sz w:val="14"/>
        </w:rPr>
        <w:t>09</w:t>
      </w:r>
      <w:r>
        <w:rPr>
          <w:rFonts w:ascii="Theinhardt Regular"/>
          <w:sz w:val="14"/>
        </w:rPr>
        <w:t> 40</w:t>
      </w:r>
      <w:hyperlink r:id="rId18">
        <w:r>
          <w:rPr>
            <w:rFonts w:ascii="Theinhardt Regular"/>
            <w:sz w:val="14"/>
          </w:rPr>
          <w:t>, </w:t>
        </w:r>
        <w:r>
          <w:rPr>
            <w:rFonts w:ascii="Theinhardt Regular"/>
            <w:spacing w:val="2"/>
            <w:sz w:val="14"/>
          </w:rPr>
          <w:t>atelier@quartal.ch</w:t>
        </w:r>
      </w:hyperlink>
    </w:p>
    <w:p>
      <w:pPr>
        <w:spacing w:line="172" w:lineRule="exact" w:before="32"/>
        <w:ind w:left="185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spacing w:val="1"/>
          <w:sz w:val="14"/>
        </w:rPr>
        <w:t>Ingénieurs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1"/>
          <w:sz w:val="14"/>
        </w:rPr>
        <w:t>civils:</w:t>
      </w:r>
      <w:r>
        <w:rPr>
          <w:rFonts w:ascii="Theinhardt Bold" w:hAnsi="Theinhardt Bold"/>
          <w:sz w:val="14"/>
        </w:rPr>
      </w:r>
    </w:p>
    <w:p>
      <w:pPr>
        <w:spacing w:line="207" w:lineRule="auto" w:before="6"/>
        <w:ind w:left="185" w:right="36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/>
          <w:spacing w:val="1"/>
          <w:sz w:val="14"/>
        </w:rPr>
        <w:t>AB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Ingénieurs</w:t>
      </w:r>
      <w:r>
        <w:rPr>
          <w:rFonts w:ascii="Theinhardt Regular" w:hAnsi="Theinhardt Regular"/>
          <w:sz w:val="14"/>
        </w:rPr>
        <w:t> SA,31 </w:t>
      </w:r>
      <w:r>
        <w:rPr>
          <w:rFonts w:ascii="Theinhardt Regular" w:hAnsi="Theinhardt Regular"/>
          <w:spacing w:val="1"/>
          <w:sz w:val="14"/>
        </w:rPr>
        <w:t>rue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de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2"/>
          <w:sz w:val="14"/>
        </w:rPr>
        <w:t>Chêne-Bougeries</w:t>
      </w:r>
      <w:r>
        <w:rPr>
          <w:rFonts w:ascii="Theinhardt Regular" w:hAnsi="Theinhardt Regular"/>
          <w:spacing w:val="40"/>
          <w:sz w:val="14"/>
        </w:rPr>
        <w:t> </w:t>
      </w:r>
      <w:r>
        <w:rPr>
          <w:rFonts w:ascii="Theinhardt Regular" w:hAnsi="Theinhardt Regular"/>
          <w:spacing w:val="-3"/>
          <w:sz w:val="14"/>
        </w:rPr>
        <w:t>1224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2"/>
          <w:sz w:val="14"/>
        </w:rPr>
        <w:t>Chêne-Bougeries</w:t>
      </w:r>
    </w:p>
    <w:p>
      <w:pPr>
        <w:spacing w:line="167" w:lineRule="exact" w:before="0"/>
        <w:ind w:left="185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-2"/>
          <w:sz w:val="14"/>
        </w:rPr>
        <w:t>Tel.</w:t>
      </w:r>
      <w:r>
        <w:rPr>
          <w:rFonts w:ascii="Theinhardt Regular"/>
          <w:sz w:val="14"/>
        </w:rPr>
        <w:t> 022 349 </w:t>
      </w:r>
      <w:r>
        <w:rPr>
          <w:rFonts w:ascii="Theinhardt Regular"/>
          <w:spacing w:val="1"/>
          <w:sz w:val="14"/>
        </w:rPr>
        <w:t>80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88</w:t>
      </w:r>
      <w:hyperlink r:id="rId19">
        <w:r>
          <w:rPr>
            <w:rFonts w:ascii="Theinhardt Regular"/>
            <w:spacing w:val="1"/>
            <w:sz w:val="14"/>
          </w:rPr>
          <w:t>,</w:t>
        </w:r>
        <w:r>
          <w:rPr>
            <w:rFonts w:ascii="Theinhardt Regular"/>
            <w:sz w:val="14"/>
          </w:rPr>
          <w:t> </w:t>
        </w:r>
        <w:r>
          <w:rPr>
            <w:rFonts w:ascii="Theinhardt Regular"/>
            <w:spacing w:val="1"/>
            <w:sz w:val="14"/>
          </w:rPr>
          <w:t>info@absa.ch</w:t>
        </w:r>
      </w:hyperlink>
    </w:p>
    <w:p>
      <w:pPr>
        <w:spacing w:line="172" w:lineRule="exact" w:before="32"/>
        <w:ind w:left="185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spacing w:val="1"/>
          <w:sz w:val="14"/>
        </w:rPr>
        <w:t>Ingénieurs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2"/>
          <w:sz w:val="14"/>
        </w:rPr>
        <w:t>électriciens:</w:t>
      </w:r>
      <w:r>
        <w:rPr>
          <w:rFonts w:ascii="Theinhardt Bold" w:hAnsi="Theinhardt Bold"/>
          <w:sz w:val="14"/>
        </w:rPr>
      </w:r>
    </w:p>
    <w:p>
      <w:pPr>
        <w:spacing w:line="207" w:lineRule="auto" w:before="6"/>
        <w:ind w:left="185" w:right="115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/>
          <w:spacing w:val="2"/>
          <w:sz w:val="14"/>
        </w:rPr>
        <w:t>PSA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Perrin,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Spaeth</w:t>
      </w:r>
      <w:r>
        <w:rPr>
          <w:rFonts w:ascii="Theinhardt Regular" w:hAnsi="Theinhardt Regular"/>
          <w:sz w:val="14"/>
        </w:rPr>
        <w:t> &amp; </w:t>
      </w:r>
      <w:r>
        <w:rPr>
          <w:rFonts w:ascii="Theinhardt Regular" w:hAnsi="Theinhardt Regular"/>
          <w:spacing w:val="2"/>
          <w:sz w:val="14"/>
        </w:rPr>
        <w:t>Associés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2"/>
          <w:sz w:val="14"/>
        </w:rPr>
        <w:t>SA,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-1"/>
          <w:sz w:val="14"/>
        </w:rPr>
        <w:t>Av.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de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Longemalle</w:t>
      </w:r>
      <w:r>
        <w:rPr>
          <w:rFonts w:ascii="Theinhardt Regular" w:hAnsi="Theinhardt Regular"/>
          <w:spacing w:val="40"/>
          <w:sz w:val="14"/>
        </w:rPr>
        <w:t> </w:t>
      </w:r>
      <w:r>
        <w:rPr>
          <w:rFonts w:ascii="Theinhardt Regular" w:hAnsi="Theinhardt Regular"/>
          <w:spacing w:val="2"/>
          <w:sz w:val="14"/>
        </w:rPr>
        <w:t>Case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2"/>
          <w:sz w:val="14"/>
        </w:rPr>
        <w:t>postale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-3"/>
          <w:sz w:val="14"/>
        </w:rPr>
        <w:t>213,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-1"/>
          <w:sz w:val="14"/>
        </w:rPr>
        <w:t>1020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Renens</w:t>
      </w:r>
      <w:r>
        <w:rPr>
          <w:rFonts w:ascii="Theinhardt Regular" w:hAnsi="Theinhardt Regular"/>
          <w:sz w:val="14"/>
        </w:rPr>
        <w:t> 1</w:t>
      </w:r>
    </w:p>
    <w:p>
      <w:pPr>
        <w:spacing w:line="167" w:lineRule="exact" w:before="0"/>
        <w:ind w:left="185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-2"/>
          <w:sz w:val="14"/>
        </w:rPr>
        <w:t>Tel.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021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2"/>
          <w:sz w:val="14"/>
        </w:rPr>
        <w:t>621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92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92</w:t>
      </w:r>
    </w:p>
    <w:p>
      <w:pPr>
        <w:spacing w:line="172" w:lineRule="exact" w:before="32"/>
        <w:ind w:left="185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spacing w:val="1"/>
          <w:sz w:val="14"/>
        </w:rPr>
        <w:t>Ingénieurs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1"/>
          <w:sz w:val="14"/>
        </w:rPr>
        <w:t>en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2"/>
          <w:sz w:val="14"/>
        </w:rPr>
        <w:t>chauffage-ventilation:</w:t>
      </w:r>
      <w:r>
        <w:rPr>
          <w:rFonts w:ascii="Theinhardt Bold" w:hAnsi="Theinhardt Bold"/>
          <w:sz w:val="14"/>
        </w:rPr>
      </w:r>
    </w:p>
    <w:p>
      <w:pPr>
        <w:spacing w:line="160" w:lineRule="exact" w:before="0"/>
        <w:ind w:left="185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/>
          <w:spacing w:val="2"/>
          <w:sz w:val="14"/>
        </w:rPr>
        <w:t>Amstein</w:t>
      </w:r>
      <w:r>
        <w:rPr>
          <w:rFonts w:ascii="Theinhardt Regular" w:hAnsi="Theinhardt Regular"/>
          <w:sz w:val="14"/>
        </w:rPr>
        <w:t> + </w:t>
      </w:r>
      <w:r>
        <w:rPr>
          <w:rFonts w:ascii="Theinhardt Regular" w:hAnsi="Theinhardt Regular"/>
          <w:spacing w:val="2"/>
          <w:sz w:val="14"/>
        </w:rPr>
        <w:t>Walthert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Genève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SA</w:t>
      </w:r>
    </w:p>
    <w:p>
      <w:pPr>
        <w:spacing w:line="160" w:lineRule="exact" w:before="0"/>
        <w:ind w:left="185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/>
          <w:spacing w:val="1"/>
          <w:sz w:val="14"/>
        </w:rPr>
        <w:t>Rue</w:t>
      </w:r>
      <w:r>
        <w:rPr>
          <w:rFonts w:ascii="Theinhardt Regular" w:hAnsi="Theinhardt Regular"/>
          <w:sz w:val="14"/>
        </w:rPr>
        <w:t> du </w:t>
      </w:r>
      <w:r>
        <w:rPr>
          <w:rFonts w:ascii="Theinhardt Regular" w:hAnsi="Theinhardt Regular"/>
          <w:spacing w:val="2"/>
          <w:sz w:val="14"/>
        </w:rPr>
        <w:t>Grand-Pré</w:t>
      </w:r>
      <w:r>
        <w:rPr>
          <w:rFonts w:ascii="Theinhardt Regular" w:hAnsi="Theinhardt Regular"/>
          <w:sz w:val="14"/>
        </w:rPr>
        <w:t> 54, </w:t>
      </w:r>
      <w:r>
        <w:rPr>
          <w:rFonts w:ascii="Theinhardt Regular" w:hAnsi="Theinhardt Regular"/>
          <w:spacing w:val="-2"/>
          <w:sz w:val="14"/>
        </w:rPr>
        <w:t>1202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Genève</w:t>
      </w:r>
    </w:p>
    <w:p>
      <w:pPr>
        <w:spacing w:line="172" w:lineRule="exact" w:before="0"/>
        <w:ind w:left="185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-2"/>
          <w:sz w:val="14"/>
        </w:rPr>
        <w:t>Tel.</w:t>
      </w:r>
      <w:r>
        <w:rPr>
          <w:rFonts w:ascii="Theinhardt Regular"/>
          <w:sz w:val="14"/>
        </w:rPr>
        <w:t> 022 </w:t>
      </w:r>
      <w:r>
        <w:rPr>
          <w:rFonts w:ascii="Theinhardt Regular"/>
          <w:spacing w:val="-3"/>
          <w:sz w:val="14"/>
        </w:rPr>
        <w:t>749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83</w:t>
      </w:r>
      <w:r>
        <w:rPr>
          <w:rFonts w:ascii="Theinhardt Regular"/>
          <w:sz w:val="14"/>
        </w:rPr>
        <w:t> 80</w:t>
      </w:r>
      <w:hyperlink r:id="rId20">
        <w:r>
          <w:rPr>
            <w:rFonts w:ascii="Theinhardt Regular"/>
            <w:sz w:val="14"/>
          </w:rPr>
          <w:t>, </w:t>
        </w:r>
        <w:r>
          <w:rPr>
            <w:rFonts w:ascii="Theinhardt Regular"/>
            <w:spacing w:val="2"/>
            <w:sz w:val="14"/>
          </w:rPr>
          <w:t>infoge@amstein-walthert.ch</w:t>
        </w:r>
      </w:hyperlink>
    </w:p>
    <w:p>
      <w:pPr>
        <w:spacing w:line="172" w:lineRule="exact" w:before="32"/>
        <w:ind w:left="185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spacing w:val="1"/>
          <w:sz w:val="14"/>
        </w:rPr>
        <w:t>Ingénieurs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1"/>
          <w:sz w:val="14"/>
        </w:rPr>
        <w:t>sanitaire:</w:t>
      </w:r>
      <w:r>
        <w:rPr>
          <w:rFonts w:ascii="Theinhardt Bold" w:hAnsi="Theinhardt Bold"/>
          <w:sz w:val="14"/>
        </w:rPr>
      </w:r>
    </w:p>
    <w:p>
      <w:pPr>
        <w:spacing w:line="207" w:lineRule="auto" w:before="6"/>
        <w:ind w:left="185" w:right="139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/>
          <w:spacing w:val="1"/>
          <w:sz w:val="14"/>
        </w:rPr>
        <w:t>Zanini-Baechli</w:t>
      </w:r>
      <w:r>
        <w:rPr>
          <w:rFonts w:ascii="Theinhardt Regular" w:hAnsi="Theinhardt Regular"/>
          <w:sz w:val="14"/>
        </w:rPr>
        <w:t> &amp; </w:t>
      </w:r>
      <w:r>
        <w:rPr>
          <w:rFonts w:ascii="Theinhardt Regular" w:hAnsi="Theinhardt Regular"/>
          <w:spacing w:val="2"/>
          <w:sz w:val="14"/>
        </w:rPr>
        <w:t>Associés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2"/>
          <w:sz w:val="14"/>
        </w:rPr>
        <w:t>SA,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Avenue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2"/>
          <w:sz w:val="14"/>
        </w:rPr>
        <w:t>Ernest-Pictet</w:t>
      </w:r>
      <w:r>
        <w:rPr>
          <w:rFonts w:ascii="Theinhardt Regular" w:hAnsi="Theinhardt Regular"/>
          <w:spacing w:val="50"/>
          <w:sz w:val="14"/>
        </w:rPr>
        <w:t> </w:t>
      </w:r>
      <w:r>
        <w:rPr>
          <w:rFonts w:ascii="Theinhardt Regular" w:hAnsi="Theinhardt Regular"/>
          <w:sz w:val="14"/>
        </w:rPr>
        <w:t>36, </w:t>
      </w:r>
      <w:r>
        <w:rPr>
          <w:rFonts w:ascii="Theinhardt Regular" w:hAnsi="Theinhardt Regular"/>
          <w:spacing w:val="-2"/>
          <w:sz w:val="14"/>
        </w:rPr>
        <w:t>1203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Genève</w:t>
      </w:r>
    </w:p>
    <w:p>
      <w:pPr>
        <w:spacing w:line="167" w:lineRule="exact" w:before="0"/>
        <w:ind w:left="185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-2"/>
          <w:sz w:val="14"/>
        </w:rPr>
        <w:t>Tel.</w:t>
      </w:r>
      <w:r>
        <w:rPr>
          <w:rFonts w:ascii="Theinhardt Regular"/>
          <w:sz w:val="14"/>
        </w:rPr>
        <w:t> 022 </w:t>
      </w:r>
      <w:r>
        <w:rPr>
          <w:rFonts w:ascii="Theinhardt Regular"/>
          <w:spacing w:val="1"/>
          <w:sz w:val="14"/>
        </w:rPr>
        <w:t>344</w:t>
      </w:r>
      <w:r>
        <w:rPr>
          <w:rFonts w:ascii="Theinhardt Regular"/>
          <w:sz w:val="14"/>
        </w:rPr>
        <w:t> 89 40</w:t>
      </w:r>
      <w:hyperlink r:id="rId21">
        <w:r>
          <w:rPr>
            <w:rFonts w:ascii="Theinhardt Regular"/>
            <w:sz w:val="14"/>
          </w:rPr>
          <w:t>, </w:t>
        </w:r>
        <w:r>
          <w:rPr>
            <w:rFonts w:ascii="Theinhardt Regular"/>
            <w:spacing w:val="1"/>
            <w:sz w:val="14"/>
          </w:rPr>
          <w:t>secretariat@zanini-baechli.ch</w:t>
        </w:r>
      </w:hyperlink>
    </w:p>
    <w:p>
      <w:pPr>
        <w:spacing w:after="0" w:line="167" w:lineRule="exact"/>
        <w:jc w:val="left"/>
        <w:rPr>
          <w:rFonts w:ascii="Theinhardt Regular" w:hAnsi="Theinhardt Regular" w:cs="Theinhardt Regular" w:eastAsia="Theinhardt Regular"/>
          <w:sz w:val="14"/>
          <w:szCs w:val="14"/>
        </w:rPr>
        <w:sectPr>
          <w:type w:val="continuous"/>
          <w:pgSz w:w="11910" w:h="16840"/>
          <w:pgMar w:top="860" w:bottom="280" w:left="340" w:right="740"/>
          <w:cols w:num="3" w:equalWidth="0">
            <w:col w:w="3583" w:space="40"/>
            <w:col w:w="3522" w:space="40"/>
            <w:col w:w="3645"/>
          </w:cols>
        </w:sectPr>
      </w:pPr>
    </w:p>
    <w:p>
      <w:pPr>
        <w:spacing w:line="240" w:lineRule="auto" w:before="9"/>
        <w:rPr>
          <w:rFonts w:ascii="Theinhardt Regular" w:hAnsi="Theinhardt Regular" w:cs="Theinhardt Regular" w:eastAsia="Theinhardt Regular"/>
          <w:sz w:val="2"/>
          <w:szCs w:val="2"/>
        </w:rPr>
      </w:pPr>
    </w:p>
    <w:p>
      <w:pPr>
        <w:spacing w:line="20" w:lineRule="atLeast"/>
        <w:ind w:left="7370" w:right="0" w:firstLine="0"/>
        <w:rPr>
          <w:rFonts w:ascii="Theinhardt Regular" w:hAnsi="Theinhardt Regular" w:cs="Theinhardt Regular" w:eastAsia="Theinhardt Regular"/>
          <w:sz w:val="2"/>
          <w:szCs w:val="2"/>
        </w:rPr>
      </w:pPr>
      <w:r>
        <w:rPr>
          <w:rFonts w:ascii="Theinhardt Regular" w:hAnsi="Theinhardt Regular" w:cs="Theinhardt Regular" w:eastAsia="Theinhardt Regular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00000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00000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000000">
                <v:path arrowok="t"/>
              </v:shape>
            </v:group>
          </v:group>
        </w:pict>
      </w:r>
      <w:r>
        <w:rPr>
          <w:rFonts w:ascii="Theinhardt Regular" w:hAnsi="Theinhardt Regular" w:cs="Theinhardt Regular" w:eastAsia="Theinhardt Regular"/>
          <w:sz w:val="2"/>
          <w:szCs w:val="2"/>
        </w:rPr>
      </w: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20"/>
          <w:szCs w:val="20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20"/>
          <w:szCs w:val="20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20"/>
          <w:szCs w:val="20"/>
        </w:rPr>
      </w:pPr>
    </w:p>
    <w:p>
      <w:pPr>
        <w:spacing w:line="240" w:lineRule="auto" w:before="4"/>
        <w:rPr>
          <w:rFonts w:ascii="Theinhardt Regular" w:hAnsi="Theinhardt Regular" w:cs="Theinhardt Regular" w:eastAsia="Theinhardt Regular"/>
          <w:sz w:val="26"/>
          <w:szCs w:val="26"/>
        </w:rPr>
      </w:pPr>
    </w:p>
    <w:p>
      <w:pPr>
        <w:spacing w:before="70"/>
        <w:ind w:left="22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Heavy"/>
          <w:b/>
          <w:sz w:val="14"/>
        </w:rPr>
        <w:t>34    </w:t>
      </w:r>
      <w:r>
        <w:rPr>
          <w:rFonts w:ascii="Theinhardt Heavy"/>
          <w:b/>
          <w:spacing w:val="7"/>
          <w:sz w:val="14"/>
        </w:rPr>
        <w:t> </w:t>
      </w:r>
      <w:r>
        <w:rPr>
          <w:rFonts w:ascii="Theinhardt Regular"/>
          <w:sz w:val="14"/>
        </w:rPr>
        <w:t>|   </w:t>
      </w:r>
      <w:r>
        <w:rPr>
          <w:rFonts w:ascii="Theinhardt Regular"/>
          <w:spacing w:val="14"/>
          <w:sz w:val="14"/>
        </w:rPr>
        <w:t> </w:t>
      </w:r>
      <w:r>
        <w:rPr>
          <w:rFonts w:ascii="Theinhardt Regular"/>
          <w:spacing w:val="-1"/>
          <w:sz w:val="14"/>
        </w:rPr>
        <w:t>Schweizer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Solarpreis</w:t>
      </w:r>
      <w:r>
        <w:rPr>
          <w:rFonts w:ascii="Theinhardt Regular"/>
          <w:sz w:val="14"/>
        </w:rPr>
        <w:t> 2016   </w:t>
      </w:r>
      <w:r>
        <w:rPr>
          <w:rFonts w:ascii="Theinhardt Regular"/>
          <w:spacing w:val="14"/>
          <w:sz w:val="14"/>
        </w:rPr>
        <w:t> </w:t>
      </w:r>
      <w:r>
        <w:rPr>
          <w:rFonts w:ascii="Theinhardt Regular"/>
          <w:sz w:val="14"/>
        </w:rPr>
        <w:t>|   </w:t>
      </w:r>
      <w:r>
        <w:rPr>
          <w:rFonts w:ascii="Theinhardt Regular"/>
          <w:spacing w:val="14"/>
          <w:sz w:val="14"/>
        </w:rPr>
        <w:t> </w:t>
      </w:r>
      <w:r>
        <w:rPr>
          <w:rFonts w:ascii="Theinhardt Regular"/>
          <w:spacing w:val="-1"/>
          <w:sz w:val="14"/>
        </w:rPr>
        <w:t>Prix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Solaire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Suisse</w:t>
      </w:r>
      <w:r>
        <w:rPr>
          <w:rFonts w:ascii="Theinhardt Regular"/>
          <w:sz w:val="14"/>
        </w:rPr>
        <w:t> 2016</w:t>
      </w:r>
    </w:p>
    <w:sectPr>
      <w:type w:val="continuous"/>
      <w:pgSz w:w="11910" w:h="16840"/>
      <w:pgMar w:top="860" w:bottom="280" w:left="340" w:right="7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heinhardt Light Italic">
    <w:altName w:val="Theinhardt Light Italic"/>
    <w:charset w:val="0"/>
    <w:family w:val="swiss"/>
    <w:pitch w:val="variable"/>
  </w:font>
  <w:font w:name="Theinhardt Regular Italic">
    <w:altName w:val="Theinhardt Regular Italic"/>
    <w:charset w:val="0"/>
    <w:family w:val="swiss"/>
    <w:pitch w:val="variable"/>
  </w:font>
  <w:font w:name="Theinhardt Heavy">
    <w:altName w:val="Theinhardt Heavy"/>
    <w:charset w:val="0"/>
    <w:family w:val="swiss"/>
    <w:pitch w:val="variable"/>
  </w:font>
  <w:font w:name="Theinhardt Regular">
    <w:altName w:val="Theinhardt Regular"/>
    <w:charset w:val="0"/>
    <w:family w:val="swiss"/>
    <w:pitch w:val="variable"/>
  </w:font>
  <w:font w:name="Theinhardt Bold">
    <w:altName w:val="Theinhardt Bold"/>
    <w:charset w:val="0"/>
    <w:family w:val="swiss"/>
    <w:pitch w:val="variable"/>
  </w:font>
  <w:font w:name="Theinhardt Bold Italic">
    <w:altName w:val="Theinhardt Bold Italic"/>
    <w:charset w:val="0"/>
    <w:family w:val="swiss"/>
    <w:pitch w:val="variable"/>
  </w:font>
  <w:font w:name="Theinhardt Black">
    <w:altName w:val="Theinhardt Black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%1"/>
      <w:lvlJc w:val="left"/>
      <w:pPr>
        <w:ind w:left="337" w:hanging="227"/>
        <w:jc w:val="left"/>
      </w:pPr>
      <w:rPr>
        <w:rFonts w:hint="default" w:ascii="Theinhardt Bold" w:hAnsi="Theinhardt Bold" w:eastAsia="Theinhardt Bold"/>
        <w:b/>
        <w:bCs/>
        <w:sz w:val="14"/>
        <w:szCs w:val="14"/>
      </w:rPr>
    </w:lvl>
    <w:lvl w:ilvl="1">
      <w:start w:val="1"/>
      <w:numFmt w:val="bullet"/>
      <w:lvlText w:val="•"/>
      <w:lvlJc w:val="left"/>
      <w:pPr>
        <w:ind w:left="560" w:hanging="227"/>
      </w:pPr>
      <w:rPr>
        <w:rFonts w:hint="default"/>
      </w:rPr>
    </w:lvl>
    <w:lvl w:ilvl="2">
      <w:start w:val="1"/>
      <w:numFmt w:val="bullet"/>
      <w:lvlText w:val="•"/>
      <w:lvlJc w:val="left"/>
      <w:pPr>
        <w:ind w:left="865" w:hanging="22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170" w:hanging="22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475" w:hanging="22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780" w:hanging="22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2086" w:hanging="22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391" w:hanging="22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696" w:hanging="227"/>
      </w:pPr>
      <w:rPr>
        <w:rFonts w:hint="default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298" w:hanging="192"/>
        <w:jc w:val="right"/>
      </w:pPr>
      <w:rPr>
        <w:rFonts w:hint="default" w:ascii="Theinhardt Regular" w:hAnsi="Theinhardt Regular" w:eastAsia="Theinhardt Regular"/>
        <w:sz w:val="18"/>
        <w:szCs w:val="18"/>
      </w:rPr>
    </w:lvl>
    <w:lvl w:ilvl="1">
      <w:start w:val="1"/>
      <w:numFmt w:val="bullet"/>
      <w:lvlText w:val="•"/>
      <w:lvlJc w:val="left"/>
      <w:pPr>
        <w:ind w:left="523" w:hanging="192"/>
      </w:pPr>
      <w:rPr>
        <w:rFonts w:hint="default"/>
      </w:rPr>
    </w:lvl>
    <w:lvl w:ilvl="2">
      <w:start w:val="1"/>
      <w:numFmt w:val="bullet"/>
      <w:lvlText w:val="•"/>
      <w:lvlJc w:val="left"/>
      <w:pPr>
        <w:ind w:left="748" w:hanging="19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972" w:hanging="19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197" w:hanging="19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422" w:hanging="19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647" w:hanging="19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1871" w:hanging="19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096" w:hanging="192"/>
      </w:pPr>
      <w:rPr>
        <w:rFonts w:hint="default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106" w:firstLine="226"/>
    </w:pPr>
    <w:rPr>
      <w:rFonts w:ascii="Theinhardt Regular Italic" w:hAnsi="Theinhardt Regular Italic" w:eastAsia="Theinhardt Regular Italic"/>
      <w:i/>
      <w:sz w:val="18"/>
      <w:szCs w:val="18"/>
    </w:rPr>
  </w:style>
  <w:style w:styleId="Heading1" w:type="paragraph">
    <w:name w:val="Heading 1"/>
    <w:basedOn w:val="Normal"/>
    <w:uiPriority w:val="1"/>
    <w:qFormat/>
    <w:pPr>
      <w:spacing w:before="5"/>
      <w:ind w:left="106"/>
      <w:outlineLvl w:val="1"/>
    </w:pPr>
    <w:rPr>
      <w:rFonts w:ascii="Theinhardt Black" w:hAnsi="Theinhardt Black" w:eastAsia="Theinhardt Black"/>
      <w:b/>
      <w:bCs/>
      <w:sz w:val="40"/>
      <w:szCs w:val="40"/>
    </w:rPr>
  </w:style>
  <w:style w:styleId="Heading2" w:type="paragraph">
    <w:name w:val="Heading 2"/>
    <w:basedOn w:val="Normal"/>
    <w:uiPriority w:val="1"/>
    <w:qFormat/>
    <w:pPr>
      <w:spacing w:before="32"/>
      <w:ind w:left="106"/>
      <w:outlineLvl w:val="2"/>
    </w:pPr>
    <w:rPr>
      <w:rFonts w:ascii="Theinhardt Bold" w:hAnsi="Theinhardt Bold" w:eastAsia="Theinhardt Bold"/>
      <w:b/>
      <w:bCs/>
      <w:sz w:val="18"/>
      <w:szCs w:val="18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mailto:info@abz.ch" TargetMode="External"/><Relationship Id="rId7" Type="http://schemas.openxmlformats.org/officeDocument/2006/relationships/hyperlink" Target="mailto:info@raumfindung.ch" TargetMode="External"/><Relationship Id="rId8" Type="http://schemas.openxmlformats.org/officeDocument/2006/relationships/hyperlink" Target="mailto:info@suntechnics.ch" TargetMode="External"/><Relationship Id="rId9" Type="http://schemas.openxmlformats.org/officeDocument/2006/relationships/hyperlink" Target="mailto:info@wschmidag.ch" TargetMode="External"/><Relationship Id="rId10" Type="http://schemas.openxmlformats.org/officeDocument/2006/relationships/hyperlink" Target="mailto:siedentopf@gmx.ch" TargetMode="External"/><Relationship Id="rId11" Type="http://schemas.openxmlformats.org/officeDocument/2006/relationships/image" Target="media/image2.jpeg"/><Relationship Id="rId12" Type="http://schemas.openxmlformats.org/officeDocument/2006/relationships/image" Target="media/image3.jpeg"/><Relationship Id="rId13" Type="http://schemas.openxmlformats.org/officeDocument/2006/relationships/image" Target="media/image4.jpeg"/><Relationship Id="rId14" Type="http://schemas.openxmlformats.org/officeDocument/2006/relationships/image" Target="media/image5.jpeg"/><Relationship Id="rId15" Type="http://schemas.openxmlformats.org/officeDocument/2006/relationships/image" Target="media/image6.png"/><Relationship Id="rId16" Type="http://schemas.openxmlformats.org/officeDocument/2006/relationships/hyperlink" Target="mailto:valerie.cerda@ville-ge.ch" TargetMode="External"/><Relationship Id="rId17" Type="http://schemas.openxmlformats.org/officeDocument/2006/relationships/hyperlink" Target="mailto:info@mpharchitectes.ch" TargetMode="External"/><Relationship Id="rId18" Type="http://schemas.openxmlformats.org/officeDocument/2006/relationships/hyperlink" Target="mailto:atelier@quartal.ch" TargetMode="External"/><Relationship Id="rId19" Type="http://schemas.openxmlformats.org/officeDocument/2006/relationships/hyperlink" Target="mailto:info@absa.ch" TargetMode="External"/><Relationship Id="rId20" Type="http://schemas.openxmlformats.org/officeDocument/2006/relationships/hyperlink" Target="mailto:infoge@amstein-walthert.ch" TargetMode="External"/><Relationship Id="rId21" Type="http://schemas.openxmlformats.org/officeDocument/2006/relationships/hyperlink" Target="mailto:secretariat@zanini-baechli.ch" TargetMode="External"/><Relationship Id="rId22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2016-09-21T10:26:10Z</dcterms:created>
  <dcterms:modified xsi:type="dcterms:W3CDTF">2016-09-21T10:26:10Z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2016-09-21T00:00:00Z</vt:filetime>
  </property>
  <property fmtid="{D5CDD505-2E9C-101B-9397-08002B2CF9AE}" pid="3" name="LastSaved">
    <vt:filetime>2016-09-21T00:00:00Z</vt:filetime>
  </property>
</Properties>
</file>