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6" w:val="left" w:leader="none"/>
        </w:tabs>
        <w:spacing w:line="230" w:lineRule="exact" w:before="32"/>
        <w:ind w:left="10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847289pt;width:.1pt;height:.1pt;mso-position-horizontal-relative:page;mso-position-vertical-relative:paragraph;z-index:-3904" coordorigin="571,277" coordsize="2,2">
            <v:shape style="position:absolute;left:571;top:277;width:2;height:2" coordorigin="571,277" coordsize="0,0" path="m571,277l571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847289pt;width:.1pt;height:.1pt;mso-position-horizontal-relative:page;mso-position-vertical-relative:paragraph;z-index:1120" coordorigin="3015,277" coordsize="2,2">
            <v:shape style="position:absolute;left:3015;top:277;width:2;height:2" coordorigin="3015,277" coordsize="0,0" path="m3015,277l301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34729pt;width:.1pt;height:.1pt;mso-position-horizontal-relative:page;mso-position-vertical-relative:paragraph;z-index:-3856" coordorigin="571,507" coordsize="2,2">
            <v:shape style="position:absolute;left:571;top:507;width:2;height:2" coordorigin="571,507" coordsize="0,0" path="m571,507l571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34729pt;width:.1pt;height:.1pt;mso-position-horizontal-relative:page;mso-position-vertical-relative:paragraph;z-index:1168" coordorigin="3015,507" coordsize="2,2">
            <v:shape style="position:absolute;left:3015;top:507;width:2;height:2" coordorigin="3015,507" coordsize="0,0" path="m3015,507l3015,507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"/>
          <w:sz w:val="18"/>
          <w:u w:val="dotted" w:color="000000"/>
        </w:rPr>
        <w:t>Catégorie</w:t>
      </w:r>
      <w:r>
        <w:rPr>
          <w:rFonts w:ascii="Theinhardt Black" w:hAnsi="Theinhardt Black"/>
          <w:b/>
          <w:sz w:val="18"/>
          <w:u w:val="dotted" w:color="000000"/>
        </w:rPr>
        <w:t>         </w:t>
      </w:r>
      <w:r>
        <w:rPr>
          <w:rFonts w:ascii="Theinhardt Black" w:hAnsi="Theinhardt Black"/>
          <w:b/>
          <w:spacing w:val="25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A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1"/>
          <w:sz w:val="18"/>
        </w:rPr>
        <w:t> </w:t>
      </w:r>
      <w:r>
        <w:rPr>
          <w:rFonts w:ascii="Theinhardt Black" w:hAnsi="Theinhardt Black"/>
          <w:b/>
          <w:spacing w:val="2"/>
          <w:sz w:val="18"/>
          <w:u w:val="dotted" w:color="000000"/>
        </w:rPr>
        <w:t>Institutions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Prix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Solaire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Suisse-</w:t>
      </w:r>
    </w:p>
    <w:p>
      <w:pPr>
        <w:pStyle w:val="BodyText"/>
        <w:spacing w:line="240" w:lineRule="auto" w:before="9"/>
        <w:ind w:right="0"/>
        <w:jc w:val="both"/>
      </w:pPr>
      <w:r>
        <w:rPr>
          <w:spacing w:val="-1"/>
        </w:rPr>
        <w:t>Diplôme</w:t>
      </w:r>
      <w:r>
        <w:rPr/>
        <w:t> 2016</w:t>
      </w:r>
    </w:p>
    <w:p>
      <w:pPr>
        <w:spacing w:line="230" w:lineRule="exact" w:before="32"/>
        <w:ind w:left="106" w:right="107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Près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1,5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milliard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personnes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n’ont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pas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accès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l’électricité.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foyers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concernés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sont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tri-</w:t>
      </w:r>
      <w:r>
        <w:rPr>
          <w:rFonts w:ascii="Theinhardt Bold" w:hAnsi="Theinhardt Bold" w:cs="Theinhardt Bold" w:eastAsia="Theinhardt Bold"/>
          <w:b/>
          <w:bCs/>
          <w:spacing w:val="4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butaires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solutions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d’éclairage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inefficaces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ou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coûteuses.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Cela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affecte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secteurs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clés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5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vie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comme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travail, l’éducation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contacts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sociaux.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l’importance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croissance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télé-</w:t>
      </w:r>
      <w:r>
        <w:rPr>
          <w:rFonts w:ascii="Theinhardt Bold" w:hAnsi="Theinhardt Bold" w:cs="Theinhardt Bold" w:eastAsia="Theinhardt Bold"/>
          <w:b/>
          <w:bCs/>
          <w:spacing w:val="8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phonie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mobile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est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facteur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discrimination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supplémentaire.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collaboration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avec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ingé-</w:t>
      </w:r>
      <w:r>
        <w:rPr>
          <w:rFonts w:ascii="Theinhardt Bold" w:hAnsi="Theinhardt Bold" w:cs="Theinhardt Bold" w:eastAsia="Theinhardt Bold"/>
          <w:b/>
          <w:bCs/>
          <w:spacing w:val="6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nieurs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électricité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Haute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École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spécialisée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bernoise,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Fondation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Antenna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Technologies</w:t>
      </w:r>
      <w:r>
        <w:rPr>
          <w:rFonts w:ascii="Theinhardt Bold" w:hAnsi="Theinhardt Bold" w:cs="Theinhardt Bold" w:eastAsia="Theinhardt Bold"/>
          <w:b/>
          <w:bCs/>
          <w:spacing w:val="8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conçu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solution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durable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économique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pour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remplacer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sources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d’éclairage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classiques</w:t>
      </w:r>
      <w:r>
        <w:rPr>
          <w:rFonts w:ascii="Theinhardt Bold" w:hAnsi="Theinhardt Bold" w:cs="Theinhardt Bold" w:eastAsia="Theinhardt Bold"/>
          <w:b/>
          <w:bCs/>
          <w:spacing w:val="3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comme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lampes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à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pétrole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bougies: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s’appuyant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sur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cellules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solaires,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batterie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</w:t>
      </w:r>
      <w:r>
        <w:rPr>
          <w:rFonts w:ascii="Theinhardt Bold" w:hAnsi="Theinhardt Bold" w:cs="Theinhardt Bold" w:eastAsia="Theinhardt Bold"/>
          <w:b/>
          <w:bCs/>
          <w:spacing w:val="4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technologie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LED,</w:t>
      </w:r>
      <w:r>
        <w:rPr>
          <w:rFonts w:ascii="Theinhardt Bold" w:hAnsi="Theinhardt Bold" w:cs="Theinhardt Bold" w:eastAsia="Theinhardt Bold"/>
          <w:b/>
          <w:bCs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système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OOLUX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emmagasine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l’énergie,</w:t>
      </w:r>
      <w:r>
        <w:rPr>
          <w:rFonts w:ascii="Theinhardt Bold" w:hAnsi="Theinhardt Bold" w:cs="Theinhardt Bold" w:eastAsia="Theinhardt Bold"/>
          <w:b/>
          <w:bCs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recharge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appareils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mobiles</w:t>
      </w:r>
      <w:r>
        <w:rPr>
          <w:rFonts w:ascii="Theinhardt Bold" w:hAnsi="Theinhardt Bold" w:cs="Theinhardt Bold" w:eastAsia="Theinhardt Bold"/>
          <w:b/>
          <w:bCs/>
          <w:spacing w:val="3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et produit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la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lumière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zéro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émission,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tout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quelle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que soit l’infrastructure.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60" w:right="740"/>
          <w:cols w:num="2" w:equalWidth="0">
            <w:col w:w="2547" w:space="132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5"/>
        <w:ind w:left="10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8"/>
          <w:sz w:val="40"/>
        </w:rPr>
        <w:t>F</w:t>
      </w:r>
      <w:r>
        <w:rPr>
          <w:rFonts w:ascii="Theinhardt Black" w:hAnsi="Theinhardt Black"/>
          <w:b/>
          <w:color w:val="0067B1"/>
          <w:spacing w:val="-2"/>
          <w:sz w:val="40"/>
        </w:rPr>
        <w:t>o</w:t>
      </w:r>
      <w:r>
        <w:rPr>
          <w:rFonts w:ascii="Theinhardt Black" w:hAnsi="Theinhardt Black"/>
          <w:b/>
          <w:color w:val="0067B1"/>
          <w:spacing w:val="-3"/>
          <w:sz w:val="40"/>
        </w:rPr>
        <w:t>n</w:t>
      </w:r>
      <w:r>
        <w:rPr>
          <w:rFonts w:ascii="Theinhardt Black" w:hAnsi="Theinhardt Black"/>
          <w:b/>
          <w:color w:val="0067B1"/>
          <w:spacing w:val="2"/>
          <w:sz w:val="40"/>
        </w:rPr>
        <w:t>d</w:t>
      </w:r>
      <w:r>
        <w:rPr>
          <w:rFonts w:ascii="Theinhardt Black" w:hAnsi="Theinhardt Black"/>
          <w:b/>
          <w:color w:val="0067B1"/>
          <w:spacing w:val="6"/>
          <w:sz w:val="40"/>
        </w:rPr>
        <w:t>a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io</w:t>
      </w:r>
      <w:r>
        <w:rPr>
          <w:rFonts w:ascii="Theinhardt Black" w:hAnsi="Theinhardt Black"/>
          <w:b/>
          <w:color w:val="0067B1"/>
          <w:sz w:val="40"/>
        </w:rPr>
        <w:t>n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8"/>
          <w:sz w:val="40"/>
        </w:rPr>
        <w:t>A</w:t>
      </w:r>
      <w:r>
        <w:rPr>
          <w:rFonts w:ascii="Theinhardt Black" w:hAnsi="Theinhardt Black"/>
          <w:b/>
          <w:color w:val="0067B1"/>
          <w:spacing w:val="4"/>
          <w:sz w:val="40"/>
        </w:rPr>
        <w:t>n</w:t>
      </w:r>
      <w:r>
        <w:rPr>
          <w:rFonts w:ascii="Theinhardt Black" w:hAnsi="Theinhardt Black"/>
          <w:b/>
          <w:color w:val="0067B1"/>
          <w:sz w:val="40"/>
        </w:rPr>
        <w:t>t</w:t>
      </w:r>
      <w:r>
        <w:rPr>
          <w:rFonts w:ascii="Theinhardt Black" w:hAnsi="Theinhardt Black"/>
          <w:b/>
          <w:color w:val="0067B1"/>
          <w:spacing w:val="-2"/>
          <w:sz w:val="40"/>
        </w:rPr>
        <w:t>en</w:t>
      </w:r>
      <w:r>
        <w:rPr>
          <w:rFonts w:ascii="Theinhardt Black" w:hAnsi="Theinhardt Black"/>
          <w:b/>
          <w:color w:val="0067B1"/>
          <w:spacing w:val="1"/>
          <w:sz w:val="40"/>
        </w:rPr>
        <w:t>n</w:t>
      </w:r>
      <w:r>
        <w:rPr>
          <w:rFonts w:ascii="Theinhardt Black" w:hAnsi="Theinhardt Black"/>
          <w:b/>
          <w:color w:val="0067B1"/>
          <w:sz w:val="40"/>
        </w:rPr>
        <w:t>a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30"/>
          <w:sz w:val="40"/>
        </w:rPr>
        <w:t>T</w:t>
      </w:r>
      <w:r>
        <w:rPr>
          <w:rFonts w:ascii="Theinhardt Black" w:hAnsi="Theinhardt Black"/>
          <w:b/>
          <w:color w:val="0067B1"/>
          <w:spacing w:val="4"/>
          <w:sz w:val="40"/>
        </w:rPr>
        <w:t>e</w:t>
      </w:r>
      <w:r>
        <w:rPr>
          <w:rFonts w:ascii="Theinhardt Black" w:hAnsi="Theinhardt Black"/>
          <w:b/>
          <w:color w:val="0067B1"/>
          <w:spacing w:val="2"/>
          <w:sz w:val="40"/>
        </w:rPr>
        <w:t>c</w:t>
      </w:r>
      <w:r>
        <w:rPr>
          <w:rFonts w:ascii="Theinhardt Black" w:hAnsi="Theinhardt Black"/>
          <w:b/>
          <w:color w:val="0067B1"/>
          <w:spacing w:val="-2"/>
          <w:sz w:val="40"/>
        </w:rPr>
        <w:t>h</w:t>
      </w:r>
      <w:r>
        <w:rPr>
          <w:rFonts w:ascii="Theinhardt Black" w:hAnsi="Theinhardt Black"/>
          <w:b/>
          <w:color w:val="0067B1"/>
          <w:spacing w:val="-3"/>
          <w:sz w:val="40"/>
        </w:rPr>
        <w:t>n</w:t>
      </w:r>
      <w:r>
        <w:rPr>
          <w:rFonts w:ascii="Theinhardt Black" w:hAnsi="Theinhardt Black"/>
          <w:b/>
          <w:color w:val="0067B1"/>
          <w:spacing w:val="-2"/>
          <w:sz w:val="40"/>
        </w:rPr>
        <w:t>ol</w:t>
      </w:r>
      <w:r>
        <w:rPr>
          <w:rFonts w:ascii="Theinhardt Black" w:hAnsi="Theinhardt Black"/>
          <w:b/>
          <w:color w:val="0067B1"/>
          <w:spacing w:val="1"/>
          <w:sz w:val="40"/>
        </w:rPr>
        <w:t>o</w:t>
      </w:r>
      <w:r>
        <w:rPr>
          <w:rFonts w:ascii="Theinhardt Black" w:hAnsi="Theinhardt Black"/>
          <w:b/>
          <w:color w:val="0067B1"/>
          <w:spacing w:val="-2"/>
          <w:sz w:val="40"/>
        </w:rPr>
        <w:t>gi</w:t>
      </w:r>
      <w:r>
        <w:rPr>
          <w:rFonts w:ascii="Theinhardt Black" w:hAnsi="Theinhardt Black"/>
          <w:b/>
          <w:color w:val="0067B1"/>
          <w:spacing w:val="10"/>
          <w:sz w:val="40"/>
        </w:rPr>
        <w:t>e</w:t>
      </w:r>
      <w:r>
        <w:rPr>
          <w:rFonts w:ascii="Theinhardt Black" w:hAnsi="Theinhardt Black"/>
          <w:b/>
          <w:color w:val="0067B1"/>
          <w:spacing w:val="6"/>
          <w:sz w:val="40"/>
        </w:rPr>
        <w:t>s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z w:val="40"/>
        </w:rPr>
        <w:t>O</w:t>
      </w:r>
      <w:r>
        <w:rPr>
          <w:rFonts w:ascii="Theinhardt Black" w:hAnsi="Theinhardt Black"/>
          <w:b/>
          <w:color w:val="0067B1"/>
          <w:spacing w:val="-4"/>
          <w:sz w:val="40"/>
        </w:rPr>
        <w:t>O</w:t>
      </w:r>
      <w:r>
        <w:rPr>
          <w:rFonts w:ascii="Theinhardt Black" w:hAnsi="Theinhardt Black"/>
          <w:b/>
          <w:color w:val="0067B1"/>
          <w:spacing w:val="-8"/>
          <w:sz w:val="40"/>
        </w:rPr>
        <w:t>L</w:t>
      </w:r>
      <w:r>
        <w:rPr>
          <w:rFonts w:ascii="Theinhardt Black" w:hAnsi="Theinhardt Black"/>
          <w:b/>
          <w:color w:val="0067B1"/>
          <w:sz w:val="40"/>
        </w:rPr>
        <w:t>U</w:t>
      </w:r>
      <w:r>
        <w:rPr>
          <w:rFonts w:ascii="Theinhardt Black" w:hAnsi="Theinhardt Black"/>
          <w:b/>
          <w:color w:val="0067B1"/>
          <w:spacing w:val="12"/>
          <w:sz w:val="40"/>
        </w:rPr>
        <w:t>X</w:t>
      </w:r>
      <w:r>
        <w:rPr>
          <w:rFonts w:ascii="Theinhardt Black" w:hAnsi="Theinhardt Black"/>
          <w:b/>
          <w:color w:val="0067B1"/>
          <w:sz w:val="40"/>
        </w:rPr>
        <w:t>,</w:t>
      </w:r>
      <w:r>
        <w:rPr>
          <w:rFonts w:ascii="Theinhardt Black" w:hAnsi="Theinhardt Black"/>
          <w:b/>
          <w:color w:val="0067B1"/>
          <w:spacing w:val="-32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120</w:t>
      </w:r>
      <w:r>
        <w:rPr>
          <w:rFonts w:ascii="Theinhardt Black" w:hAnsi="Theinhardt Black"/>
          <w:b/>
          <w:color w:val="0067B1"/>
          <w:sz w:val="40"/>
        </w:rPr>
        <w:t>7</w:t>
      </w:r>
      <w:r>
        <w:rPr>
          <w:rFonts w:ascii="Theinhardt Black" w:hAnsi="Theinhardt Black"/>
          <w:b/>
          <w:color w:val="0067B1"/>
          <w:spacing w:val="-8"/>
          <w:sz w:val="40"/>
        </w:rPr>
        <w:t> </w:t>
      </w:r>
      <w:r>
        <w:rPr>
          <w:rFonts w:ascii="Theinhardt Black" w:hAnsi="Theinhardt Black"/>
          <w:b/>
          <w:color w:val="0067B1"/>
          <w:spacing w:val="-4"/>
          <w:sz w:val="40"/>
        </w:rPr>
        <w:t>G</w:t>
      </w:r>
      <w:r>
        <w:rPr>
          <w:rFonts w:ascii="Theinhardt Black" w:hAnsi="Theinhardt Black"/>
          <w:b/>
          <w:color w:val="0067B1"/>
          <w:spacing w:val="-2"/>
          <w:sz w:val="40"/>
        </w:rPr>
        <w:t>e</w:t>
      </w:r>
      <w:r>
        <w:rPr>
          <w:rFonts w:ascii="Theinhardt Black" w:hAnsi="Theinhardt Black"/>
          <w:b/>
          <w:color w:val="0067B1"/>
          <w:spacing w:val="-3"/>
          <w:sz w:val="40"/>
        </w:rPr>
        <w:t>n</w:t>
      </w:r>
      <w:r>
        <w:rPr>
          <w:rFonts w:ascii="Theinhardt Black" w:hAnsi="Theinhardt Black"/>
          <w:b/>
          <w:color w:val="0067B1"/>
          <w:spacing w:val="-2"/>
          <w:sz w:val="40"/>
        </w:rPr>
        <w:t>è</w:t>
      </w:r>
      <w:r>
        <w:rPr>
          <w:rFonts w:ascii="Theinhardt Black" w:hAnsi="Theinhardt Black"/>
          <w:b/>
          <w:color w:val="0067B1"/>
          <w:spacing w:val="-4"/>
          <w:sz w:val="40"/>
        </w:rPr>
        <w:t>v</w:t>
      </w:r>
      <w:r>
        <w:rPr>
          <w:rFonts w:ascii="Theinhardt Black" w:hAnsi="Theinhardt Black"/>
          <w:b/>
          <w:color w:val="0067B1"/>
          <w:sz w:val="40"/>
        </w:rPr>
        <w:t>e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460" w:right="740"/>
        </w:sectPr>
      </w:pPr>
    </w:p>
    <w:p>
      <w:pPr>
        <w:pStyle w:val="BodyText"/>
        <w:spacing w:line="230" w:lineRule="exact" w:before="52"/>
        <w:ind w:right="0"/>
        <w:jc w:val="both"/>
      </w:pPr>
      <w:r>
        <w:rPr/>
        <w:t>La</w:t>
      </w:r>
      <w:r>
        <w:rPr>
          <w:spacing w:val="20"/>
        </w:rPr>
        <w:t> </w:t>
      </w:r>
      <w:r>
        <w:rPr>
          <w:spacing w:val="-2"/>
        </w:rPr>
        <w:t>PowerBox</w:t>
      </w:r>
      <w:r>
        <w:rPr>
          <w:spacing w:val="20"/>
        </w:rPr>
        <w:t> </w:t>
      </w:r>
      <w:r>
        <w:rPr/>
        <w:t>est</w:t>
      </w:r>
      <w:r>
        <w:rPr>
          <w:spacing w:val="20"/>
        </w:rPr>
        <w:t> </w:t>
      </w:r>
      <w:r>
        <w:rPr>
          <w:spacing w:val="-1"/>
        </w:rPr>
        <w:t>l’élément</w:t>
      </w:r>
      <w:r>
        <w:rPr>
          <w:spacing w:val="20"/>
        </w:rPr>
        <w:t> </w:t>
      </w:r>
      <w:r>
        <w:rPr/>
        <w:t>principal</w:t>
      </w:r>
      <w:r>
        <w:rPr>
          <w:spacing w:val="20"/>
        </w:rPr>
        <w:t> </w:t>
      </w:r>
      <w:r>
        <w:rPr/>
        <w:t>du</w:t>
      </w:r>
      <w:r>
        <w:rPr>
          <w:spacing w:val="20"/>
        </w:rPr>
        <w:t> </w:t>
      </w:r>
      <w:r>
        <w:rPr/>
        <w:t>kit</w:t>
      </w:r>
      <w:r>
        <w:rPr>
          <w:spacing w:val="26"/>
        </w:rPr>
        <w:t> </w:t>
      </w:r>
      <w:r>
        <w:rPr>
          <w:spacing w:val="-2"/>
        </w:rPr>
        <w:t>solaire</w:t>
      </w:r>
      <w:r>
        <w:rPr>
          <w:spacing w:val="23"/>
        </w:rPr>
        <w:t> </w:t>
      </w:r>
      <w:r>
        <w:rPr>
          <w:spacing w:val="-2"/>
        </w:rPr>
        <w:t>OOLUX.</w:t>
      </w:r>
      <w:r>
        <w:rPr>
          <w:spacing w:val="12"/>
        </w:rPr>
        <w:t> </w:t>
      </w:r>
      <w:r>
        <w:rPr/>
        <w:t>Dotée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deux</w:t>
      </w:r>
      <w:r>
        <w:rPr>
          <w:spacing w:val="23"/>
        </w:rPr>
        <w:t> </w:t>
      </w:r>
      <w:r>
        <w:rPr>
          <w:spacing w:val="1"/>
        </w:rPr>
        <w:t>ports</w:t>
      </w:r>
      <w:r>
        <w:rPr>
          <w:spacing w:val="23"/>
        </w:rPr>
        <w:t> </w:t>
      </w:r>
      <w:r>
        <w:rPr/>
        <w:t>USB,</w:t>
      </w:r>
      <w:r>
        <w:rPr>
          <w:spacing w:val="22"/>
        </w:rPr>
        <w:t> </w:t>
      </w:r>
      <w:r>
        <w:rPr>
          <w:spacing w:val="1"/>
        </w:rPr>
        <w:t>cette</w:t>
      </w:r>
      <w:r>
        <w:rPr>
          <w:spacing w:val="45"/>
        </w:rPr>
        <w:t> </w:t>
      </w:r>
      <w:r>
        <w:rPr/>
        <w:t>batterie</w:t>
      </w:r>
      <w:r>
        <w:rPr>
          <w:spacing w:val="46"/>
        </w:rPr>
        <w:t> </w:t>
      </w:r>
      <w:r>
        <w:rPr/>
        <w:t>intelligente</w:t>
      </w:r>
      <w:r>
        <w:rPr>
          <w:spacing w:val="45"/>
        </w:rPr>
        <w:t> </w:t>
      </w:r>
      <w:r>
        <w:rPr>
          <w:spacing w:val="-1"/>
        </w:rPr>
        <w:t>se</w:t>
      </w:r>
      <w:r>
        <w:rPr>
          <w:spacing w:val="46"/>
        </w:rPr>
        <w:t> </w:t>
      </w:r>
      <w:r>
        <w:rPr>
          <w:spacing w:val="-2"/>
        </w:rPr>
        <w:t>recharge</w:t>
      </w:r>
      <w:r>
        <w:rPr>
          <w:spacing w:val="46"/>
        </w:rPr>
        <w:t> </w:t>
      </w:r>
      <w:r>
        <w:rPr/>
        <w:t>au</w:t>
      </w:r>
      <w:r>
        <w:rPr>
          <w:spacing w:val="21"/>
        </w:rPr>
        <w:t> </w:t>
      </w:r>
      <w:r>
        <w:rPr>
          <w:spacing w:val="-1"/>
        </w:rPr>
        <w:t>moyen</w:t>
      </w:r>
      <w:r>
        <w:rPr>
          <w:spacing w:val="3"/>
        </w:rPr>
        <w:t> </w:t>
      </w:r>
      <w:r>
        <w:rPr>
          <w:spacing w:val="-1"/>
        </w:rPr>
        <w:t>d’un</w:t>
      </w:r>
      <w:r>
        <w:rPr>
          <w:spacing w:val="3"/>
        </w:rPr>
        <w:t> </w:t>
      </w:r>
      <w:r>
        <w:rPr/>
        <w:t>module</w:t>
      </w:r>
      <w:r>
        <w:rPr>
          <w:spacing w:val="3"/>
        </w:rPr>
        <w:t> </w:t>
      </w:r>
      <w:r>
        <w:rPr>
          <w:spacing w:val="-2"/>
        </w:rPr>
        <w:t>solaire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5</w:t>
      </w:r>
      <w:r>
        <w:rPr>
          <w:spacing w:val="3"/>
        </w:rPr>
        <w:t> </w:t>
      </w:r>
      <w:r>
        <w:rPr>
          <w:spacing w:val="1"/>
        </w:rPr>
        <w:t>watts.</w:t>
      </w:r>
      <w:r>
        <w:rPr>
          <w:spacing w:val="-8"/>
        </w:rPr>
        <w:t> </w:t>
      </w:r>
      <w:r>
        <w:rPr/>
        <w:t>Des</w:t>
      </w:r>
      <w:r>
        <w:rPr>
          <w:spacing w:val="29"/>
        </w:rPr>
        <w:t> </w:t>
      </w:r>
      <w:r>
        <w:rPr>
          <w:spacing w:val="-1"/>
        </w:rPr>
        <w:t>lampes</w:t>
      </w:r>
      <w:r>
        <w:rPr>
          <w:spacing w:val="-15"/>
        </w:rPr>
        <w:t> </w:t>
      </w:r>
      <w:r>
        <w:rPr>
          <w:spacing w:val="-3"/>
        </w:rPr>
        <w:t>LED</w:t>
      </w:r>
      <w:r>
        <w:rPr>
          <w:spacing w:val="-15"/>
        </w:rPr>
        <w:t> </w:t>
      </w:r>
      <w:r>
        <w:rPr/>
        <w:t>économes</w:t>
      </w:r>
      <w:r>
        <w:rPr>
          <w:spacing w:val="-15"/>
        </w:rPr>
        <w:t> </w:t>
      </w:r>
      <w:r>
        <w:rPr/>
        <w:t>en</w:t>
      </w:r>
      <w:r>
        <w:rPr>
          <w:spacing w:val="-15"/>
        </w:rPr>
        <w:t> </w:t>
      </w:r>
      <w:r>
        <w:rPr>
          <w:spacing w:val="-1"/>
        </w:rPr>
        <w:t>énergie</w:t>
      </w:r>
      <w:r>
        <w:rPr>
          <w:spacing w:val="-15"/>
        </w:rPr>
        <w:t> </w:t>
      </w:r>
      <w:r>
        <w:rPr>
          <w:spacing w:val="-2"/>
        </w:rPr>
        <w:t>procurent</w:t>
      </w:r>
      <w:r>
        <w:rPr>
          <w:spacing w:val="25"/>
        </w:rPr>
        <w:t> </w:t>
      </w:r>
      <w:r>
        <w:rPr/>
        <w:t>une</w:t>
      </w:r>
      <w:r>
        <w:rPr>
          <w:spacing w:val="22"/>
        </w:rPr>
        <w:t> </w:t>
      </w:r>
      <w:r>
        <w:rPr>
          <w:spacing w:val="-1"/>
        </w:rPr>
        <w:t>lumière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haute</w:t>
      </w:r>
      <w:r>
        <w:rPr>
          <w:spacing w:val="22"/>
        </w:rPr>
        <w:t> </w:t>
      </w:r>
      <w:r>
        <w:rPr/>
        <w:t>qualité.</w:t>
      </w:r>
      <w:r>
        <w:rPr>
          <w:spacing w:val="12"/>
        </w:rPr>
        <w:t> </w:t>
      </w:r>
      <w:r>
        <w:rPr/>
        <w:t>Et</w:t>
      </w:r>
      <w:r>
        <w:rPr>
          <w:spacing w:val="22"/>
        </w:rPr>
        <w:t> </w:t>
      </w:r>
      <w:r>
        <w:rPr/>
        <w:t>leur</w:t>
      </w:r>
      <w:r>
        <w:rPr>
          <w:spacing w:val="22"/>
        </w:rPr>
        <w:t> </w:t>
      </w:r>
      <w:r>
        <w:rPr/>
        <w:t>con-</w:t>
      </w:r>
      <w:r>
        <w:rPr>
          <w:spacing w:val="25"/>
        </w:rPr>
        <w:t> </w:t>
      </w:r>
      <w:r>
        <w:rPr/>
        <w:t>ception</w:t>
      </w:r>
      <w:r>
        <w:rPr>
          <w:spacing w:val="3"/>
        </w:rPr>
        <w:t> </w:t>
      </w:r>
      <w:r>
        <w:rPr/>
        <w:t>bien</w:t>
      </w:r>
      <w:r>
        <w:rPr>
          <w:spacing w:val="3"/>
        </w:rPr>
        <w:t> </w:t>
      </w:r>
      <w:r>
        <w:rPr>
          <w:spacing w:val="-1"/>
        </w:rPr>
        <w:t>pensée</w:t>
      </w:r>
      <w:r>
        <w:rPr>
          <w:spacing w:val="3"/>
        </w:rPr>
        <w:t> </w:t>
      </w:r>
      <w:r>
        <w:rPr/>
        <w:t>permet</w:t>
      </w:r>
      <w:r>
        <w:rPr>
          <w:spacing w:val="3"/>
        </w:rPr>
        <w:t> </w:t>
      </w:r>
      <w:r>
        <w:rPr/>
        <w:t>aussi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les</w:t>
      </w:r>
      <w:r>
        <w:rPr>
          <w:spacing w:val="3"/>
        </w:rPr>
        <w:t> </w:t>
      </w:r>
      <w:r>
        <w:rPr/>
        <w:t>fi-</w:t>
      </w:r>
      <w:r>
        <w:rPr>
          <w:spacing w:val="24"/>
        </w:rPr>
        <w:t> </w:t>
      </w:r>
      <w:r>
        <w:rPr>
          <w:spacing w:val="-2"/>
        </w:rPr>
        <w:t>xer</w:t>
      </w:r>
      <w:r>
        <w:rPr/>
        <w:t> à des poteaux ou à des </w:t>
      </w:r>
      <w:r>
        <w:rPr>
          <w:spacing w:val="-1"/>
        </w:rPr>
        <w:t>branches.</w:t>
      </w:r>
    </w:p>
    <w:p>
      <w:pPr>
        <w:pStyle w:val="BodyText"/>
        <w:spacing w:line="230" w:lineRule="exact"/>
        <w:ind w:right="10" w:firstLine="226"/>
        <w:jc w:val="both"/>
      </w:pPr>
      <w:r>
        <w:rPr>
          <w:spacing w:val="-1"/>
        </w:rPr>
        <w:t>Grâce</w:t>
      </w:r>
      <w:r>
        <w:rPr>
          <w:spacing w:val="15"/>
        </w:rPr>
        <w:t> </w:t>
      </w:r>
      <w:r>
        <w:rPr/>
        <w:t>à</w:t>
      </w:r>
      <w:r>
        <w:rPr>
          <w:spacing w:val="15"/>
        </w:rPr>
        <w:t> </w:t>
      </w:r>
      <w:r>
        <w:rPr/>
        <w:t>un</w:t>
      </w:r>
      <w:r>
        <w:rPr>
          <w:spacing w:val="15"/>
        </w:rPr>
        <w:t> </w:t>
      </w:r>
      <w:r>
        <w:rPr/>
        <w:t>système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>
          <w:spacing w:val="-1"/>
        </w:rPr>
        <w:t>microfinance,</w:t>
      </w:r>
      <w:r>
        <w:rPr>
          <w:spacing w:val="4"/>
        </w:rPr>
        <w:t> </w:t>
      </w:r>
      <w:r>
        <w:rPr/>
        <w:t>le</w:t>
      </w:r>
      <w:r>
        <w:rPr>
          <w:spacing w:val="29"/>
        </w:rPr>
        <w:t> </w:t>
      </w:r>
      <w:r>
        <w:rPr/>
        <w:t>prix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départ</w:t>
      </w:r>
      <w:r>
        <w:rPr>
          <w:spacing w:val="-7"/>
        </w:rPr>
        <w:t> </w:t>
      </w:r>
      <w:r>
        <w:rPr>
          <w:spacing w:val="-1"/>
        </w:rPr>
        <w:t>d’un</w:t>
      </w:r>
      <w:r>
        <w:rPr>
          <w:spacing w:val="-7"/>
        </w:rPr>
        <w:t> </w:t>
      </w:r>
      <w:r>
        <w:rPr/>
        <w:t>kit</w:t>
      </w:r>
      <w:r>
        <w:rPr>
          <w:spacing w:val="-7"/>
        </w:rPr>
        <w:t> </w:t>
      </w:r>
      <w:r>
        <w:rPr>
          <w:spacing w:val="-3"/>
        </w:rPr>
        <w:t>OOLUX</w:t>
      </w:r>
      <w:r>
        <w:rPr>
          <w:spacing w:val="-7"/>
        </w:rPr>
        <w:t> </w:t>
      </w:r>
      <w:r>
        <w:rPr>
          <w:spacing w:val="-2"/>
        </w:rPr>
        <w:t>reste</w:t>
      </w:r>
      <w:r>
        <w:rPr>
          <w:spacing w:val="-7"/>
        </w:rPr>
        <w:t> </w:t>
      </w:r>
      <w:r>
        <w:rPr>
          <w:spacing w:val="-1"/>
        </w:rPr>
        <w:t>aborda-</w:t>
      </w:r>
      <w:r>
        <w:rPr>
          <w:spacing w:val="29"/>
        </w:rPr>
        <w:t> </w:t>
      </w:r>
      <w:r>
        <w:rPr/>
        <w:t>ble.</w:t>
      </w:r>
      <w:r>
        <w:rPr>
          <w:spacing w:val="3"/>
        </w:rPr>
        <w:t> </w:t>
      </w:r>
      <w:r>
        <w:rPr>
          <w:spacing w:val="-3"/>
        </w:rPr>
        <w:t>Le</w:t>
      </w:r>
      <w:r>
        <w:rPr>
          <w:spacing w:val="14"/>
        </w:rPr>
        <w:t> </w:t>
      </w:r>
      <w:r>
        <w:rPr>
          <w:spacing w:val="-1"/>
        </w:rPr>
        <w:t>solde</w:t>
      </w:r>
      <w:r>
        <w:rPr>
          <w:spacing w:val="14"/>
        </w:rPr>
        <w:t> </w:t>
      </w:r>
      <w:r>
        <w:rPr>
          <w:spacing w:val="-1"/>
        </w:rPr>
        <w:t>se</w:t>
      </w:r>
      <w:r>
        <w:rPr>
          <w:spacing w:val="14"/>
        </w:rPr>
        <w:t> </w:t>
      </w:r>
      <w:r>
        <w:rPr/>
        <w:t>paie</w:t>
      </w:r>
      <w:r>
        <w:rPr>
          <w:spacing w:val="14"/>
        </w:rPr>
        <w:t> </w:t>
      </w:r>
      <w:r>
        <w:rPr/>
        <w:t>en</w:t>
      </w:r>
      <w:r>
        <w:rPr>
          <w:spacing w:val="14"/>
        </w:rPr>
        <w:t> </w:t>
      </w:r>
      <w:r>
        <w:rPr/>
        <w:t>plusieurs</w:t>
      </w:r>
      <w:r>
        <w:rPr>
          <w:spacing w:val="14"/>
        </w:rPr>
        <w:t> </w:t>
      </w:r>
      <w:r>
        <w:rPr>
          <w:spacing w:val="-1"/>
        </w:rPr>
        <w:t>fois.</w:t>
      </w:r>
      <w:r>
        <w:rPr>
          <w:spacing w:val="3"/>
        </w:rPr>
        <w:t> </w:t>
      </w:r>
      <w:r>
        <w:rPr>
          <w:spacing w:val="-2"/>
        </w:rPr>
        <w:t>Les</w:t>
      </w:r>
      <w:r>
        <w:rPr>
          <w:spacing w:val="26"/>
        </w:rPr>
        <w:t> </w:t>
      </w:r>
      <w:r>
        <w:rPr/>
        <w:t>versements</w:t>
      </w:r>
      <w:r>
        <w:rPr>
          <w:spacing w:val="44"/>
        </w:rPr>
        <w:t> </w:t>
      </w:r>
      <w:r>
        <w:rPr>
          <w:spacing w:val="-1"/>
        </w:rPr>
        <w:t>sont</w:t>
      </w:r>
      <w:r>
        <w:rPr>
          <w:spacing w:val="45"/>
        </w:rPr>
        <w:t> </w:t>
      </w:r>
      <w:r>
        <w:rPr/>
        <w:t>couverts</w:t>
      </w:r>
      <w:r>
        <w:rPr>
          <w:spacing w:val="44"/>
        </w:rPr>
        <w:t> </w:t>
      </w:r>
      <w:r>
        <w:rPr>
          <w:spacing w:val="-1"/>
        </w:rPr>
        <w:t>par</w:t>
      </w:r>
      <w:r>
        <w:rPr>
          <w:spacing w:val="45"/>
        </w:rPr>
        <w:t> </w:t>
      </w:r>
      <w:r>
        <w:rPr/>
        <w:t>les</w:t>
      </w:r>
      <w:r>
        <w:rPr>
          <w:spacing w:val="45"/>
        </w:rPr>
        <w:t> </w:t>
      </w:r>
      <w:r>
        <w:rPr/>
        <w:t>écono-</w:t>
      </w:r>
      <w:r>
        <w:rPr>
          <w:spacing w:val="22"/>
        </w:rPr>
        <w:t> </w:t>
      </w:r>
      <w:r>
        <w:rPr/>
        <w:t>mies en </w:t>
      </w:r>
      <w:r>
        <w:rPr>
          <w:spacing w:val="-1"/>
        </w:rPr>
        <w:t>carburant</w:t>
      </w:r>
      <w:r>
        <w:rPr/>
        <w:t> et bougies.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3"/>
        </w:rPr>
        <w:t>OOLUX</w:t>
      </w:r>
      <w:r>
        <w:rPr>
          <w:spacing w:val="26"/>
        </w:rPr>
        <w:t> </w:t>
      </w:r>
      <w:r>
        <w:rPr>
          <w:spacing w:val="-1"/>
        </w:rPr>
        <w:t>offre</w:t>
      </w:r>
      <w:r>
        <w:rPr>
          <w:spacing w:val="27"/>
        </w:rPr>
        <w:t> </w:t>
      </w:r>
      <w:r>
        <w:rPr/>
        <w:t>une</w:t>
      </w:r>
      <w:r>
        <w:rPr>
          <w:spacing w:val="26"/>
        </w:rPr>
        <w:t> </w:t>
      </w:r>
      <w:r>
        <w:rPr/>
        <w:t>alternative</w:t>
      </w:r>
      <w:r>
        <w:rPr>
          <w:spacing w:val="27"/>
        </w:rPr>
        <w:t> </w:t>
      </w:r>
      <w:r>
        <w:rPr>
          <w:spacing w:val="-1"/>
        </w:rPr>
        <w:t>durable</w:t>
      </w:r>
      <w:r>
        <w:rPr>
          <w:spacing w:val="27"/>
        </w:rPr>
        <w:t> </w:t>
      </w:r>
      <w:r>
        <w:rPr/>
        <w:t>et</w:t>
      </w:r>
      <w:r>
        <w:rPr>
          <w:spacing w:val="20"/>
        </w:rPr>
        <w:t> </w:t>
      </w:r>
      <w:r>
        <w:rPr>
          <w:spacing w:val="-1"/>
        </w:rPr>
        <w:t>abordable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/>
        <w:t>des</w:t>
      </w:r>
      <w:r>
        <w:rPr>
          <w:spacing w:val="-11"/>
        </w:rPr>
        <w:t> </w:t>
      </w:r>
      <w:r>
        <w:rPr>
          <w:spacing w:val="-2"/>
        </w:rPr>
        <w:t>sources</w:t>
      </w:r>
      <w:r>
        <w:rPr>
          <w:spacing w:val="-11"/>
        </w:rPr>
        <w:t> </w:t>
      </w:r>
      <w:r>
        <w:rPr>
          <w:spacing w:val="-2"/>
        </w:rPr>
        <w:t>d’éclairage</w:t>
      </w:r>
      <w:r>
        <w:rPr>
          <w:spacing w:val="-11"/>
        </w:rPr>
        <w:t> </w:t>
      </w:r>
      <w:r>
        <w:rPr/>
        <w:t>nocives</w:t>
      </w:r>
      <w:r>
        <w:rPr>
          <w:spacing w:val="39"/>
        </w:rPr>
        <w:t> </w:t>
      </w:r>
      <w:r>
        <w:rPr/>
        <w:t>pour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>
          <w:spacing w:val="-1"/>
        </w:rPr>
        <w:t>santé</w:t>
      </w:r>
      <w:r>
        <w:rPr>
          <w:spacing w:val="12"/>
        </w:rPr>
        <w:t> </w:t>
      </w:r>
      <w:r>
        <w:rPr>
          <w:spacing w:val="-1"/>
        </w:rPr>
        <w:t>comme</w:t>
      </w:r>
      <w:r>
        <w:rPr>
          <w:spacing w:val="12"/>
        </w:rPr>
        <w:t> </w:t>
      </w:r>
      <w:r>
        <w:rPr/>
        <w:t>les</w:t>
      </w:r>
      <w:r>
        <w:rPr>
          <w:spacing w:val="12"/>
        </w:rPr>
        <w:t> </w:t>
      </w:r>
      <w:r>
        <w:rPr>
          <w:spacing w:val="-1"/>
        </w:rPr>
        <w:t>lampes</w:t>
      </w:r>
      <w:r>
        <w:rPr>
          <w:spacing w:val="12"/>
        </w:rPr>
        <w:t> </w:t>
      </w:r>
      <w:r>
        <w:rPr/>
        <w:t>à</w:t>
      </w:r>
      <w:r>
        <w:rPr>
          <w:spacing w:val="12"/>
        </w:rPr>
        <w:t> </w:t>
      </w:r>
      <w:r>
        <w:rPr>
          <w:spacing w:val="-1"/>
        </w:rPr>
        <w:t>pétrole.</w:t>
      </w:r>
      <w:r>
        <w:rPr>
          <w:spacing w:val="29"/>
        </w:rPr>
        <w:t> </w:t>
      </w:r>
      <w:r>
        <w:rPr>
          <w:spacing w:val="-2"/>
        </w:rPr>
        <w:t>Après</w:t>
      </w:r>
      <w:r>
        <w:rPr>
          <w:spacing w:val="11"/>
        </w:rPr>
        <w:t> </w:t>
      </w:r>
      <w:r>
        <w:rPr/>
        <w:t>une</w:t>
      </w:r>
      <w:r>
        <w:rPr>
          <w:spacing w:val="11"/>
        </w:rPr>
        <w:t> </w:t>
      </w:r>
      <w:r>
        <w:rPr>
          <w:spacing w:val="-2"/>
        </w:rPr>
        <w:t>première</w:t>
      </w:r>
      <w:r>
        <w:rPr>
          <w:spacing w:val="11"/>
        </w:rPr>
        <w:t> </w:t>
      </w:r>
      <w:r>
        <w:rPr>
          <w:spacing w:val="-1"/>
        </w:rPr>
        <w:t>phase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>
          <w:spacing w:val="-2"/>
        </w:rPr>
        <w:t>recherche</w:t>
      </w:r>
      <w:r>
        <w:rPr>
          <w:spacing w:val="11"/>
        </w:rPr>
        <w:t> </w:t>
      </w:r>
      <w:r>
        <w:rPr/>
        <w:t>et</w:t>
      </w:r>
      <w:r>
        <w:rPr>
          <w:spacing w:val="35"/>
        </w:rPr>
        <w:t> </w:t>
      </w:r>
      <w:r>
        <w:rPr>
          <w:spacing w:val="-1"/>
        </w:rPr>
        <w:t>développement</w:t>
      </w:r>
      <w:r>
        <w:rPr>
          <w:spacing w:val="24"/>
        </w:rPr>
        <w:t> </w:t>
      </w:r>
      <w:r>
        <w:rPr/>
        <w:t>en</w:t>
      </w:r>
      <w:r>
        <w:rPr>
          <w:spacing w:val="25"/>
        </w:rPr>
        <w:t> </w:t>
      </w:r>
      <w:r>
        <w:rPr>
          <w:spacing w:val="-1"/>
        </w:rPr>
        <w:t>collaboration</w:t>
      </w:r>
      <w:r>
        <w:rPr>
          <w:spacing w:val="24"/>
        </w:rPr>
        <w:t> </w:t>
      </w:r>
      <w:r>
        <w:rPr>
          <w:spacing w:val="-2"/>
        </w:rPr>
        <w:t>avec</w:t>
      </w:r>
      <w:r>
        <w:rPr>
          <w:spacing w:val="25"/>
        </w:rPr>
        <w:t> </w:t>
      </w:r>
      <w:r>
        <w:rPr/>
        <w:t>la</w:t>
      </w:r>
      <w:r>
        <w:rPr>
          <w:spacing w:val="44"/>
        </w:rPr>
        <w:t> </w:t>
      </w:r>
      <w:r>
        <w:rPr/>
        <w:t>Haute</w:t>
      </w:r>
      <w:r>
        <w:rPr>
          <w:spacing w:val="-3"/>
        </w:rPr>
        <w:t> </w:t>
      </w:r>
      <w:r>
        <w:rPr>
          <w:spacing w:val="-1"/>
        </w:rPr>
        <w:t>École</w:t>
      </w:r>
      <w:r>
        <w:rPr>
          <w:spacing w:val="-3"/>
        </w:rPr>
        <w:t> </w:t>
      </w:r>
      <w:r>
        <w:rPr>
          <w:spacing w:val="-1"/>
        </w:rPr>
        <w:t>spécialisée</w:t>
      </w:r>
      <w:r>
        <w:rPr>
          <w:spacing w:val="-3"/>
        </w:rPr>
        <w:t> </w:t>
      </w:r>
      <w:r>
        <w:rPr>
          <w:spacing w:val="-1"/>
        </w:rPr>
        <w:t>bernoise,</w:t>
      </w:r>
      <w:r>
        <w:rPr>
          <w:spacing w:val="-14"/>
        </w:rPr>
        <w:t> </w:t>
      </w:r>
      <w:r>
        <w:rPr/>
        <w:t>la</w:t>
      </w:r>
      <w:r>
        <w:rPr>
          <w:spacing w:val="-3"/>
        </w:rPr>
        <w:t> </w:t>
      </w:r>
      <w:r>
        <w:rPr>
          <w:spacing w:val="-1"/>
        </w:rPr>
        <w:t>Fonda-</w:t>
      </w:r>
      <w:r>
        <w:rPr>
          <w:spacing w:val="37"/>
        </w:rPr>
        <w:t> </w:t>
      </w:r>
      <w:r>
        <w:rPr/>
        <w:t>tion</w:t>
      </w:r>
      <w:r>
        <w:rPr>
          <w:spacing w:val="28"/>
        </w:rPr>
        <w:t> </w:t>
      </w:r>
      <w:r>
        <w:rPr>
          <w:spacing w:val="-1"/>
        </w:rPr>
        <w:t>Antenna</w:t>
      </w:r>
      <w:r>
        <w:rPr>
          <w:spacing w:val="29"/>
        </w:rPr>
        <w:t> </w:t>
      </w:r>
      <w:r>
        <w:rPr/>
        <w:t>a</w:t>
      </w:r>
      <w:r>
        <w:rPr>
          <w:spacing w:val="28"/>
        </w:rPr>
        <w:t> </w:t>
      </w:r>
      <w:r>
        <w:rPr/>
        <w:t>perfectionné</w:t>
      </w:r>
      <w:r>
        <w:rPr>
          <w:spacing w:val="29"/>
        </w:rPr>
        <w:t> </w:t>
      </w:r>
      <w:r>
        <w:rPr/>
        <w:t>le</w:t>
      </w:r>
      <w:r>
        <w:rPr>
          <w:spacing w:val="29"/>
        </w:rPr>
        <w:t> </w:t>
      </w:r>
      <w:r>
        <w:rPr/>
        <w:t>kit</w:t>
      </w:r>
      <w:r>
        <w:rPr>
          <w:spacing w:val="28"/>
        </w:rPr>
        <w:t> </w:t>
      </w:r>
      <w:r>
        <w:rPr>
          <w:spacing w:val="-3"/>
        </w:rPr>
        <w:t>OOLUX</w:t>
      </w:r>
    </w:p>
    <w:p>
      <w:pPr>
        <w:pStyle w:val="BodyText"/>
        <w:spacing w:line="230" w:lineRule="exact" w:before="52"/>
        <w:ind w:right="0"/>
        <w:jc w:val="both"/>
      </w:pPr>
      <w:r>
        <w:rPr/>
        <w:br w:type="column"/>
      </w:r>
      <w:r>
        <w:rPr>
          <w:spacing w:val="-2"/>
        </w:rPr>
        <w:t>avant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>
          <w:spacing w:val="-1"/>
        </w:rPr>
        <w:t>passer</w:t>
      </w:r>
      <w:r>
        <w:rPr>
          <w:spacing w:val="-10"/>
        </w:rPr>
        <w:t> </w:t>
      </w:r>
      <w:r>
        <w:rPr/>
        <w:t>à</w:t>
      </w:r>
      <w:r>
        <w:rPr>
          <w:spacing w:val="-10"/>
        </w:rPr>
        <w:t> </w:t>
      </w:r>
      <w:r>
        <w:rPr/>
        <w:t>la</w:t>
      </w:r>
      <w:r>
        <w:rPr>
          <w:spacing w:val="-10"/>
        </w:rPr>
        <w:t> </w:t>
      </w:r>
      <w:r>
        <w:rPr>
          <w:spacing w:val="-1"/>
        </w:rPr>
        <w:t>production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>
          <w:spacing w:val="-1"/>
        </w:rPr>
        <w:t>série.</w:t>
      </w:r>
      <w:r>
        <w:rPr>
          <w:spacing w:val="-21"/>
        </w:rPr>
        <w:t> </w:t>
      </w:r>
      <w:r>
        <w:rPr>
          <w:spacing w:val="-2"/>
        </w:rPr>
        <w:t>Les</w:t>
      </w:r>
      <w:r>
        <w:rPr>
          <w:spacing w:val="41"/>
        </w:rPr>
        <w:t> </w:t>
      </w:r>
      <w:r>
        <w:rPr/>
        <w:t>ventes</w:t>
      </w:r>
      <w:r>
        <w:rPr>
          <w:spacing w:val="22"/>
        </w:rPr>
        <w:t> </w:t>
      </w:r>
      <w:r>
        <w:rPr/>
        <w:t>ont</w:t>
      </w:r>
      <w:r>
        <w:rPr>
          <w:spacing w:val="23"/>
        </w:rPr>
        <w:t> </w:t>
      </w:r>
      <w:r>
        <w:rPr>
          <w:spacing w:val="-1"/>
        </w:rPr>
        <w:t>démarré</w:t>
      </w:r>
      <w:r>
        <w:rPr>
          <w:spacing w:val="22"/>
        </w:rPr>
        <w:t> </w:t>
      </w:r>
      <w:r>
        <w:rPr/>
        <w:t>en</w:t>
      </w:r>
      <w:r>
        <w:rPr>
          <w:spacing w:val="23"/>
        </w:rPr>
        <w:t> </w:t>
      </w:r>
      <w:r>
        <w:rPr>
          <w:spacing w:val="-1"/>
        </w:rPr>
        <w:t>Afrique,</w:t>
      </w:r>
      <w:r>
        <w:rPr>
          <w:spacing w:val="12"/>
        </w:rPr>
        <w:t> </w:t>
      </w:r>
      <w:r>
        <w:rPr/>
        <w:t>principale-</w:t>
      </w:r>
      <w:r>
        <w:rPr>
          <w:spacing w:val="26"/>
        </w:rPr>
        <w:t> </w:t>
      </w:r>
      <w:r>
        <w:rPr/>
        <w:t>ment</w:t>
      </w:r>
      <w:r>
        <w:rPr>
          <w:spacing w:val="6"/>
        </w:rPr>
        <w:t> </w:t>
      </w:r>
      <w:r>
        <w:rPr/>
        <w:t>au</w:t>
      </w:r>
      <w:r>
        <w:rPr>
          <w:spacing w:val="6"/>
        </w:rPr>
        <w:t> </w:t>
      </w:r>
      <w:r>
        <w:rPr>
          <w:spacing w:val="-2"/>
        </w:rPr>
        <w:t>Kongo,</w:t>
      </w:r>
      <w:r>
        <w:rPr>
          <w:spacing w:val="43"/>
        </w:rPr>
        <w:t> </w:t>
      </w:r>
      <w:r>
        <w:rPr/>
        <w:t>en</w:t>
      </w:r>
      <w:r>
        <w:rPr>
          <w:spacing w:val="6"/>
        </w:rPr>
        <w:t> </w:t>
      </w:r>
      <w:r>
        <w:rPr/>
        <w:t>Ouganda</w:t>
      </w:r>
      <w:r>
        <w:rPr>
          <w:spacing w:val="6"/>
        </w:rPr>
        <w:t> </w:t>
      </w:r>
      <w:r>
        <w:rPr/>
        <w:t>et</w:t>
      </w:r>
      <w:r>
        <w:rPr>
          <w:spacing w:val="6"/>
        </w:rPr>
        <w:t> </w:t>
      </w:r>
      <w:r>
        <w:rPr/>
        <w:t>au</w:t>
      </w:r>
      <w:r>
        <w:rPr>
          <w:spacing w:val="6"/>
        </w:rPr>
        <w:t> </w:t>
      </w:r>
      <w:r>
        <w:rPr/>
        <w:t>Ca-</w:t>
      </w:r>
      <w:r>
        <w:rPr>
          <w:spacing w:val="27"/>
        </w:rPr>
        <w:t> </w:t>
      </w:r>
      <w:r>
        <w:rPr>
          <w:spacing w:val="-1"/>
        </w:rPr>
        <w:t>meroun.</w:t>
      </w:r>
    </w:p>
    <w:p>
      <w:pPr>
        <w:pStyle w:val="BodyText"/>
        <w:spacing w:line="230" w:lineRule="exact"/>
        <w:ind w:right="0" w:firstLine="226"/>
        <w:jc w:val="both"/>
      </w:pPr>
      <w:r>
        <w:rPr>
          <w:spacing w:val="-2"/>
        </w:rPr>
        <w:t>Pour</w:t>
      </w:r>
      <w:r>
        <w:rPr>
          <w:spacing w:val="-14"/>
        </w:rPr>
        <w:t> </w:t>
      </w:r>
      <w:r>
        <w:rPr/>
        <w:t>sa</w:t>
      </w:r>
      <w:r>
        <w:rPr>
          <w:spacing w:val="-14"/>
        </w:rPr>
        <w:t> </w:t>
      </w:r>
      <w:r>
        <w:rPr/>
        <w:t>contribution</w:t>
      </w:r>
      <w:r>
        <w:rPr>
          <w:spacing w:val="-14"/>
        </w:rPr>
        <w:t> </w:t>
      </w:r>
      <w:r>
        <w:rPr/>
        <w:t>à</w:t>
      </w:r>
      <w:r>
        <w:rPr>
          <w:spacing w:val="-14"/>
        </w:rPr>
        <w:t> </w:t>
      </w:r>
      <w:r>
        <w:rPr>
          <w:spacing w:val="-1"/>
        </w:rPr>
        <w:t>l’amélioration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27"/>
        </w:rPr>
        <w:t> </w:t>
      </w:r>
      <w:r>
        <w:rPr/>
        <w:t>qualité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vie</w:t>
      </w:r>
      <w:r>
        <w:rPr>
          <w:spacing w:val="7"/>
        </w:rPr>
        <w:t> </w:t>
      </w:r>
      <w:r>
        <w:rPr>
          <w:spacing w:val="-1"/>
        </w:rPr>
        <w:t>dans</w:t>
      </w:r>
      <w:r>
        <w:rPr>
          <w:spacing w:val="7"/>
        </w:rPr>
        <w:t> </w:t>
      </w:r>
      <w:r>
        <w:rPr/>
        <w:t>des</w:t>
      </w:r>
      <w:r>
        <w:rPr>
          <w:spacing w:val="7"/>
        </w:rPr>
        <w:t> </w:t>
      </w:r>
      <w:r>
        <w:rPr>
          <w:spacing w:val="-1"/>
        </w:rPr>
        <w:t>régions</w:t>
      </w:r>
      <w:r>
        <w:rPr>
          <w:spacing w:val="7"/>
        </w:rPr>
        <w:t> </w:t>
      </w:r>
      <w:r>
        <w:rPr>
          <w:spacing w:val="-1"/>
        </w:rPr>
        <w:t>défavori-</w:t>
      </w:r>
      <w:r>
        <w:rPr>
          <w:spacing w:val="20"/>
        </w:rPr>
        <w:t> </w:t>
      </w:r>
      <w:r>
        <w:rPr>
          <w:spacing w:val="-1"/>
        </w:rPr>
        <w:t>sées,</w:t>
      </w:r>
      <w:r>
        <w:rPr>
          <w:spacing w:val="-6"/>
        </w:rPr>
        <w:t> </w:t>
      </w:r>
      <w:r>
        <w:rPr/>
        <w:t>la</w:t>
      </w:r>
      <w:r>
        <w:rPr>
          <w:spacing w:val="5"/>
        </w:rPr>
        <w:t> </w:t>
      </w:r>
      <w:r>
        <w:rPr>
          <w:spacing w:val="-1"/>
        </w:rPr>
        <w:t>Fondation</w:t>
      </w:r>
      <w:r>
        <w:rPr>
          <w:spacing w:val="5"/>
        </w:rPr>
        <w:t> </w:t>
      </w:r>
      <w:r>
        <w:rPr>
          <w:spacing w:val="-1"/>
        </w:rPr>
        <w:t>reçoit</w:t>
      </w:r>
      <w:r>
        <w:rPr>
          <w:spacing w:val="5"/>
        </w:rPr>
        <w:t> </w:t>
      </w:r>
      <w:r>
        <w:rPr/>
        <w:t>le</w:t>
      </w:r>
      <w:r>
        <w:rPr>
          <w:spacing w:val="5"/>
        </w:rPr>
        <w:t> </w:t>
      </w:r>
      <w:r>
        <w:rPr/>
        <w:t>diplôme</w:t>
      </w:r>
      <w:r>
        <w:rPr>
          <w:spacing w:val="5"/>
        </w:rPr>
        <w:t> </w:t>
      </w:r>
      <w:r>
        <w:rPr/>
        <w:t>du</w:t>
      </w:r>
      <w:r>
        <w:rPr>
          <w:spacing w:val="5"/>
        </w:rPr>
        <w:t> </w:t>
      </w:r>
      <w:r>
        <w:rPr>
          <w:spacing w:val="-1"/>
        </w:rPr>
        <w:t>Prix</w:t>
      </w:r>
      <w:r>
        <w:rPr>
          <w:spacing w:val="21"/>
        </w:rPr>
        <w:t> </w:t>
      </w:r>
      <w:r>
        <w:rPr>
          <w:spacing w:val="-1"/>
        </w:rPr>
        <w:t>Solaire</w:t>
      </w:r>
      <w:r>
        <w:rPr/>
        <w:t> </w:t>
      </w:r>
      <w:r>
        <w:rPr>
          <w:spacing w:val="-1"/>
        </w:rPr>
        <w:t>Suisse</w:t>
      </w:r>
      <w:r>
        <w:rPr/>
        <w:t> 2016.</w:t>
      </w:r>
    </w:p>
    <w:p>
      <w:pPr>
        <w:spacing w:before="87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Fondation </w:t>
      </w:r>
      <w:r>
        <w:rPr>
          <w:rFonts w:ascii="Theinhardt Black"/>
          <w:b/>
          <w:spacing w:val="1"/>
          <w:sz w:val="14"/>
        </w:rPr>
        <w:t>Antenna</w:t>
      </w:r>
      <w:r>
        <w:rPr>
          <w:rFonts w:ascii="Theinhardt Black"/>
          <w:b/>
          <w:sz w:val="14"/>
        </w:rPr>
        <w:t> und OOLUX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35" w:lineRule="exact" w:before="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2"/>
          <w:sz w:val="14"/>
        </w:rPr>
        <w:t>u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21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La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Fondation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Antenna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"/>
          <w:sz w:val="14"/>
          <w:szCs w:val="14"/>
        </w:rPr>
        <w:t>est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une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fondation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suisse</w:t>
      </w:r>
      <w:r>
        <w:rPr>
          <w:rFonts w:ascii="Theinhardt Regular" w:hAnsi="Theinhardt Regular" w:cs="Theinhardt Regular" w:eastAsia="Theinhardt Regular"/>
          <w:sz w:val="14"/>
          <w:szCs w:val="14"/>
        </w:rPr>
        <w:t> qui</w:t>
      </w:r>
      <w:r>
        <w:rPr>
          <w:rFonts w:ascii="Theinhardt Regular" w:hAnsi="Theinhardt Regular" w:cs="Theinhardt Regular" w:eastAsia="Theinhardt Regular"/>
          <w:spacing w:val="5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s’engage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dans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la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recherche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scientifique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solutions</w:t>
      </w:r>
      <w:r>
        <w:rPr>
          <w:rFonts w:ascii="Theinhardt Regular" w:hAnsi="Theinhardt Regular" w:cs="Theinhardt Regular" w:eastAsia="Theinhardt Regular"/>
          <w:spacing w:val="6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technologiques,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médicales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économiques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pour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les</w:t>
      </w:r>
      <w:r>
        <w:rPr>
          <w:rFonts w:ascii="Theinhardt Regular" w:hAnsi="Theinhardt Regular" w:cs="Theinhardt Regular" w:eastAsia="Theinhardt Regular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communautés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les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plus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vulnérables.</w:t>
      </w:r>
    </w:p>
    <w:p>
      <w:pPr>
        <w:spacing w:line="172" w:lineRule="exact" w:before="41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Adresse: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-2"/>
          <w:sz w:val="14"/>
        </w:rPr>
        <w:t>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av.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Grenade,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1207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Adresse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internet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la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Fondation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Antenna: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5">
        <w:r>
          <w:rPr>
            <w:rFonts w:ascii="Theinhardt Regular"/>
            <w:spacing w:val="1"/>
            <w:sz w:val="14"/>
          </w:rPr>
          <w:t>www.antenna.ch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Adresse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internet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OOLUX: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6">
        <w:r>
          <w:rPr>
            <w:rFonts w:ascii="Theinhardt Regular"/>
            <w:spacing w:val="1"/>
            <w:sz w:val="14"/>
          </w:rPr>
          <w:t>www.oolux.org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Nombre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kits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OOLUX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vendus: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197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OOLUX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chiffres: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depuis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2013,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2’200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"/>
          <w:sz w:val="14"/>
          <w:szCs w:val="14"/>
        </w:rPr>
        <w:t>kits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ont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déjà</w:t>
      </w:r>
      <w:r>
        <w:rPr>
          <w:rFonts w:ascii="Theinhardt Regular" w:hAnsi="Theinhardt Regular" w:cs="Theinhardt Regular" w:eastAsia="Theinhardt Regular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été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vendus,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principalement</w:t>
      </w:r>
      <w:r>
        <w:rPr>
          <w:rFonts w:ascii="Theinhardt Regular" w:hAnsi="Theinhardt Regular" w:cs="Theinhardt Regular" w:eastAsia="Theinhardt Regular"/>
          <w:sz w:val="14"/>
          <w:szCs w:val="14"/>
        </w:rPr>
        <w:t> au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Kenya,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en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Ouganda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et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au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Cameroun.</w:t>
      </w:r>
    </w:p>
    <w:p>
      <w:pPr>
        <w:spacing w:before="101"/>
        <w:ind w:left="10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 w:hAnsi="Theinhardt Black"/>
          <w:b/>
          <w:spacing w:val="2"/>
          <w:sz w:val="14"/>
        </w:rPr>
        <w:t>Personnes</w:t>
      </w:r>
      <w:r>
        <w:rPr>
          <w:rFonts w:ascii="Theinhardt Black" w:hAnsi="Theinhardt Black"/>
          <w:b/>
          <w:sz w:val="14"/>
        </w:rPr>
        <w:t> </w:t>
      </w:r>
      <w:r>
        <w:rPr>
          <w:rFonts w:ascii="Theinhardt Black" w:hAnsi="Theinhardt Black"/>
          <w:b/>
          <w:spacing w:val="1"/>
          <w:sz w:val="14"/>
        </w:rPr>
        <w:t>impliquées:</w:t>
      </w:r>
      <w:r>
        <w:rPr>
          <w:rFonts w:ascii="Theinhardt Black" w:hAns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Principales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parties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prenantes: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06" w:right="44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Fondation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Antenna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Technologies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Suisse,</w:t>
      </w:r>
      <w:r>
        <w:rPr>
          <w:rFonts w:ascii="Theinhardt Regular" w:hAnsi="Theinhardt Regular"/>
          <w:spacing w:val="40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Jean-Baptiste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Decorzent,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Joël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Jeanloz</w:t>
      </w:r>
    </w:p>
    <w:p>
      <w:pPr>
        <w:spacing w:line="154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-2"/>
          <w:sz w:val="14"/>
        </w:rPr>
        <w:t>24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av.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de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la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Grenade,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1207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Genève,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022 </w:t>
      </w:r>
      <w:r>
        <w:rPr>
          <w:rFonts w:ascii="Theinhardt Regular"/>
          <w:spacing w:val="-1"/>
          <w:sz w:val="14"/>
        </w:rPr>
        <w:t>737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25</w:t>
      </w:r>
      <w:hyperlink r:id="rId7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jjeanloz@antenna.ch</w:t>
        </w:r>
      </w:hyperlink>
    </w:p>
    <w:p>
      <w:pPr>
        <w:spacing w:line="160" w:lineRule="exact" w:before="43"/>
        <w:ind w:left="106" w:right="140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Autres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parties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prenantes:</w:t>
      </w:r>
      <w:r>
        <w:rPr>
          <w:rFonts w:ascii="Theinhardt Bold"/>
          <w:b/>
          <w:spacing w:val="30"/>
          <w:sz w:val="14"/>
        </w:rPr>
        <w:t> </w:t>
      </w:r>
      <w:r>
        <w:rPr>
          <w:rFonts w:ascii="Theinhardt Regular"/>
          <w:spacing w:val="2"/>
          <w:sz w:val="14"/>
        </w:rPr>
        <w:t>Berner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Fachhochschule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BFH</w:t>
      </w:r>
      <w:r>
        <w:rPr>
          <w:rFonts w:ascii="Theinhardt Regular"/>
          <w:spacing w:val="28"/>
          <w:sz w:val="14"/>
        </w:rPr>
        <w:t> </w:t>
      </w:r>
      <w:r>
        <w:rPr>
          <w:rFonts w:ascii="Theinhardt Regular"/>
          <w:spacing w:val="2"/>
          <w:sz w:val="14"/>
        </w:rPr>
        <w:t>Quellgasse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21,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2501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Biel</w:t>
      </w:r>
    </w:p>
    <w:p>
      <w:pPr>
        <w:spacing w:line="285" w:lineRule="auto" w:before="0"/>
        <w:ind w:left="106" w:right="21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032 </w:t>
      </w:r>
      <w:r>
        <w:rPr>
          <w:rFonts w:ascii="Theinhardt Regular"/>
          <w:spacing w:val="-2"/>
          <w:sz w:val="14"/>
        </w:rPr>
        <w:t>321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61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8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office.ti-bi@bfh.ch</w:t>
        </w:r>
      </w:hyperlink>
      <w:r>
        <w:rPr>
          <w:rFonts w:ascii="Theinhardt Regular"/>
          <w:spacing w:val="42"/>
          <w:sz w:val="14"/>
        </w:rPr>
        <w:t> </w:t>
      </w:r>
      <w:r>
        <w:rPr>
          <w:rFonts w:ascii="Theinhardt Regular"/>
          <w:spacing w:val="2"/>
          <w:sz w:val="14"/>
        </w:rPr>
        <w:t>SOLAFRICA.ch</w:t>
      </w:r>
    </w:p>
    <w:p>
      <w:pPr>
        <w:spacing w:line="113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Bollwerk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3011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Bern</w:t>
      </w:r>
    </w:p>
    <w:p>
      <w:pPr>
        <w:spacing w:line="172" w:lineRule="exact" w:before="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031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5"/>
          <w:sz w:val="14"/>
        </w:rPr>
        <w:t>312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31</w:t>
      </w:r>
      <w:hyperlink r:id="rId9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2"/>
            <w:sz w:val="14"/>
          </w:rPr>
          <w:t>info@solafrica.ch</w:t>
        </w:r>
      </w:hyperlink>
    </w:p>
    <w:p>
      <w:pPr>
        <w:spacing w:line="172" w:lineRule="exact" w:before="35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African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Solar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Generation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SARL</w:t>
      </w:r>
    </w:p>
    <w:p>
      <w:pPr>
        <w:spacing w:line="207" w:lineRule="auto" w:before="6"/>
        <w:ind w:left="106" w:right="217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Sis</w:t>
      </w:r>
      <w:r>
        <w:rPr>
          <w:rFonts w:ascii="Theinhardt Regular" w:hAnsi="Theinhardt Regular"/>
          <w:sz w:val="14"/>
        </w:rPr>
        <w:t> à </w:t>
      </w:r>
      <w:r>
        <w:rPr>
          <w:rFonts w:ascii="Theinhardt Regular" w:hAnsi="Theinhardt Regular"/>
          <w:spacing w:val="2"/>
          <w:sz w:val="14"/>
        </w:rPr>
        <w:t>Mvog-Ada,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B.P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13</w:t>
      </w:r>
      <w:r>
        <w:rPr>
          <w:rFonts w:ascii="Theinhardt Regular" w:hAnsi="Theinhardt Regular"/>
          <w:sz w:val="14"/>
        </w:rPr>
        <w:t> 455 Yaoundé, </w:t>
      </w:r>
      <w:r>
        <w:rPr>
          <w:rFonts w:ascii="Theinhardt Regular" w:hAnsi="Theinhardt Regular"/>
          <w:spacing w:val="1"/>
          <w:sz w:val="14"/>
        </w:rPr>
        <w:t>Kamerun</w:t>
      </w:r>
      <w:hyperlink r:id="rId10">
        <w:r>
          <w:rPr>
            <w:rFonts w:ascii="Theinhardt Regular" w:hAnsi="Theinhardt Regular"/>
            <w:spacing w:val="24"/>
            <w:sz w:val="14"/>
          </w:rPr>
          <w:t> </w:t>
        </w:r>
        <w:r>
          <w:rPr>
            <w:rFonts w:ascii="Theinhardt Regular" w:hAnsi="Theinhardt Regular"/>
            <w:spacing w:val="2"/>
            <w:sz w:val="14"/>
          </w:rPr>
          <w:t>www.asgeneration.com,</w:t>
        </w:r>
      </w:hyperlink>
      <w:r>
        <w:rPr>
          <w:rFonts w:ascii="Theinhardt Regular" w:hAnsi="Theinhardt Regular"/>
          <w:sz w:val="14"/>
        </w:rPr>
        <w:t> </w:t>
      </w:r>
      <w:hyperlink r:id="rId11">
        <w:r>
          <w:rPr>
            <w:rFonts w:ascii="Theinhardt Regular" w:hAnsi="Theinhardt Regular"/>
            <w:spacing w:val="2"/>
            <w:sz w:val="14"/>
          </w:rPr>
          <w:t>office@asgeneration.com</w:t>
        </w:r>
        <w:r>
          <w:rPr>
            <w:rFonts w:ascii="Theinhardt Regular" w:hAnsi="Theinhardt Regular"/>
            <w:sz w:val="14"/>
          </w:rPr>
        </w:r>
      </w:hyperlink>
    </w:p>
    <w:p>
      <w:pPr>
        <w:spacing w:after="0" w:line="207" w:lineRule="auto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3" w:equalWidth="0">
            <w:col w:w="3463" w:space="108"/>
            <w:col w:w="3453" w:space="119"/>
            <w:col w:w="3567"/>
          </w:cols>
        </w:sectPr>
      </w:pP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3"/>
          <w:szCs w:val="3"/>
        </w:rPr>
      </w:pPr>
    </w:p>
    <w:p>
      <w:pPr>
        <w:spacing w:line="20" w:lineRule="atLeast"/>
        <w:ind w:left="725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5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200" w:lineRule="atLeast"/>
        <w:ind w:left="725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6695" cy="1312068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695" cy="131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0" w:val="left" w:leader="none"/>
        </w:tabs>
        <w:spacing w:before="14"/>
        <w:ind w:left="10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28.346001pt;margin-top:-226.614197pt;width:345.827pt;height:226.489pt;mso-position-horizontal-relative:page;mso-position-vertical-relative:paragraph;z-index:1192" type="#_x0000_t75" stroked="false">
            <v:imagedata r:id="rId13" o:title=""/>
          </v:shape>
        </w:pict>
      </w:r>
      <w:r>
        <w:rPr>
          <w:rFonts w:ascii="Theinhardt Bold"/>
          <w:b/>
          <w:sz w:val="14"/>
        </w:rPr>
        <w:t>1</w:t>
        <w:tab/>
        <w:t>2</w:t>
      </w:r>
      <w:r>
        <w:rPr>
          <w:rFonts w:ascii="Theinhardt Bold"/>
          <w:sz w:val="14"/>
        </w:rPr>
      </w: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23"/>
          <w:szCs w:val="23"/>
        </w:rPr>
        <w:sectPr>
          <w:type w:val="continuous"/>
          <w:pgSz w:w="11910" w:h="16840"/>
          <w:pgMar w:top="860" w:bottom="280" w:left="460" w:right="740"/>
        </w:sectPr>
      </w:pPr>
    </w:p>
    <w:p>
      <w:pPr>
        <w:numPr>
          <w:ilvl w:val="0"/>
          <w:numId w:val="1"/>
        </w:numPr>
        <w:tabs>
          <w:tab w:pos="334" w:val="left" w:leader="none"/>
        </w:tabs>
        <w:spacing w:line="160" w:lineRule="exact" w:before="76"/>
        <w:ind w:left="333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Le kit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solaire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OOLUX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 été conçu spécialement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pour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les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régions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en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Afrique,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qui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ont difficilement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accès à des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moyens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d’éclairage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abordables.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4" w:val="left" w:leader="none"/>
        </w:tabs>
        <w:spacing w:line="160" w:lineRule="exact" w:before="76"/>
        <w:ind w:left="333" w:right="384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z w:val="14"/>
        </w:rPr>
        <w:br w:type="column"/>
      </w:r>
      <w:r>
        <w:rPr>
          <w:rFonts w:ascii="Theinhardt Bold" w:hAnsi="Theinhardt Bold"/>
          <w:b/>
          <w:spacing w:val="-2"/>
          <w:sz w:val="14"/>
        </w:rPr>
        <w:t>OOLUX</w:t>
      </w:r>
      <w:r>
        <w:rPr>
          <w:rFonts w:ascii="Theinhardt Bold" w:hAnsi="Theinhardt Bold"/>
          <w:b/>
          <w:sz w:val="14"/>
        </w:rPr>
        <w:t> en </w:t>
      </w:r>
      <w:r>
        <w:rPr>
          <w:rFonts w:ascii="Theinhardt Bold" w:hAnsi="Theinhardt Bold"/>
          <w:b/>
          <w:spacing w:val="-1"/>
          <w:sz w:val="14"/>
        </w:rPr>
        <w:t>pratique: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travailler</w:t>
      </w:r>
      <w:r>
        <w:rPr>
          <w:rFonts w:ascii="Theinhardt Bold" w:hAnsi="Theinhardt Bold"/>
          <w:b/>
          <w:sz w:val="14"/>
        </w:rPr>
        <w:t> et </w:t>
      </w:r>
      <w:r>
        <w:rPr>
          <w:rFonts w:ascii="Theinhardt Bold" w:hAnsi="Theinhardt Bold"/>
          <w:b/>
          <w:spacing w:val="-1"/>
          <w:sz w:val="14"/>
        </w:rPr>
        <w:t>apprendre</w:t>
      </w:r>
      <w:r>
        <w:rPr>
          <w:rFonts w:ascii="Theinhardt Bold" w:hAnsi="Theinhardt Bold"/>
          <w:b/>
          <w:sz w:val="14"/>
        </w:rPr>
        <w:t> est</w:t>
      </w:r>
      <w:r>
        <w:rPr>
          <w:rFonts w:ascii="Theinhardt Bold" w:hAnsi="Theinhardt Bold"/>
          <w:b/>
          <w:spacing w:val="53"/>
          <w:sz w:val="14"/>
        </w:rPr>
        <w:t> </w:t>
      </w:r>
      <w:r>
        <w:rPr>
          <w:rFonts w:ascii="Theinhardt Bold" w:hAnsi="Theinhardt Bold"/>
          <w:b/>
          <w:sz w:val="14"/>
        </w:rPr>
        <w:t>désormais plus </w:t>
      </w:r>
      <w:r>
        <w:rPr>
          <w:rFonts w:ascii="Theinhardt Bold" w:hAnsi="Theinhardt Bold"/>
          <w:b/>
          <w:spacing w:val="-1"/>
          <w:sz w:val="14"/>
        </w:rPr>
        <w:t>facile.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60" w:right="740"/>
          <w:cols w:num="2" w:equalWidth="0">
            <w:col w:w="3438" w:space="134"/>
            <w:col w:w="7138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10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20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sectPr>
      <w:type w:val="continuous"/>
      <w:pgSz w:w="11910" w:h="16840"/>
      <w:pgMar w:top="860" w:bottom="280" w:left="4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3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4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4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5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5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0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16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antenna.ch/" TargetMode="External"/><Relationship Id="rId6" Type="http://schemas.openxmlformats.org/officeDocument/2006/relationships/hyperlink" Target="http://www.oolux.org/" TargetMode="External"/><Relationship Id="rId7" Type="http://schemas.openxmlformats.org/officeDocument/2006/relationships/hyperlink" Target="mailto:jjeanloz@antenna.ch" TargetMode="External"/><Relationship Id="rId8" Type="http://schemas.openxmlformats.org/officeDocument/2006/relationships/hyperlink" Target="mailto:office.ti-bi@bfh.ch" TargetMode="External"/><Relationship Id="rId9" Type="http://schemas.openxmlformats.org/officeDocument/2006/relationships/hyperlink" Target="mailto:info@solafrica.ch" TargetMode="External"/><Relationship Id="rId10" Type="http://schemas.openxmlformats.org/officeDocument/2006/relationships/hyperlink" Target="http://www.asgeneration.com/" TargetMode="External"/><Relationship Id="rId11" Type="http://schemas.openxmlformats.org/officeDocument/2006/relationships/hyperlink" Target="mailto:office@asgeneration.com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2016-09-20T15:09:04Z</dcterms:created>
  <dcterms:modified xsi:type="dcterms:W3CDTF">2016-09-20T15:09:04Z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2016-09-20T00:00:00Z</vt:filetime>
  </property>
</Properties>
</file>