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2556" w:val="left" w:leader="none"/>
        </w:tabs>
        <w:spacing w:line="230" w:lineRule="exact"/>
        <w:ind w:right="0"/>
        <w:jc w:val="left"/>
        <w:rPr>
          <w:rFonts w:ascii="Theinhardt Heavy" w:hAnsi="Theinhardt Heavy" w:cs="Theinhardt Heavy" w:eastAsia="Theinhardt Heavy"/>
          <w:b w:val="0"/>
          <w:bCs w:val="0"/>
        </w:rPr>
      </w:pPr>
      <w:r>
        <w:rPr/>
        <w:pict>
          <v:group style="position:absolute;margin-left:37.063pt;margin-top:13.347196pt;width:.1pt;height:.1pt;mso-position-horizontal-relative:page;mso-position-vertical-relative:paragraph;z-index:-5584" coordorigin="741,267" coordsize="2,2">
            <v:shape style="position:absolute;left:741;top:267;width:2;height:2" coordorigin="741,267" coordsize="0,0" path="m741,267l741,267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235992pt;margin-top:13.347196pt;width:.1pt;height:.1pt;mso-position-horizontal-relative:page;mso-position-vertical-relative:paragraph;z-index:1144" coordorigin="3185,267" coordsize="2,2">
            <v:shape style="position:absolute;left:3185;top:267;width:2;height:2" coordorigin="3185,267" coordsize="0,0" path="m3185,267l3185,267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Heavy" w:hAnsi="Theinhardt Heavy"/>
          <w:b/>
          <w:color w:val="231F20"/>
        </w:rPr>
      </w:r>
      <w:r>
        <w:rPr>
          <w:rFonts w:ascii="Theinhardt Heavy" w:hAnsi="Theinhardt Heavy"/>
          <w:b/>
          <w:color w:val="231F20"/>
          <w:u w:val="dotted" w:color="231F20"/>
        </w:rPr>
        <w:t>Catégorie B</w:t>
      </w:r>
      <w:r>
        <w:rPr>
          <w:rFonts w:ascii="Theinhardt Heavy" w:hAnsi="Theinhardt Heavy"/>
          <w:b/>
          <w:color w:val="231F20"/>
          <w:u w:val="dotted" w:color="231F20"/>
        </w:rPr>
        <w:t> </w:t>
        <w:tab/>
      </w:r>
      <w:r>
        <w:rPr>
          <w:rFonts w:ascii="Theinhardt Heavy" w:hAnsi="Theinhardt Heavy"/>
          <w:b/>
          <w:color w:val="231F20"/>
        </w:rPr>
      </w:r>
      <w:r>
        <w:rPr>
          <w:rFonts w:ascii="Theinhardt Heavy" w:hAnsi="Theinhardt Heavy"/>
          <w:b/>
          <w:color w:val="231F20"/>
          <w:spacing w:val="26"/>
        </w:rPr>
        <w:t> </w:t>
      </w:r>
      <w:r>
        <w:rPr>
          <w:rFonts w:ascii="Theinhardt Heavy" w:hAnsi="Theinhardt Heavy"/>
          <w:b/>
          <w:color w:val="231F20"/>
        </w:rPr>
        <w:t>Bâtiments: </w:t>
      </w:r>
      <w:r>
        <w:rPr>
          <w:rFonts w:ascii="Theinhardt Heavy" w:hAnsi="Theinhardt Heavy"/>
          <w:b/>
          <w:color w:val="231F20"/>
          <w:spacing w:val="-1"/>
        </w:rPr>
        <w:t>Rénovations</w:t>
      </w:r>
      <w:r>
        <w:rPr>
          <w:rFonts w:ascii="Theinhardt Heavy" w:hAnsi="Theinhardt Heavy"/>
          <w:b w:val="0"/>
        </w:rPr>
      </w:r>
    </w:p>
    <w:p>
      <w:pPr>
        <w:spacing w:line="20" w:lineRule="atLeast"/>
        <w:ind w:left="117" w:right="0" w:firstLine="0"/>
        <w:rPr>
          <w:rFonts w:ascii="Theinhardt Heavy" w:hAnsi="Theinhardt Heavy" w:cs="Theinhardt Heavy" w:eastAsia="Theinhardt Heavy"/>
          <w:sz w:val="2"/>
          <w:szCs w:val="2"/>
        </w:rPr>
      </w:pPr>
      <w:r>
        <w:rPr>
          <w:rFonts w:ascii="Theinhardt Heavy" w:hAnsi="Theinhardt Heavy" w:cs="Theinhardt Heavy" w:eastAsia="Theinhardt Heavy"/>
          <w:sz w:val="2"/>
          <w:szCs w:val="2"/>
        </w:rPr>
        <w:pict>
          <v:group style="width:122.6pt;height:.45pt;mso-position-horizontal-relative:char;mso-position-vertical-relative:line" coordorigin="0,0" coordsize="2452,9">
            <v:group style="position:absolute;left:21;top:4;width:2418;height:2" coordorigin="21,4" coordsize="2418,2">
              <v:shape style="position:absolute;left:21;top:4;width:2418;height:2" coordorigin="21,4" coordsize="2418,0" path="m21,4l2439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2448;top:4;width:2;height:2" coordorigin="2448,4" coordsize="2,2">
              <v:shape style="position:absolute;left:2448;top:4;width:2;height:2" coordorigin="2448,4" coordsize="0,0" path="m2448,4l2448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Heavy" w:hAnsi="Theinhardt Heavy" w:cs="Theinhardt Heavy" w:eastAsia="Theinhardt Heavy"/>
          <w:sz w:val="2"/>
          <w:szCs w:val="2"/>
        </w:rPr>
      </w:r>
    </w:p>
    <w:p>
      <w:pPr>
        <w:pStyle w:val="Heading2"/>
        <w:spacing w:line="240" w:lineRule="auto"/>
        <w:ind w:right="0"/>
        <w:jc w:val="left"/>
      </w:pPr>
      <w:r>
        <w:rPr>
          <w:color w:val="231F20"/>
          <w:spacing w:val="-1"/>
        </w:rPr>
        <w:t>Prix</w:t>
      </w:r>
      <w:r>
        <w:rPr>
          <w:color w:val="231F20"/>
        </w:rPr>
        <w:t> </w:t>
      </w:r>
      <w:r>
        <w:rPr>
          <w:color w:val="231F20"/>
          <w:spacing w:val="-1"/>
        </w:rPr>
        <w:t>Solaire</w:t>
      </w:r>
      <w:r>
        <w:rPr>
          <w:color w:val="231F20"/>
        </w:rPr>
        <w:t> </w:t>
      </w:r>
      <w:r>
        <w:rPr>
          <w:color w:val="231F20"/>
          <w:spacing w:val="-1"/>
        </w:rPr>
        <w:t>Suisse</w:t>
      </w:r>
      <w:r>
        <w:rPr>
          <w:color w:val="231F20"/>
        </w:rPr>
        <w:t> 2018</w:t>
      </w:r>
      <w:r>
        <w:rPr/>
      </w:r>
    </w:p>
    <w:p>
      <w:pPr>
        <w:spacing w:line="242" w:lineRule="auto" w:before="65"/>
        <w:ind w:left="117" w:right="177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projet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pilote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maison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rurale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Ecuvillens/FR,</w:t>
      </w:r>
      <w:r>
        <w:rPr>
          <w:rFonts w:ascii="Theinhardt Bold" w:hAnsi="Theinhardt Bold" w:cs="Theinhardt Bold" w:eastAsia="Theinhardt Bold"/>
          <w:b/>
          <w:bCs/>
          <w:color w:val="231F20"/>
          <w:spacing w:val="-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datant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1859,</w:t>
      </w:r>
      <w:r>
        <w:rPr>
          <w:rFonts w:ascii="Theinhardt Bold" w:hAnsi="Theinhardt Bold" w:cs="Theinhardt Bold" w:eastAsia="Theinhardt Bold"/>
          <w:b/>
          <w:bCs/>
          <w:color w:val="231F20"/>
          <w:spacing w:val="-1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utilise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modules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couleur</w:t>
      </w:r>
      <w:r>
        <w:rPr>
          <w:rFonts w:ascii="Theinhardt Bold" w:hAnsi="Theinhardt Bold" w:cs="Theinhardt Bold" w:eastAsia="Theinhardt Bold"/>
          <w:b/>
          <w:bCs/>
          <w:color w:val="231F20"/>
          <w:spacing w:val="6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terre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cuite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développés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spécifiquement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par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CSEM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Neuchâtel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Issol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Suisse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pour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des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sites</w:t>
      </w:r>
      <w:r>
        <w:rPr>
          <w:rFonts w:ascii="Theinhardt Bold" w:hAnsi="Theinhardt Bold" w:cs="Theinhardt Bold" w:eastAsia="Theinhardt Bold"/>
          <w:b/>
          <w:bCs/>
          <w:color w:val="231F20"/>
          <w:spacing w:val="4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protégés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niveau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du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patrimoine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culturel.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L’installation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 de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27,2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kWc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262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pacing w:val="18"/>
          <w:position w:val="6"/>
          <w:sz w:val="10"/>
          <w:szCs w:val="10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sur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toit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du</w:t>
      </w:r>
      <w:r>
        <w:rPr>
          <w:rFonts w:ascii="Theinhardt Bold" w:hAnsi="Theinhardt Bold" w:cs="Theinhardt Bold" w:eastAsia="Theinhardt Bold"/>
          <w:b/>
          <w:bCs/>
          <w:color w:val="231F20"/>
          <w:spacing w:val="4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bâtiment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génère,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avec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efficacité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réduite,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16’500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ou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environ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26%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consomma-</w:t>
      </w:r>
      <w:r>
        <w:rPr>
          <w:rFonts w:ascii="Theinhardt Bold" w:hAnsi="Theinhardt Bold" w:cs="Theinhardt Bold" w:eastAsia="Theinhardt Bold"/>
          <w:b/>
          <w:bCs/>
          <w:color w:val="231F20"/>
          <w:spacing w:val="4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tion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énergétique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62’500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démontrant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que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transition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énergétique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se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fait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pas</w:t>
      </w:r>
      <w:r>
        <w:rPr>
          <w:rFonts w:ascii="Theinhardt Bold" w:hAnsi="Theinhardt Bold" w:cs="Theinhardt Bold" w:eastAsia="Theinhardt Bold"/>
          <w:b/>
          <w:bCs/>
          <w:color w:val="231F20"/>
          <w:spacing w:val="8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détriment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qualité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architecturale,</w:t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ce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projet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fait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dès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lors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tomber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les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ultimes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barrières</w:t>
      </w: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</w:t>
      </w:r>
      <w:r>
        <w:rPr>
          <w:rFonts w:ascii="Theinhardt Bold" w:hAnsi="Theinhardt Bold" w:cs="Theinhardt Bold" w:eastAsia="Theinhardt Bold"/>
          <w:b/>
          <w:bCs/>
          <w:color w:val="231F20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déploiement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généralisé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du photovoltaïque.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42" w:lineRule="auto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40" w:bottom="280" w:left="620" w:right="840"/>
          <w:cols w:num="2" w:equalWidth="0">
            <w:col w:w="2557" w:space="122"/>
            <w:col w:w="811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14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4"/>
          <w:sz w:val="40"/>
        </w:rPr>
        <w:t>Maison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3"/>
          <w:sz w:val="40"/>
        </w:rPr>
        <w:t>rurale</w:t>
      </w:r>
      <w:r>
        <w:rPr>
          <w:rFonts w:ascii="Theinhardt Black"/>
          <w:b/>
          <w:color w:val="0067B1"/>
          <w:sz w:val="40"/>
        </w:rPr>
        <w:t> </w:t>
      </w:r>
      <w:r>
        <w:rPr>
          <w:rFonts w:ascii="Theinhardt Black"/>
          <w:b/>
          <w:color w:val="0067B1"/>
          <w:spacing w:val="1"/>
          <w:sz w:val="40"/>
        </w:rPr>
        <w:t>Galley,</w:t>
      </w:r>
      <w:r>
        <w:rPr>
          <w:rFonts w:ascii="Theinhardt Black"/>
          <w:b/>
          <w:color w:val="0067B1"/>
          <w:sz w:val="40"/>
        </w:rPr>
        <w:t> 1730 </w:t>
      </w:r>
      <w:r>
        <w:rPr>
          <w:rFonts w:ascii="Theinhardt Black"/>
          <w:b/>
          <w:color w:val="0067B1"/>
          <w:spacing w:val="3"/>
          <w:sz w:val="40"/>
        </w:rPr>
        <w:t>Ecuvillens/FR</w:t>
      </w:r>
      <w:r>
        <w:rPr>
          <w:rFonts w:ascii="Theinhardt Black"/>
          <w:sz w:val="40"/>
        </w:rPr>
      </w:r>
    </w:p>
    <w:p>
      <w:pPr>
        <w:spacing w:line="240" w:lineRule="auto" w:before="1"/>
        <w:rPr>
          <w:rFonts w:ascii="Theinhardt Black" w:hAnsi="Theinhardt Black" w:cs="Theinhardt Black" w:eastAsia="Theinhardt Black"/>
          <w:b/>
          <w:bCs/>
          <w:sz w:val="22"/>
          <w:szCs w:val="22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2"/>
          <w:szCs w:val="22"/>
        </w:rPr>
        <w:sectPr>
          <w:type w:val="continuous"/>
          <w:pgSz w:w="12250" w:h="17180"/>
          <w:pgMar w:top="1040" w:bottom="280" w:left="620" w:right="840"/>
        </w:sectPr>
      </w:pPr>
    </w:p>
    <w:p>
      <w:pPr>
        <w:pStyle w:val="Heading2"/>
        <w:spacing w:line="230" w:lineRule="exact" w:before="74"/>
        <w:ind w:right="0"/>
        <w:jc w:val="both"/>
      </w:pPr>
      <w:r>
        <w:rPr>
          <w:color w:val="383638"/>
        </w:rPr>
        <w:t>Il</w:t>
      </w:r>
      <w:r>
        <w:rPr>
          <w:color w:val="383638"/>
          <w:spacing w:val="14"/>
        </w:rPr>
        <w:t> </w:t>
      </w:r>
      <w:r>
        <w:rPr>
          <w:color w:val="383638"/>
          <w:spacing w:val="-1"/>
        </w:rPr>
        <w:t>aurait</w:t>
      </w:r>
      <w:r>
        <w:rPr>
          <w:color w:val="383638"/>
          <w:spacing w:val="14"/>
        </w:rPr>
        <w:t> </w:t>
      </w:r>
      <w:r>
        <w:rPr>
          <w:color w:val="383638"/>
        </w:rPr>
        <w:t>été</w:t>
      </w:r>
      <w:r>
        <w:rPr>
          <w:color w:val="383638"/>
          <w:spacing w:val="14"/>
        </w:rPr>
        <w:t> </w:t>
      </w:r>
      <w:r>
        <w:rPr>
          <w:color w:val="383638"/>
        </w:rPr>
        <w:t>impossible</w:t>
      </w:r>
      <w:r>
        <w:rPr>
          <w:color w:val="383638"/>
          <w:spacing w:val="14"/>
        </w:rPr>
        <w:t> </w:t>
      </w:r>
      <w:r>
        <w:rPr>
          <w:color w:val="383638"/>
        </w:rPr>
        <w:t>pour</w:t>
      </w:r>
      <w:r>
        <w:rPr>
          <w:color w:val="383638"/>
          <w:spacing w:val="14"/>
        </w:rPr>
        <w:t> </w:t>
      </w:r>
      <w:r>
        <w:rPr>
          <w:color w:val="383638"/>
        </w:rPr>
        <w:t>le</w:t>
      </w:r>
      <w:r>
        <w:rPr>
          <w:color w:val="383638"/>
          <w:spacing w:val="14"/>
        </w:rPr>
        <w:t> </w:t>
      </w:r>
      <w:r>
        <w:rPr>
          <w:color w:val="383638"/>
          <w:spacing w:val="-1"/>
        </w:rPr>
        <w:t>propriétaire</w:t>
      </w:r>
      <w:r>
        <w:rPr>
          <w:color w:val="383638"/>
          <w:spacing w:val="26"/>
        </w:rPr>
        <w:t> </w:t>
      </w:r>
      <w:r>
        <w:rPr>
          <w:color w:val="383638"/>
        </w:rPr>
        <w:t>de</w:t>
      </w:r>
      <w:r>
        <w:rPr>
          <w:color w:val="383638"/>
          <w:spacing w:val="4"/>
        </w:rPr>
        <w:t> </w:t>
      </w:r>
      <w:r>
        <w:rPr>
          <w:color w:val="383638"/>
        </w:rPr>
        <w:t>la</w:t>
      </w:r>
      <w:r>
        <w:rPr>
          <w:color w:val="383638"/>
          <w:spacing w:val="4"/>
        </w:rPr>
        <w:t> </w:t>
      </w:r>
      <w:r>
        <w:rPr>
          <w:color w:val="383638"/>
          <w:spacing w:val="-1"/>
        </w:rPr>
        <w:t>ferme</w:t>
      </w:r>
      <w:r>
        <w:rPr>
          <w:color w:val="383638"/>
          <w:spacing w:val="4"/>
        </w:rPr>
        <w:t> </w:t>
      </w:r>
      <w:r>
        <w:rPr>
          <w:color w:val="383638"/>
        </w:rPr>
        <w:t>d’Ecuvillens</w:t>
      </w:r>
      <w:r>
        <w:rPr>
          <w:color w:val="383638"/>
          <w:spacing w:val="4"/>
        </w:rPr>
        <w:t> </w:t>
      </w:r>
      <w:r>
        <w:rPr>
          <w:color w:val="383638"/>
        </w:rPr>
        <w:t>-</w:t>
      </w:r>
      <w:r>
        <w:rPr>
          <w:color w:val="383638"/>
          <w:spacing w:val="4"/>
        </w:rPr>
        <w:t> </w:t>
      </w:r>
      <w:r>
        <w:rPr>
          <w:color w:val="383638"/>
        </w:rPr>
        <w:t>datant</w:t>
      </w:r>
      <w:r>
        <w:rPr>
          <w:color w:val="383638"/>
          <w:spacing w:val="4"/>
        </w:rPr>
        <w:t> </w:t>
      </w:r>
      <w:r>
        <w:rPr>
          <w:color w:val="383638"/>
        </w:rPr>
        <w:t>de</w:t>
      </w:r>
      <w:r>
        <w:rPr>
          <w:color w:val="383638"/>
          <w:spacing w:val="4"/>
        </w:rPr>
        <w:t> </w:t>
      </w:r>
      <w:r>
        <w:rPr>
          <w:color w:val="383638"/>
        </w:rPr>
        <w:t>1859</w:t>
      </w:r>
      <w:r>
        <w:rPr>
          <w:color w:val="383638"/>
          <w:spacing w:val="4"/>
        </w:rPr>
        <w:t> </w:t>
      </w:r>
      <w:r>
        <w:rPr>
          <w:color w:val="383638"/>
        </w:rPr>
        <w:t>-</w:t>
      </w:r>
      <w:r>
        <w:rPr>
          <w:color w:val="383638"/>
          <w:spacing w:val="22"/>
        </w:rPr>
        <w:t> </w:t>
      </w:r>
      <w:r>
        <w:rPr>
          <w:color w:val="383638"/>
        </w:rPr>
        <w:t>de</w:t>
      </w:r>
      <w:r>
        <w:rPr>
          <w:color w:val="383638"/>
          <w:spacing w:val="21"/>
        </w:rPr>
        <w:t> </w:t>
      </w:r>
      <w:r>
        <w:rPr>
          <w:color w:val="383638"/>
          <w:spacing w:val="-2"/>
        </w:rPr>
        <w:t>produire</w:t>
      </w:r>
      <w:r>
        <w:rPr>
          <w:color w:val="383638"/>
          <w:spacing w:val="21"/>
        </w:rPr>
        <w:t> </w:t>
      </w:r>
      <w:r>
        <w:rPr>
          <w:color w:val="383638"/>
        </w:rPr>
        <w:t>lui-même</w:t>
      </w:r>
      <w:r>
        <w:rPr>
          <w:color w:val="383638"/>
          <w:spacing w:val="21"/>
        </w:rPr>
        <w:t> </w:t>
      </w:r>
      <w:r>
        <w:rPr>
          <w:color w:val="383638"/>
          <w:spacing w:val="-1"/>
        </w:rPr>
        <w:t>son</w:t>
      </w:r>
      <w:r>
        <w:rPr>
          <w:color w:val="383638"/>
          <w:spacing w:val="21"/>
        </w:rPr>
        <w:t> </w:t>
      </w:r>
      <w:r>
        <w:rPr>
          <w:color w:val="383638"/>
        </w:rPr>
        <w:t>électricité</w:t>
      </w:r>
      <w:r>
        <w:rPr>
          <w:color w:val="383638"/>
          <w:spacing w:val="21"/>
        </w:rPr>
        <w:t> </w:t>
      </w:r>
      <w:r>
        <w:rPr>
          <w:color w:val="383638"/>
        </w:rPr>
        <w:t>–</w:t>
      </w:r>
      <w:r>
        <w:rPr>
          <w:color w:val="383638"/>
          <w:spacing w:val="21"/>
        </w:rPr>
        <w:t> </w:t>
      </w:r>
      <w:r>
        <w:rPr>
          <w:color w:val="383638"/>
        </w:rPr>
        <w:t>les</w:t>
      </w:r>
      <w:r>
        <w:rPr>
          <w:color w:val="383638"/>
          <w:spacing w:val="29"/>
        </w:rPr>
        <w:t> </w:t>
      </w:r>
      <w:r>
        <w:rPr>
          <w:color w:val="383638"/>
          <w:spacing w:val="-1"/>
        </w:rPr>
        <w:t>données</w:t>
      </w:r>
      <w:r>
        <w:rPr>
          <w:color w:val="383638"/>
          <w:spacing w:val="17"/>
        </w:rPr>
        <w:t> </w:t>
      </w:r>
      <w:r>
        <w:rPr>
          <w:color w:val="383638"/>
        </w:rPr>
        <w:t>strictes</w:t>
      </w:r>
      <w:r>
        <w:rPr>
          <w:color w:val="383638"/>
          <w:spacing w:val="17"/>
        </w:rPr>
        <w:t> </w:t>
      </w:r>
      <w:r>
        <w:rPr>
          <w:color w:val="383638"/>
        </w:rPr>
        <w:t>du</w:t>
      </w:r>
      <w:r>
        <w:rPr>
          <w:color w:val="383638"/>
          <w:spacing w:val="17"/>
        </w:rPr>
        <w:t> </w:t>
      </w:r>
      <w:r>
        <w:rPr>
          <w:color w:val="383638"/>
        </w:rPr>
        <w:t>service</w:t>
      </w:r>
      <w:r>
        <w:rPr>
          <w:color w:val="383638"/>
          <w:spacing w:val="17"/>
        </w:rPr>
        <w:t> </w:t>
      </w:r>
      <w:r>
        <w:rPr>
          <w:color w:val="383638"/>
        </w:rPr>
        <w:t>des</w:t>
      </w:r>
      <w:r>
        <w:rPr>
          <w:color w:val="383638"/>
          <w:spacing w:val="17"/>
        </w:rPr>
        <w:t> </w:t>
      </w:r>
      <w:r>
        <w:rPr>
          <w:color w:val="383638"/>
        </w:rPr>
        <w:t>biens</w:t>
      </w:r>
      <w:r>
        <w:rPr>
          <w:color w:val="383638"/>
          <w:spacing w:val="17"/>
        </w:rPr>
        <w:t> </w:t>
      </w:r>
      <w:r>
        <w:rPr>
          <w:color w:val="383638"/>
          <w:spacing w:val="-1"/>
        </w:rPr>
        <w:t>cul-</w:t>
      </w:r>
      <w:r>
        <w:rPr>
          <w:color w:val="383638"/>
          <w:spacing w:val="30"/>
        </w:rPr>
        <w:t> </w:t>
      </w:r>
      <w:r>
        <w:rPr>
          <w:color w:val="383638"/>
          <w:spacing w:val="-1"/>
        </w:rPr>
        <w:t>turels</w:t>
      </w:r>
      <w:r>
        <w:rPr>
          <w:color w:val="383638"/>
          <w:spacing w:val="20"/>
        </w:rPr>
        <w:t> </w:t>
      </w:r>
      <w:r>
        <w:rPr>
          <w:color w:val="383638"/>
        </w:rPr>
        <w:t>du</w:t>
      </w:r>
      <w:r>
        <w:rPr>
          <w:color w:val="383638"/>
          <w:spacing w:val="20"/>
        </w:rPr>
        <w:t> </w:t>
      </w:r>
      <w:r>
        <w:rPr>
          <w:color w:val="383638"/>
        </w:rPr>
        <w:t>canton</w:t>
      </w:r>
      <w:r>
        <w:rPr>
          <w:color w:val="383638"/>
          <w:spacing w:val="20"/>
        </w:rPr>
        <w:t> </w:t>
      </w:r>
      <w:r>
        <w:rPr>
          <w:color w:val="383638"/>
        </w:rPr>
        <w:t>de</w:t>
      </w:r>
      <w:r>
        <w:rPr>
          <w:color w:val="383638"/>
          <w:spacing w:val="20"/>
        </w:rPr>
        <w:t> </w:t>
      </w:r>
      <w:r>
        <w:rPr>
          <w:color w:val="383638"/>
          <w:spacing w:val="-1"/>
        </w:rPr>
        <w:t>Fribourg</w:t>
      </w:r>
      <w:r>
        <w:rPr>
          <w:color w:val="383638"/>
          <w:spacing w:val="20"/>
        </w:rPr>
        <w:t> </w:t>
      </w:r>
      <w:r>
        <w:rPr>
          <w:color w:val="383638"/>
          <w:spacing w:val="-1"/>
        </w:rPr>
        <w:t>interdisant</w:t>
      </w:r>
      <w:r>
        <w:rPr>
          <w:color w:val="383638"/>
          <w:spacing w:val="20"/>
        </w:rPr>
        <w:t> </w:t>
      </w:r>
      <w:r>
        <w:rPr>
          <w:color w:val="383638"/>
        </w:rPr>
        <w:t>la</w:t>
      </w:r>
      <w:r>
        <w:rPr>
          <w:color w:val="383638"/>
          <w:spacing w:val="26"/>
        </w:rPr>
        <w:t> </w:t>
      </w:r>
      <w:r>
        <w:rPr>
          <w:color w:val="383638"/>
          <w:spacing w:val="-1"/>
        </w:rPr>
        <w:t>pose</w:t>
      </w:r>
      <w:r>
        <w:rPr>
          <w:color w:val="383638"/>
          <w:spacing w:val="25"/>
        </w:rPr>
        <w:t> </w:t>
      </w:r>
      <w:r>
        <w:rPr>
          <w:color w:val="383638"/>
        </w:rPr>
        <w:t>de</w:t>
      </w:r>
      <w:r>
        <w:rPr>
          <w:color w:val="383638"/>
          <w:spacing w:val="26"/>
        </w:rPr>
        <w:t> </w:t>
      </w:r>
      <w:r>
        <w:rPr>
          <w:color w:val="383638"/>
          <w:spacing w:val="-1"/>
        </w:rPr>
        <w:t>panneaux</w:t>
      </w:r>
      <w:r>
        <w:rPr>
          <w:color w:val="383638"/>
          <w:spacing w:val="25"/>
        </w:rPr>
        <w:t> </w:t>
      </w:r>
      <w:r>
        <w:rPr>
          <w:color w:val="383638"/>
          <w:spacing w:val="-1"/>
        </w:rPr>
        <w:t>anthracites</w:t>
      </w:r>
      <w:r>
        <w:rPr>
          <w:color w:val="383638"/>
          <w:spacing w:val="26"/>
        </w:rPr>
        <w:t> </w:t>
      </w:r>
      <w:r>
        <w:rPr>
          <w:color w:val="383638"/>
          <w:spacing w:val="-1"/>
        </w:rPr>
        <w:t>dans</w:t>
      </w:r>
      <w:r>
        <w:rPr>
          <w:color w:val="383638"/>
          <w:spacing w:val="26"/>
        </w:rPr>
        <w:t> </w:t>
      </w:r>
      <w:r>
        <w:rPr>
          <w:color w:val="383638"/>
        </w:rPr>
        <w:t>le</w:t>
      </w:r>
      <w:r>
        <w:rPr>
          <w:color w:val="383638"/>
          <w:spacing w:val="25"/>
        </w:rPr>
        <w:t> </w:t>
      </w:r>
      <w:r>
        <w:rPr>
          <w:color w:val="383638"/>
        </w:rPr>
        <w:t>vil-</w:t>
      </w:r>
      <w:r>
        <w:rPr/>
      </w:r>
    </w:p>
    <w:p>
      <w:pPr>
        <w:pStyle w:val="BodyText"/>
        <w:spacing w:line="230" w:lineRule="exact" w:before="74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383638"/>
          <w:spacing w:val="-1"/>
        </w:rPr>
        <w:t>Für</w:t>
      </w:r>
      <w:r>
        <w:rPr>
          <w:color w:val="383638"/>
          <w:spacing w:val="11"/>
        </w:rPr>
        <w:t> </w:t>
      </w:r>
      <w:r>
        <w:rPr>
          <w:color w:val="383638"/>
          <w:spacing w:val="-2"/>
        </w:rPr>
        <w:t>den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Besitzer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des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Bauernhofes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von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Ecu-</w:t>
      </w:r>
      <w:r>
        <w:rPr>
          <w:color w:val="383638"/>
          <w:spacing w:val="29"/>
        </w:rPr>
        <w:t> </w:t>
      </w:r>
      <w:r>
        <w:rPr>
          <w:color w:val="383638"/>
          <w:spacing w:val="-1"/>
        </w:rPr>
        <w:t>villens</w:t>
      </w:r>
      <w:r>
        <w:rPr>
          <w:color w:val="383638"/>
          <w:spacing w:val="-4"/>
        </w:rPr>
        <w:t> </w:t>
      </w:r>
      <w:r>
        <w:rPr>
          <w:color w:val="383638"/>
        </w:rPr>
        <w:t>-</w:t>
      </w:r>
      <w:r>
        <w:rPr>
          <w:color w:val="383638"/>
          <w:spacing w:val="-4"/>
        </w:rPr>
        <w:t> </w:t>
      </w:r>
      <w:r>
        <w:rPr>
          <w:color w:val="383638"/>
        </w:rPr>
        <w:t>erbaut</w:t>
      </w:r>
      <w:r>
        <w:rPr>
          <w:color w:val="383638"/>
          <w:spacing w:val="-4"/>
        </w:rPr>
        <w:t> </w:t>
      </w:r>
      <w:r>
        <w:rPr>
          <w:color w:val="383638"/>
        </w:rPr>
        <w:t>im</w:t>
      </w:r>
      <w:r>
        <w:rPr>
          <w:color w:val="383638"/>
          <w:spacing w:val="-4"/>
        </w:rPr>
        <w:t> </w:t>
      </w:r>
      <w:r>
        <w:rPr>
          <w:color w:val="383638"/>
        </w:rPr>
        <w:t>Jahr</w:t>
      </w:r>
      <w:r>
        <w:rPr>
          <w:color w:val="383638"/>
          <w:spacing w:val="-4"/>
        </w:rPr>
        <w:t> </w:t>
      </w:r>
      <w:r>
        <w:rPr>
          <w:color w:val="383638"/>
        </w:rPr>
        <w:t>1859</w:t>
      </w:r>
      <w:r>
        <w:rPr>
          <w:color w:val="383638"/>
          <w:spacing w:val="-4"/>
        </w:rPr>
        <w:t> </w:t>
      </w:r>
      <w:r>
        <w:rPr>
          <w:color w:val="383638"/>
        </w:rPr>
        <w:t>-</w:t>
      </w:r>
      <w:r>
        <w:rPr>
          <w:color w:val="383638"/>
          <w:spacing w:val="-4"/>
        </w:rPr>
        <w:t> </w:t>
      </w:r>
      <w:r>
        <w:rPr>
          <w:color w:val="383638"/>
          <w:spacing w:val="-1"/>
        </w:rPr>
        <w:t>wäre</w:t>
      </w:r>
      <w:r>
        <w:rPr>
          <w:color w:val="383638"/>
          <w:spacing w:val="-4"/>
        </w:rPr>
        <w:t> </w:t>
      </w:r>
      <w:r>
        <w:rPr>
          <w:color w:val="383638"/>
        </w:rPr>
        <w:t>es</w:t>
      </w:r>
      <w:r>
        <w:rPr>
          <w:color w:val="383638"/>
          <w:spacing w:val="-4"/>
        </w:rPr>
        <w:t> </w:t>
      </w:r>
      <w:r>
        <w:rPr>
          <w:color w:val="383638"/>
        </w:rPr>
        <w:t>kaum</w:t>
      </w:r>
      <w:r>
        <w:rPr>
          <w:color w:val="383638"/>
          <w:spacing w:val="29"/>
        </w:rPr>
        <w:t> </w:t>
      </w:r>
      <w:r>
        <w:rPr>
          <w:color w:val="383638"/>
          <w:spacing w:val="-2"/>
        </w:rPr>
        <w:t>möglich</w:t>
      </w:r>
      <w:r>
        <w:rPr>
          <w:color w:val="383638"/>
          <w:spacing w:val="17"/>
        </w:rPr>
        <w:t> </w:t>
      </w:r>
      <w:r>
        <w:rPr>
          <w:color w:val="383638"/>
          <w:spacing w:val="-2"/>
        </w:rPr>
        <w:t>gewesen,</w:t>
      </w:r>
      <w:r>
        <w:rPr>
          <w:color w:val="383638"/>
          <w:spacing w:val="9"/>
        </w:rPr>
        <w:t> </w:t>
      </w:r>
      <w:r>
        <w:rPr>
          <w:color w:val="383638"/>
          <w:spacing w:val="-1"/>
        </w:rPr>
        <w:t>seinen</w:t>
      </w:r>
      <w:r>
        <w:rPr>
          <w:color w:val="383638"/>
          <w:spacing w:val="17"/>
        </w:rPr>
        <w:t> </w:t>
      </w:r>
      <w:r>
        <w:rPr>
          <w:color w:val="383638"/>
          <w:spacing w:val="-2"/>
        </w:rPr>
        <w:t>eigenen</w:t>
      </w:r>
      <w:r>
        <w:rPr>
          <w:color w:val="383638"/>
          <w:spacing w:val="17"/>
        </w:rPr>
        <w:t> </w:t>
      </w:r>
      <w:r>
        <w:rPr>
          <w:color w:val="383638"/>
          <w:spacing w:val="-2"/>
        </w:rPr>
        <w:t>Strom</w:t>
      </w:r>
      <w:r>
        <w:rPr>
          <w:color w:val="383638"/>
          <w:spacing w:val="17"/>
        </w:rPr>
        <w:t> </w:t>
      </w:r>
      <w:r>
        <w:rPr>
          <w:color w:val="383638"/>
        </w:rPr>
        <w:t>zu</w:t>
      </w:r>
      <w:r>
        <w:rPr>
          <w:color w:val="383638"/>
          <w:spacing w:val="33"/>
        </w:rPr>
        <w:t> </w:t>
      </w:r>
      <w:r>
        <w:rPr>
          <w:color w:val="383638"/>
          <w:spacing w:val="-2"/>
        </w:rPr>
        <w:t>produzieren,</w:t>
      </w:r>
      <w:r>
        <w:rPr>
          <w:color w:val="383638"/>
        </w:rPr>
        <w:t> </w:t>
      </w:r>
      <w:r>
        <w:rPr>
          <w:color w:val="383638"/>
          <w:spacing w:val="-1"/>
        </w:rPr>
        <w:t>denn</w:t>
      </w:r>
      <w:r>
        <w:rPr>
          <w:color w:val="383638"/>
          <w:spacing w:val="7"/>
        </w:rPr>
        <w:t> </w:t>
      </w:r>
      <w:r>
        <w:rPr>
          <w:color w:val="383638"/>
          <w:spacing w:val="-1"/>
        </w:rPr>
        <w:t>die</w:t>
      </w:r>
      <w:r>
        <w:rPr>
          <w:color w:val="383638"/>
          <w:spacing w:val="7"/>
        </w:rPr>
        <w:t> </w:t>
      </w:r>
      <w:r>
        <w:rPr>
          <w:color w:val="383638"/>
          <w:spacing w:val="-2"/>
        </w:rPr>
        <w:t>strengen</w:t>
      </w:r>
      <w:r>
        <w:rPr>
          <w:color w:val="383638"/>
          <w:spacing w:val="7"/>
        </w:rPr>
        <w:t> </w:t>
      </w:r>
      <w:r>
        <w:rPr>
          <w:color w:val="383638"/>
        </w:rPr>
        <w:t>Denkmal-</w:t>
      </w:r>
      <w:r>
        <w:rPr>
          <w:color w:val="383638"/>
          <w:spacing w:val="27"/>
        </w:rPr>
        <w:t> </w:t>
      </w:r>
      <w:r>
        <w:rPr>
          <w:color w:val="383638"/>
          <w:spacing w:val="-1"/>
        </w:rPr>
        <w:t>schutzauflagen</w:t>
      </w:r>
      <w:r>
        <w:rPr>
          <w:color w:val="383638"/>
          <w:spacing w:val="5"/>
        </w:rPr>
        <w:t> </w:t>
      </w:r>
      <w:r>
        <w:rPr>
          <w:color w:val="383638"/>
          <w:spacing w:val="-1"/>
        </w:rPr>
        <w:t>des</w:t>
      </w:r>
      <w:r>
        <w:rPr>
          <w:color w:val="383638"/>
          <w:spacing w:val="5"/>
        </w:rPr>
        <w:t> </w:t>
      </w:r>
      <w:r>
        <w:rPr>
          <w:color w:val="383638"/>
          <w:spacing w:val="-1"/>
        </w:rPr>
        <w:t>Kantons</w:t>
      </w:r>
      <w:r>
        <w:rPr>
          <w:color w:val="383638"/>
          <w:spacing w:val="5"/>
        </w:rPr>
        <w:t> </w:t>
      </w:r>
      <w:r>
        <w:rPr>
          <w:color w:val="383638"/>
          <w:spacing w:val="-2"/>
        </w:rPr>
        <w:t>Freiburg</w:t>
      </w:r>
      <w:r>
        <w:rPr>
          <w:color w:val="383638"/>
          <w:spacing w:val="5"/>
        </w:rPr>
        <w:t> </w:t>
      </w:r>
      <w:r>
        <w:rPr>
          <w:color w:val="383638"/>
          <w:spacing w:val="-1"/>
        </w:rPr>
        <w:t>ver-</w:t>
      </w:r>
      <w:r>
        <w:rPr>
          <w:color w:val="383638"/>
          <w:spacing w:val="33"/>
        </w:rPr>
        <w:t> </w:t>
      </w:r>
      <w:r>
        <w:rPr>
          <w:color w:val="383638"/>
          <w:spacing w:val="-2"/>
        </w:rPr>
        <w:t>bieten</w:t>
      </w:r>
      <w:r>
        <w:rPr>
          <w:color w:val="383638"/>
          <w:spacing w:val="39"/>
        </w:rPr>
        <w:t> </w:t>
      </w:r>
      <w:r>
        <w:rPr>
          <w:color w:val="383638"/>
          <w:spacing w:val="-2"/>
        </w:rPr>
        <w:t>den</w:t>
      </w:r>
      <w:r>
        <w:rPr>
          <w:color w:val="383638"/>
          <w:spacing w:val="40"/>
        </w:rPr>
        <w:t> </w:t>
      </w:r>
      <w:r>
        <w:rPr>
          <w:color w:val="383638"/>
        </w:rPr>
        <w:t>Einbau</w:t>
      </w:r>
      <w:r>
        <w:rPr>
          <w:color w:val="383638"/>
          <w:spacing w:val="39"/>
        </w:rPr>
        <w:t> </w:t>
      </w:r>
      <w:r>
        <w:rPr>
          <w:color w:val="383638"/>
          <w:spacing w:val="-1"/>
        </w:rPr>
        <w:t>von</w:t>
      </w:r>
      <w:r>
        <w:rPr>
          <w:color w:val="383638"/>
          <w:spacing w:val="40"/>
        </w:rPr>
        <w:t> </w:t>
      </w:r>
      <w:r>
        <w:rPr>
          <w:color w:val="383638"/>
          <w:spacing w:val="-1"/>
        </w:rPr>
        <w:t>terracotta-farbenen</w:t>
      </w:r>
      <w:r>
        <w:rPr>
          <w:i w:val="0"/>
        </w:rPr>
      </w:r>
    </w:p>
    <w:p>
      <w:pPr>
        <w:spacing w:before="6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 w:hAnsi="Theinhardt Black"/>
          <w:b/>
          <w:color w:val="231F20"/>
          <w:spacing w:val="1"/>
          <w:sz w:val="14"/>
        </w:rPr>
        <w:t>Données</w:t>
      </w:r>
      <w:r>
        <w:rPr>
          <w:rFonts w:ascii="Theinhardt Black" w:hAnsi="Theinhardt Black"/>
          <w:b/>
          <w:color w:val="231F20"/>
          <w:sz w:val="14"/>
        </w:rPr>
        <w:t> techniques</w:t>
      </w:r>
      <w:r>
        <w:rPr>
          <w:rFonts w:ascii="Theinhardt Black" w:hAns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70.45pt;height:.45pt;mso-position-horizontal-relative:char;mso-position-vertical-relative:line" coordorigin="0,0" coordsize="3409,9">
            <v:group style="position:absolute;left:21;top:4;width:3375;height:2" coordorigin="21,4" coordsize="3375,2">
              <v:shape style="position:absolute;left:21;top:4;width:3375;height:2" coordorigin="21,4" coordsize="3375,0" path="m21,4l3396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404;top:4;width:2;height:2" coordorigin="3404,4" coordsize="2,2">
              <v:shape style="position:absolute;left:3404;top:4;width:2;height:2" coordorigin="3404,4" coordsize="0,0" path="m3404,4l340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tabs>
          <w:tab w:pos="1529" w:val="left" w:leader="none"/>
          <w:tab w:pos="1848" w:val="left" w:leader="none"/>
          <w:tab w:pos="2389" w:val="left" w:leader="none"/>
          <w:tab w:pos="2428" w:val="left" w:leader="none"/>
          <w:tab w:pos="2778" w:val="left" w:leader="none"/>
          <w:tab w:pos="2834" w:val="left" w:leader="none"/>
        </w:tabs>
        <w:spacing w:line="160" w:lineRule="exact" w:before="74"/>
        <w:ind w:left="117" w:right="20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Besoin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énergie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avant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rénovation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[100%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|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100%]</w:t>
      </w:r>
      <w:r>
        <w:rPr>
          <w:rFonts w:ascii="Theinhardt Bold" w:hAnsi="Theinhardt Bold" w:cs="Theinhardt Bold" w:eastAsia="Theinhardt Bold"/>
          <w:b/>
          <w:bCs/>
          <w:color w:val="231F20"/>
          <w:spacing w:val="4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SRE: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250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ab/>
        <w:t>%</w:t>
        <w:tab/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Chauffage/Eau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chaude: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220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88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55’000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29" w:val="left" w:leader="none"/>
          <w:tab w:pos="2399" w:val="left" w:leader="none"/>
          <w:tab w:pos="2859" w:val="left" w:leader="none"/>
        </w:tabs>
        <w:spacing w:line="165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Electricité: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30</w:t>
        <w:tab/>
      </w:r>
      <w:r>
        <w:rPr>
          <w:rFonts w:ascii="Theinhardt Regular" w:hAnsi="Theinhardt Regular" w:cs="Theinhardt Regular" w:eastAsia="Theinhardt Regular"/>
          <w:color w:val="231F20"/>
          <w:spacing w:val="-4"/>
          <w:sz w:val="14"/>
          <w:szCs w:val="14"/>
        </w:rPr>
        <w:t>12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7’500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45" w:val="left" w:leader="none"/>
          <w:tab w:pos="2309" w:val="left" w:leader="none"/>
          <w:tab w:pos="2770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Total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besoins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énerg.:</w:t>
        <w:tab/>
      </w:r>
      <w:r>
        <w:rPr>
          <w:rFonts w:ascii="Theinhardt Bold" w:hAnsi="Theinhardt Bold" w:cs="Theinhardt Bold" w:eastAsia="Theinhardt Bold"/>
          <w:b/>
          <w:bCs/>
          <w:color w:val="231F20"/>
          <w:w w:val="95"/>
          <w:sz w:val="14"/>
          <w:szCs w:val="14"/>
        </w:rPr>
        <w:t>250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62’500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Alimentation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énergetique</w:t>
      </w:r>
      <w:r>
        <w:rPr>
          <w:rFonts w:ascii="Theinhardt Bold" w:hAnsi="Theinhardt Bold"/>
          <w:sz w:val="14"/>
        </w:rPr>
      </w:r>
    </w:p>
    <w:p>
      <w:pPr>
        <w:spacing w:after="0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40" w:bottom="280" w:left="620" w:right="840"/>
          <w:cols w:num="3" w:equalWidth="0">
            <w:col w:w="3463" w:space="109"/>
            <w:col w:w="3463" w:space="109"/>
            <w:col w:w="3646"/>
          </w:cols>
        </w:sectPr>
      </w:pPr>
    </w:p>
    <w:p>
      <w:pPr>
        <w:pStyle w:val="Heading2"/>
        <w:spacing w:line="130" w:lineRule="exact" w:before="9"/>
        <w:ind w:right="0"/>
        <w:jc w:val="left"/>
      </w:pPr>
      <w:r>
        <w:rPr>
          <w:color w:val="383638"/>
          <w:spacing w:val="-1"/>
        </w:rPr>
        <w:t>lage</w:t>
      </w:r>
      <w:r>
        <w:rPr>
          <w:color w:val="383638"/>
          <w:spacing w:val="37"/>
        </w:rPr>
        <w:t> </w:t>
      </w:r>
      <w:r>
        <w:rPr>
          <w:color w:val="383638"/>
        </w:rPr>
        <w:t>d’Ecuvillens.</w:t>
      </w:r>
      <w:r>
        <w:rPr>
          <w:color w:val="383638"/>
          <w:spacing w:val="27"/>
        </w:rPr>
        <w:t> </w:t>
      </w:r>
      <w:r>
        <w:rPr>
          <w:color w:val="383638"/>
          <w:spacing w:val="-2"/>
        </w:rPr>
        <w:t>C’est</w:t>
      </w:r>
      <w:r>
        <w:rPr>
          <w:color w:val="383638"/>
          <w:spacing w:val="37"/>
        </w:rPr>
        <w:t> </w:t>
      </w:r>
      <w:r>
        <w:rPr>
          <w:color w:val="383638"/>
          <w:spacing w:val="-1"/>
        </w:rPr>
        <w:t>grâce</w:t>
      </w:r>
      <w:r>
        <w:rPr>
          <w:color w:val="383638"/>
          <w:spacing w:val="38"/>
        </w:rPr>
        <w:t> </w:t>
      </w:r>
      <w:r>
        <w:rPr>
          <w:color w:val="383638"/>
        </w:rPr>
        <w:t>aux</w:t>
      </w:r>
      <w:r>
        <w:rPr>
          <w:color w:val="383638"/>
          <w:spacing w:val="38"/>
        </w:rPr>
        <w:t> </w:t>
      </w:r>
      <w:r>
        <w:rPr>
          <w:color w:val="383638"/>
          <w:spacing w:val="-2"/>
        </w:rPr>
        <w:t>travaux</w:t>
      </w:r>
      <w:r>
        <w:rPr/>
      </w:r>
    </w:p>
    <w:p>
      <w:pPr>
        <w:pStyle w:val="BodyText"/>
        <w:spacing w:line="130" w:lineRule="exact" w:before="9"/>
        <w:ind w:right="0"/>
        <w:jc w:val="left"/>
        <w:rPr>
          <w:i w:val="0"/>
        </w:rPr>
      </w:pPr>
      <w:r>
        <w:rPr>
          <w:i w:val="0"/>
        </w:rPr>
        <w:br w:type="column"/>
      </w:r>
      <w:r>
        <w:rPr>
          <w:color w:val="383638"/>
          <w:spacing w:val="-1"/>
        </w:rPr>
        <w:t>Solarmodulen</w:t>
      </w:r>
      <w:r>
        <w:rPr>
          <w:color w:val="383638"/>
          <w:spacing w:val="20"/>
        </w:rPr>
        <w:t> </w:t>
      </w:r>
      <w:r>
        <w:rPr>
          <w:color w:val="383638"/>
        </w:rPr>
        <w:t>im</w:t>
      </w:r>
      <w:r>
        <w:rPr>
          <w:color w:val="383638"/>
          <w:spacing w:val="20"/>
        </w:rPr>
        <w:t> </w:t>
      </w:r>
      <w:r>
        <w:rPr>
          <w:color w:val="383638"/>
          <w:spacing w:val="3"/>
        </w:rPr>
        <w:t>Dorf</w:t>
      </w:r>
      <w:r>
        <w:rPr>
          <w:color w:val="383638"/>
          <w:spacing w:val="20"/>
        </w:rPr>
        <w:t> </w:t>
      </w:r>
      <w:r>
        <w:rPr>
          <w:color w:val="383638"/>
          <w:spacing w:val="-1"/>
        </w:rPr>
        <w:t>Ecuvillens.</w:t>
      </w:r>
      <w:r>
        <w:rPr>
          <w:color w:val="383638"/>
          <w:spacing w:val="13"/>
        </w:rPr>
        <w:t> </w:t>
      </w:r>
      <w:r>
        <w:rPr>
          <w:color w:val="383638"/>
          <w:spacing w:val="1"/>
        </w:rPr>
        <w:t>Dank</w:t>
      </w:r>
      <w:r>
        <w:rPr>
          <w:color w:val="383638"/>
          <w:spacing w:val="20"/>
        </w:rPr>
        <w:t> </w:t>
      </w:r>
      <w:r>
        <w:rPr>
          <w:color w:val="383638"/>
          <w:spacing w:val="-2"/>
        </w:rPr>
        <w:t>der</w:t>
      </w:r>
      <w:r>
        <w:rPr>
          <w:i w:val="0"/>
        </w:rPr>
      </w:r>
    </w:p>
    <w:p>
      <w:pPr>
        <w:spacing w:line="13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/>
        <w:br w:type="column"/>
      </w:r>
      <w:r>
        <w:rPr>
          <w:rFonts w:ascii="Theinhardt Regular"/>
          <w:color w:val="231F20"/>
          <w:spacing w:val="1"/>
          <w:sz w:val="14"/>
        </w:rPr>
        <w:t>Autoprod.:</w:t>
      </w:r>
      <w:r>
        <w:rPr>
          <w:rFonts w:ascii="Theinhardt Regular"/>
          <w:color w:val="231F20"/>
          <w:spacing w:val="3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  <w:r>
        <w:rPr>
          <w:rFonts w:ascii="Theinhardt Regular"/>
          <w:sz w:val="8"/>
        </w:rPr>
      </w:r>
    </w:p>
    <w:p>
      <w:pPr>
        <w:tabs>
          <w:tab w:pos="1391" w:val="left" w:leader="none"/>
          <w:tab w:pos="1797" w:val="left" w:leader="none"/>
        </w:tabs>
        <w:spacing w:line="134" w:lineRule="exact" w:before="0"/>
        <w:ind w:left="110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/>
          <w:color w:val="231F20"/>
          <w:sz w:val="14"/>
        </w:rPr>
        <w:t>kWp </w:t>
      </w:r>
      <w:r>
        <w:rPr>
          <w:rFonts w:ascii="Theinhardt Regular"/>
          <w:color w:val="231F20"/>
          <w:spacing w:val="37"/>
          <w:sz w:val="14"/>
        </w:rPr>
        <w:t> </w:t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  <w:tab/>
        <w:t>%</w:t>
        <w:tab/>
        <w:t>kWh/a</w:t>
      </w:r>
      <w:r>
        <w:rPr>
          <w:rFonts w:ascii="Theinhardt Regular"/>
          <w:sz w:val="14"/>
        </w:rPr>
      </w:r>
    </w:p>
    <w:p>
      <w:pPr>
        <w:spacing w:after="0" w:line="134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40" w:bottom="280" w:left="620" w:right="840"/>
          <w:cols w:num="4" w:equalWidth="0">
            <w:col w:w="3462" w:space="109"/>
            <w:col w:w="3462" w:space="109"/>
            <w:col w:w="998" w:space="40"/>
            <w:col w:w="2610"/>
          </w:cols>
        </w:sectPr>
      </w:pPr>
    </w:p>
    <w:p>
      <w:pPr>
        <w:pStyle w:val="Heading2"/>
        <w:spacing w:line="230" w:lineRule="exact" w:before="90"/>
        <w:ind w:right="8"/>
        <w:jc w:val="both"/>
      </w:pPr>
      <w:r>
        <w:rPr>
          <w:color w:val="383638"/>
        </w:rPr>
        <w:t>poursuivis</w:t>
      </w:r>
      <w:r>
        <w:rPr>
          <w:color w:val="383638"/>
          <w:spacing w:val="13"/>
        </w:rPr>
        <w:t> </w:t>
      </w:r>
      <w:r>
        <w:rPr>
          <w:color w:val="383638"/>
        </w:rPr>
        <w:t>à</w:t>
      </w:r>
      <w:r>
        <w:rPr>
          <w:color w:val="383638"/>
          <w:spacing w:val="13"/>
        </w:rPr>
        <w:t> </w:t>
      </w:r>
      <w:r>
        <w:rPr>
          <w:color w:val="383638"/>
        </w:rPr>
        <w:t>partir</w:t>
      </w:r>
      <w:r>
        <w:rPr>
          <w:color w:val="383638"/>
          <w:spacing w:val="13"/>
        </w:rPr>
        <w:t> </w:t>
      </w:r>
      <w:r>
        <w:rPr>
          <w:color w:val="383638"/>
        </w:rPr>
        <w:t>de</w:t>
      </w:r>
      <w:r>
        <w:rPr>
          <w:color w:val="383638"/>
          <w:spacing w:val="13"/>
        </w:rPr>
        <w:t> </w:t>
      </w:r>
      <w:r>
        <w:rPr>
          <w:color w:val="383638"/>
        </w:rPr>
        <w:t>2014</w:t>
      </w:r>
      <w:r>
        <w:rPr>
          <w:color w:val="383638"/>
          <w:spacing w:val="13"/>
        </w:rPr>
        <w:t> </w:t>
      </w:r>
      <w:r>
        <w:rPr>
          <w:color w:val="383638"/>
          <w:spacing w:val="-1"/>
        </w:rPr>
        <w:t>par</w:t>
      </w:r>
      <w:r>
        <w:rPr>
          <w:color w:val="383638"/>
          <w:spacing w:val="13"/>
        </w:rPr>
        <w:t> </w:t>
      </w:r>
      <w:r>
        <w:rPr>
          <w:color w:val="383638"/>
        </w:rPr>
        <w:t>le</w:t>
      </w:r>
      <w:r>
        <w:rPr>
          <w:color w:val="383638"/>
          <w:spacing w:val="13"/>
        </w:rPr>
        <w:t> </w:t>
      </w:r>
      <w:r>
        <w:rPr>
          <w:color w:val="383638"/>
          <w:spacing w:val="-1"/>
        </w:rPr>
        <w:t>CSEM</w:t>
      </w:r>
      <w:r>
        <w:rPr>
          <w:color w:val="383638"/>
          <w:spacing w:val="13"/>
        </w:rPr>
        <w:t> </w:t>
      </w:r>
      <w:r>
        <w:rPr>
          <w:color w:val="383638"/>
        </w:rPr>
        <w:t>à</w:t>
      </w:r>
      <w:r>
        <w:rPr>
          <w:color w:val="383638"/>
          <w:spacing w:val="27"/>
        </w:rPr>
        <w:t> </w:t>
      </w:r>
      <w:r>
        <w:rPr>
          <w:color w:val="383638"/>
        </w:rPr>
        <w:t>Neuchâtel</w:t>
      </w:r>
      <w:r>
        <w:rPr>
          <w:color w:val="383638"/>
          <w:spacing w:val="32"/>
        </w:rPr>
        <w:t> </w:t>
      </w:r>
      <w:r>
        <w:rPr>
          <w:color w:val="383638"/>
          <w:spacing w:val="-2"/>
        </w:rPr>
        <w:t>avec</w:t>
      </w:r>
      <w:r>
        <w:rPr>
          <w:color w:val="383638"/>
          <w:spacing w:val="33"/>
        </w:rPr>
        <w:t> </w:t>
      </w:r>
      <w:r>
        <w:rPr>
          <w:color w:val="383638"/>
        </w:rPr>
        <w:t>la</w:t>
      </w:r>
      <w:r>
        <w:rPr>
          <w:color w:val="383638"/>
          <w:spacing w:val="32"/>
        </w:rPr>
        <w:t> </w:t>
      </w:r>
      <w:r>
        <w:rPr>
          <w:color w:val="383638"/>
          <w:spacing w:val="-1"/>
        </w:rPr>
        <w:t>coopération</w:t>
      </w:r>
      <w:r>
        <w:rPr>
          <w:color w:val="383638"/>
          <w:spacing w:val="33"/>
        </w:rPr>
        <w:t> </w:t>
      </w:r>
      <w:r>
        <w:rPr>
          <w:color w:val="383638"/>
          <w:spacing w:val="-1"/>
        </w:rPr>
        <w:t>d’Issol</w:t>
      </w:r>
      <w:r>
        <w:rPr>
          <w:color w:val="383638"/>
          <w:spacing w:val="33"/>
        </w:rPr>
        <w:t> </w:t>
      </w:r>
      <w:r>
        <w:rPr>
          <w:color w:val="383638"/>
          <w:spacing w:val="-1"/>
        </w:rPr>
        <w:t>Su-</w:t>
      </w:r>
      <w:r>
        <w:rPr>
          <w:color w:val="383638"/>
          <w:spacing w:val="41"/>
        </w:rPr>
        <w:t> </w:t>
      </w:r>
      <w:r>
        <w:rPr>
          <w:color w:val="383638"/>
          <w:spacing w:val="-1"/>
        </w:rPr>
        <w:t>isse</w:t>
      </w:r>
      <w:r>
        <w:rPr>
          <w:color w:val="383638"/>
        </w:rPr>
        <w:t> un système </w:t>
      </w:r>
      <w:r>
        <w:rPr>
          <w:color w:val="383638"/>
          <w:spacing w:val="-2"/>
        </w:rPr>
        <w:t>solaire</w:t>
      </w:r>
      <w:r>
        <w:rPr>
          <w:color w:val="383638"/>
        </w:rPr>
        <w:t> a pu </w:t>
      </w:r>
      <w:r>
        <w:rPr>
          <w:color w:val="383638"/>
          <w:spacing w:val="-2"/>
        </w:rPr>
        <w:t>être</w:t>
      </w:r>
      <w:r>
        <w:rPr>
          <w:color w:val="383638"/>
        </w:rPr>
        <w:t> </w:t>
      </w:r>
      <w:r>
        <w:rPr>
          <w:color w:val="383638"/>
          <w:spacing w:val="-1"/>
        </w:rPr>
        <w:t>réalisé.</w:t>
      </w:r>
      <w:r>
        <w:rPr/>
      </w:r>
    </w:p>
    <w:p>
      <w:pPr>
        <w:spacing w:line="230" w:lineRule="exact" w:before="0"/>
        <w:ind w:left="117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Bien</w:t>
      </w:r>
      <w:r>
        <w:rPr>
          <w:rFonts w:ascii="Theinhardt Regular" w:hAnsi="Theinhardt Regular" w:cs="Theinhardt Regular" w:eastAsia="Theinhardt Regular"/>
          <w:color w:val="383638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intégrée</w:t>
      </w:r>
      <w:r>
        <w:rPr>
          <w:rFonts w:ascii="Theinhardt Regular" w:hAnsi="Theinhardt Regular" w:cs="Theinhardt Regular" w:eastAsia="Theinhardt Regular"/>
          <w:color w:val="383638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au</w:t>
      </w:r>
      <w:r>
        <w:rPr>
          <w:rFonts w:ascii="Theinhardt Regular" w:hAnsi="Theinhardt Regular" w:cs="Theinhardt Regular" w:eastAsia="Theinhardt Regular"/>
          <w:color w:val="383638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toit,</w:t>
      </w:r>
      <w:r>
        <w:rPr>
          <w:rFonts w:ascii="Theinhardt Regular" w:hAnsi="Theinhardt Regular" w:cs="Theinhardt Regular" w:eastAsia="Theinhardt Regular"/>
          <w:color w:val="383638"/>
          <w:spacing w:val="-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l’installation</w:t>
      </w:r>
      <w:r>
        <w:rPr>
          <w:rFonts w:ascii="Theinhardt Regular" w:hAnsi="Theinhardt Regular" w:cs="Theinhardt Regular" w:eastAsia="Theinhardt Regular"/>
          <w:color w:val="383638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PV</w:t>
      </w:r>
      <w:r>
        <w:rPr>
          <w:rFonts w:ascii="Theinhardt Regular" w:hAnsi="Theinhardt Regular" w:cs="Theinhardt Regular" w:eastAsia="Theinhardt Regular"/>
          <w:color w:val="383638"/>
          <w:spacing w:val="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383638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27,2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kW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alimente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le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bâtiment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en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électrici-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té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et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couvre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à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peu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près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26%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383638"/>
          <w:spacing w:val="1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besoins.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383638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couleur</w:t>
      </w:r>
      <w:r>
        <w:rPr>
          <w:rFonts w:ascii="Theinhardt Regular" w:hAnsi="Theinhardt Regular" w:cs="Theinhardt Regular" w:eastAsia="Theinhardt Regular"/>
          <w:color w:val="383638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terre</w:t>
      </w:r>
      <w:r>
        <w:rPr>
          <w:rFonts w:ascii="Theinhardt Regular" w:hAnsi="Theinhardt Regular" w:cs="Theinhardt Regular" w:eastAsia="Theinhardt Regular"/>
          <w:color w:val="383638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cuite</w:t>
      </w:r>
      <w:r>
        <w:rPr>
          <w:rFonts w:ascii="Theinhardt Regular" w:hAnsi="Theinhardt Regular" w:cs="Theinhardt Regular" w:eastAsia="Theinhardt Regular"/>
          <w:color w:val="383638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des</w:t>
      </w:r>
      <w:r>
        <w:rPr>
          <w:rFonts w:ascii="Theinhardt Regular" w:hAnsi="Theinhardt Regular" w:cs="Theinhardt Regular" w:eastAsia="Theinhardt Regular"/>
          <w:color w:val="383638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panneaux</w:t>
      </w:r>
      <w:r>
        <w:rPr>
          <w:rFonts w:ascii="Theinhardt Regular" w:hAnsi="Theinhardt Regular" w:cs="Theinhardt Regular" w:eastAsia="Theinhardt Regular"/>
          <w:color w:val="383638"/>
          <w:spacing w:val="1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réduit</w:t>
      </w:r>
      <w:r>
        <w:rPr>
          <w:rFonts w:ascii="Theinhardt Regular" w:hAnsi="Theinhardt Regular" w:cs="Theinhardt Regular" w:eastAsia="Theinhardt Regular"/>
          <w:color w:val="383638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leur</w:t>
      </w:r>
      <w:r>
        <w:rPr>
          <w:rFonts w:ascii="Theinhardt Regular" w:hAnsi="Theinhardt Regular" w:cs="Theinhardt Regular" w:eastAsia="Theinhardt Regular"/>
          <w:color w:val="383638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efficacité</w:t>
      </w:r>
      <w:r>
        <w:rPr>
          <w:rFonts w:ascii="Theinhardt Regular" w:hAnsi="Theinhardt Regular" w:cs="Theinhardt Regular" w:eastAsia="Theinhardt Regular"/>
          <w:color w:val="383638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3"/>
          <w:sz w:val="18"/>
          <w:szCs w:val="18"/>
        </w:rPr>
        <w:t>d’environ</w:t>
      </w:r>
      <w:r>
        <w:rPr>
          <w:rFonts w:ascii="Theinhardt Regular" w:hAnsi="Theinhardt Regular" w:cs="Theinhardt Regular" w:eastAsia="Theinhardt Regular"/>
          <w:color w:val="383638"/>
          <w:spacing w:val="3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39%*</w:t>
      </w:r>
      <w:r>
        <w:rPr>
          <w:rFonts w:ascii="Theinhardt Regular" w:hAnsi="Theinhardt Regular" w:cs="Theinhardt Regular" w:eastAsia="Theinhardt Regular"/>
          <w:color w:val="383638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ou</w:t>
      </w:r>
      <w:r>
        <w:rPr>
          <w:rFonts w:ascii="Theinhardt Regular" w:hAnsi="Theinhardt Regular" w:cs="Theinhardt Regular" w:eastAsia="Theinhardt Regular"/>
          <w:color w:val="383638"/>
          <w:spacing w:val="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10’800</w:t>
      </w:r>
      <w:r>
        <w:rPr>
          <w:rFonts w:ascii="Theinhardt Regular" w:hAnsi="Theinhardt Regular" w:cs="Theinhardt Regular" w:eastAsia="Theinhardt Regular"/>
          <w:color w:val="383638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kWh/a,</w:t>
      </w:r>
      <w:r>
        <w:rPr>
          <w:rFonts w:ascii="Theinhardt Regular" w:hAnsi="Theinhardt Regular" w:cs="Theinhardt Regular" w:eastAsia="Theinhardt Regular"/>
          <w:color w:val="383638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faisant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plafonner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leur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production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à</w:t>
      </w:r>
      <w:r>
        <w:rPr>
          <w:rFonts w:ascii="Theinhardt Regular" w:hAnsi="Theinhardt Regular" w:cs="Theinhardt Regular" w:eastAsia="Theinhardt Regular"/>
          <w:color w:val="383638"/>
          <w:spacing w:val="4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16’500</w:t>
      </w:r>
      <w:r>
        <w:rPr>
          <w:rFonts w:ascii="Theinhardt Regular" w:hAnsi="Theinhardt Regular" w:cs="Theinhardt Regular" w:eastAsia="Theinhardt Regular"/>
          <w:color w:val="383638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kWh/a.</w:t>
      </w:r>
      <w:r>
        <w:rPr>
          <w:rFonts w:ascii="Theinhardt Regular" w:hAnsi="Theinhardt Regular" w:cs="Theinhardt Regular" w:eastAsia="Theinhardt Regular"/>
          <w:color w:val="383638"/>
          <w:spacing w:val="-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383638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ferme</w:t>
      </w:r>
      <w:r>
        <w:rPr>
          <w:rFonts w:ascii="Theinhardt Regular" w:hAnsi="Theinhardt Regular" w:cs="Theinhardt Regular" w:eastAsia="Theinhardt Regular"/>
          <w:color w:val="383638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consomme</w:t>
      </w:r>
      <w:r>
        <w:rPr>
          <w:rFonts w:ascii="Theinhardt Regular" w:hAnsi="Theinhardt Regular" w:cs="Theinhardt Regular" w:eastAsia="Theinhardt Regular"/>
          <w:color w:val="383638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2’500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</w:t>
      </w:r>
      <w:r>
        <w:rPr>
          <w:rFonts w:ascii="Theinhardt Regular" w:hAnsi="Theinhardt Regular" w:cs="Theinhardt Regular" w:eastAsia="Theinhardt Regular"/>
          <w:color w:val="383638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383638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mazout,</w:t>
      </w:r>
      <w:r>
        <w:rPr>
          <w:rFonts w:ascii="Theinhardt Regular" w:hAnsi="Theinhardt Regular" w:cs="Theinhardt Regular" w:eastAsia="Theinhardt Regular"/>
          <w:color w:val="383638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soit</w:t>
      </w:r>
      <w:r>
        <w:rPr>
          <w:rFonts w:ascii="Theinhardt Regular" w:hAnsi="Theinhardt Regular" w:cs="Theinhardt Regular" w:eastAsia="Theinhardt Regular"/>
          <w:color w:val="383638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quelque</w:t>
      </w:r>
      <w:r>
        <w:rPr>
          <w:rFonts w:ascii="Theinhardt Regular" w:hAnsi="Theinhardt Regular" w:cs="Theinhardt Regular" w:eastAsia="Theinhardt Regular"/>
          <w:color w:val="383638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27’500</w:t>
      </w:r>
      <w:r>
        <w:rPr>
          <w:rFonts w:ascii="Theinhardt Regular" w:hAnsi="Theinhardt Regular" w:cs="Theinhardt Regular" w:eastAsia="Theinhardt Regular"/>
          <w:color w:val="383638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kWh/a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d’énergie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fossile.</w:t>
      </w:r>
      <w:r>
        <w:rPr>
          <w:rFonts w:ascii="Theinhardt Regular" w:hAnsi="Theinhardt Regular" w:cs="Theinhardt Regular" w:eastAsia="Theinhardt Regular"/>
          <w:color w:val="383638"/>
          <w:spacing w:val="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Elle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émet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environ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7,5</w:t>
      </w:r>
      <w:r>
        <w:rPr>
          <w:rFonts w:ascii="Theinhardt Regular" w:hAnsi="Theinhardt Regular" w:cs="Theinhardt Regular" w:eastAsia="Theinhardt Regular"/>
          <w:color w:val="383638"/>
          <w:spacing w:val="1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t/a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383638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CO</w:t>
      </w:r>
      <w:r>
        <w:rPr>
          <w:rFonts w:ascii="Theinhardt Regular" w:hAnsi="Theinhardt Regular" w:cs="Theinhardt Regular" w:eastAsia="Theinhardt Regular"/>
          <w:color w:val="383638"/>
          <w:position w:val="-5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.</w:t>
      </w:r>
      <w:r>
        <w:rPr>
          <w:rFonts w:ascii="Theinhardt Regular" w:hAnsi="Theinhardt Regular" w:cs="Theinhardt Regular" w:eastAsia="Theinhardt Regular"/>
          <w:color w:val="383638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Une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isolation</w:t>
      </w:r>
      <w:r>
        <w:rPr>
          <w:rFonts w:ascii="Theinhardt Regular" w:hAnsi="Theinhardt Regular" w:cs="Theinhardt Regular" w:eastAsia="Theinhardt Regular"/>
          <w:color w:val="383638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383638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meilleure</w:t>
      </w:r>
      <w:r>
        <w:rPr>
          <w:rFonts w:ascii="Theinhardt Regular" w:hAnsi="Theinhardt Regular" w:cs="Theinhardt Regular" w:eastAsia="Theinhardt Regular"/>
          <w:color w:val="383638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qualité</w:t>
      </w:r>
      <w:r>
        <w:rPr>
          <w:rFonts w:ascii="Theinhardt Regular" w:hAnsi="Theinhardt Regular" w:cs="Theinhardt Regular" w:eastAsia="Theinhardt Regular"/>
          <w:color w:val="383638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permettrait</w:t>
      </w:r>
      <w:r>
        <w:rPr>
          <w:rFonts w:ascii="Theinhardt Regular" w:hAnsi="Theinhardt Regular" w:cs="Theinhardt Regular" w:eastAsia="Theinhardt Regular"/>
          <w:color w:val="383638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limiter</w:t>
      </w:r>
      <w:r>
        <w:rPr>
          <w:rFonts w:ascii="Theinhardt Regular" w:hAnsi="Theinhardt Regular" w:cs="Theinhardt Regular" w:eastAsia="Theinhardt Regular"/>
          <w:color w:val="383638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considérablement</w:t>
      </w:r>
      <w:r>
        <w:rPr>
          <w:rFonts w:ascii="Theinhardt Regular" w:hAnsi="Theinhardt Regular" w:cs="Theinhardt Regular" w:eastAsia="Theinhardt Regular"/>
          <w:color w:val="383638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383638"/>
          <w:spacing w:val="4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consommation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très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élevée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d’énergie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et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les</w:t>
      </w:r>
      <w:r>
        <w:rPr>
          <w:rFonts w:ascii="Theinhardt Regular" w:hAnsi="Theinhardt Regular" w:cs="Theinhardt Regular" w:eastAsia="Theinhardt Regular"/>
          <w:color w:val="383638"/>
          <w:spacing w:val="3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7,5 t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CO</w:t>
      </w:r>
      <w:r>
        <w:rPr>
          <w:rFonts w:ascii="Theinhardt Regular" w:hAnsi="Theinhardt Regular" w:cs="Theinhardt Regular" w:eastAsia="Theinhardt Regular"/>
          <w:color w:val="383638"/>
          <w:position w:val="-5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0" w:lineRule="exact" w:before="0"/>
        <w:ind w:left="117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En</w:t>
      </w:r>
      <w:r>
        <w:rPr>
          <w:rFonts w:ascii="Theinhardt Regular" w:hAnsi="Theinhardt Regular" w:cs="Theinhardt Regular" w:eastAsia="Theinhardt Regular"/>
          <w:color w:val="383638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remplaçant</w:t>
      </w:r>
      <w:r>
        <w:rPr>
          <w:rFonts w:ascii="Theinhardt Regular" w:hAnsi="Theinhardt Regular" w:cs="Theinhardt Regular" w:eastAsia="Theinhardt Regular"/>
          <w:color w:val="383638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l’usage</w:t>
      </w:r>
      <w:r>
        <w:rPr>
          <w:rFonts w:ascii="Theinhardt Regular" w:hAnsi="Theinhardt Regular" w:cs="Theinhardt Regular" w:eastAsia="Theinhardt Regular"/>
          <w:color w:val="383638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383638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tuiles</w:t>
      </w:r>
      <w:r>
        <w:rPr>
          <w:rFonts w:ascii="Theinhardt Regular" w:hAnsi="Theinhardt Regular" w:cs="Theinhardt Regular" w:eastAsia="Theinhardt Regular"/>
          <w:color w:val="383638"/>
          <w:spacing w:val="-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tradition-</w:t>
      </w:r>
      <w:r>
        <w:rPr>
          <w:rFonts w:ascii="Theinhardt Regular" w:hAnsi="Theinhardt Regular" w:cs="Theinhardt Regular" w:eastAsia="Theinhardt Regular"/>
          <w:color w:val="383638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nelles,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les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panneaux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PV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servent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de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protec-</w:t>
      </w:r>
      <w:r>
        <w:rPr>
          <w:rFonts w:ascii="Theinhardt Regular" w:hAnsi="Theinhardt Regular" w:cs="Theinhardt Regular" w:eastAsia="Theinhardt Regular"/>
          <w:color w:val="383638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tion,</w:t>
      </w:r>
      <w:r>
        <w:rPr>
          <w:rFonts w:ascii="Theinhardt Regular" w:hAnsi="Theinhardt Regular" w:cs="Theinhardt Regular" w:eastAsia="Theinhardt Regular"/>
          <w:color w:val="383638"/>
          <w:spacing w:val="-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assurent</w:t>
      </w:r>
      <w:r>
        <w:rPr>
          <w:rFonts w:ascii="Theinhardt Regular" w:hAnsi="Theinhardt Regular" w:cs="Theinhardt Regular" w:eastAsia="Theinhardt Regular"/>
          <w:color w:val="383638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383638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production</w:t>
      </w:r>
      <w:r>
        <w:rPr>
          <w:rFonts w:ascii="Theinhardt Regular" w:hAnsi="Theinhardt Regular" w:cs="Theinhardt Regular" w:eastAsia="Theinhardt Regular"/>
          <w:color w:val="383638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d’énergie</w:t>
      </w:r>
      <w:r>
        <w:rPr>
          <w:rFonts w:ascii="Theinhardt Regular" w:hAnsi="Theinhardt Regular" w:cs="Theinhardt Regular" w:eastAsia="Theinhardt Regular"/>
          <w:color w:val="383638"/>
          <w:spacing w:val="-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renou-</w:t>
      </w:r>
      <w:r>
        <w:rPr>
          <w:rFonts w:ascii="Theinhardt Regular" w:hAnsi="Theinhardt Regular" w:cs="Theinhardt Regular" w:eastAsia="Theinhardt Regular"/>
          <w:color w:val="383638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velable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et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contribuent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enfin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à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383638"/>
          <w:spacing w:val="-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préservation</w:t>
      </w:r>
      <w:r>
        <w:rPr>
          <w:rFonts w:ascii="Theinhardt Regular" w:hAnsi="Theinhardt Regular" w:cs="Theinhardt Regular" w:eastAsia="Theinhardt Regular"/>
          <w:color w:val="383638"/>
          <w:spacing w:val="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du</w:t>
      </w:r>
      <w:r>
        <w:rPr>
          <w:rFonts w:ascii="Theinhardt Regular" w:hAnsi="Theinhardt Regular" w:cs="Theinhardt Regular" w:eastAsia="Theinhardt Regular"/>
          <w:color w:val="383638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patrimoine</w:t>
      </w:r>
      <w:r>
        <w:rPr>
          <w:rFonts w:ascii="Theinhardt Regular" w:hAnsi="Theinhardt Regular" w:cs="Theinhardt Regular" w:eastAsia="Theinhardt Regular"/>
          <w:color w:val="383638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local.</w:t>
      </w:r>
      <w:r>
        <w:rPr>
          <w:rFonts w:ascii="Theinhardt Regular" w:hAnsi="Theinhardt Regular" w:cs="Theinhardt Regular" w:eastAsia="Theinhardt Regular"/>
          <w:color w:val="383638"/>
          <w:spacing w:val="1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2"/>
          <w:sz w:val="18"/>
          <w:szCs w:val="18"/>
        </w:rPr>
        <w:t>Pour</w:t>
      </w:r>
      <w:r>
        <w:rPr>
          <w:rFonts w:ascii="Theinhardt Regular" w:hAnsi="Theinhardt Regular" w:cs="Theinhardt Regular" w:eastAsia="Theinhardt Regular"/>
          <w:color w:val="383638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1"/>
          <w:sz w:val="18"/>
          <w:szCs w:val="18"/>
        </w:rPr>
        <w:t>cette</w:t>
      </w:r>
      <w:r>
        <w:rPr>
          <w:rFonts w:ascii="Theinhardt Regular" w:hAnsi="Theinhardt Regular" w:cs="Theinhardt Regular" w:eastAsia="Theinhardt Regular"/>
          <w:color w:val="383638"/>
          <w:spacing w:val="3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innovation</w:t>
      </w:r>
      <w:r>
        <w:rPr>
          <w:rFonts w:ascii="Theinhardt Regular" w:hAnsi="Theinhardt Regular" w:cs="Theinhardt Regular" w:eastAsia="Theinhardt Regular"/>
          <w:color w:val="383638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esthétique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la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maison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rurale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Galley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reçoit</w:t>
      </w:r>
      <w:r>
        <w:rPr>
          <w:rFonts w:ascii="Theinhardt Regular" w:hAnsi="Theinhardt Regular" w:cs="Theinhardt Regular" w:eastAsia="Theinhardt Regular"/>
          <w:color w:val="383638"/>
          <w:spacing w:val="1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le</w:t>
      </w:r>
      <w:r>
        <w:rPr>
          <w:rFonts w:ascii="Theinhardt Regular" w:hAnsi="Theinhardt Regular" w:cs="Theinhardt Regular" w:eastAsia="Theinhardt Regular"/>
          <w:color w:val="383638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Prix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Solaire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383638"/>
          <w:spacing w:val="-1"/>
          <w:sz w:val="18"/>
          <w:szCs w:val="18"/>
        </w:rPr>
        <w:t>Suisse</w:t>
      </w:r>
      <w:r>
        <w:rPr>
          <w:rFonts w:ascii="Theinhardt Regular" w:hAnsi="Theinhardt Regular" w:cs="Theinhardt Regular" w:eastAsia="Theinhardt Regular"/>
          <w:color w:val="383638"/>
          <w:sz w:val="18"/>
          <w:szCs w:val="18"/>
        </w:rPr>
        <w:t> 2018.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pStyle w:val="BodyText"/>
        <w:spacing w:line="230" w:lineRule="exact" w:before="90"/>
        <w:ind w:right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383638"/>
          <w:spacing w:val="-1"/>
        </w:rPr>
        <w:t>seit</w:t>
      </w:r>
      <w:r>
        <w:rPr>
          <w:color w:val="383638"/>
          <w:spacing w:val="14"/>
        </w:rPr>
        <w:t> </w:t>
      </w:r>
      <w:r>
        <w:rPr>
          <w:color w:val="383638"/>
        </w:rPr>
        <w:t>2014</w:t>
      </w:r>
      <w:r>
        <w:rPr>
          <w:color w:val="383638"/>
          <w:spacing w:val="14"/>
        </w:rPr>
        <w:t> </w:t>
      </w:r>
      <w:r>
        <w:rPr>
          <w:color w:val="383638"/>
          <w:spacing w:val="-2"/>
        </w:rPr>
        <w:t>geleisteten</w:t>
      </w:r>
      <w:r>
        <w:rPr>
          <w:color w:val="383638"/>
          <w:spacing w:val="14"/>
        </w:rPr>
        <w:t> </w:t>
      </w:r>
      <w:r>
        <w:rPr>
          <w:color w:val="383638"/>
          <w:spacing w:val="-1"/>
        </w:rPr>
        <w:t>Forschungsarbeit</w:t>
      </w:r>
      <w:r>
        <w:rPr>
          <w:color w:val="383638"/>
          <w:spacing w:val="14"/>
        </w:rPr>
        <w:t> </w:t>
      </w:r>
      <w:r>
        <w:rPr>
          <w:color w:val="383638"/>
          <w:spacing w:val="-1"/>
        </w:rPr>
        <w:t>des</w:t>
      </w:r>
      <w:r>
        <w:rPr>
          <w:color w:val="383638"/>
          <w:spacing w:val="23"/>
        </w:rPr>
        <w:t> </w:t>
      </w:r>
      <w:r>
        <w:rPr>
          <w:color w:val="383638"/>
          <w:spacing w:val="-1"/>
        </w:rPr>
        <w:t>CSEM</w:t>
      </w:r>
      <w:r>
        <w:rPr>
          <w:color w:val="383638"/>
          <w:spacing w:val="20"/>
        </w:rPr>
        <w:t> </w:t>
      </w:r>
      <w:r>
        <w:rPr>
          <w:color w:val="383638"/>
        </w:rPr>
        <w:t>in</w:t>
      </w:r>
      <w:r>
        <w:rPr>
          <w:color w:val="383638"/>
          <w:spacing w:val="20"/>
        </w:rPr>
        <w:t> </w:t>
      </w:r>
      <w:r>
        <w:rPr>
          <w:color w:val="383638"/>
          <w:spacing w:val="-2"/>
        </w:rPr>
        <w:t>Neuchâtel</w:t>
      </w:r>
      <w:r>
        <w:rPr>
          <w:color w:val="383638"/>
          <w:spacing w:val="20"/>
        </w:rPr>
        <w:t> </w:t>
      </w:r>
      <w:r>
        <w:rPr>
          <w:color w:val="383638"/>
        </w:rPr>
        <w:t>in</w:t>
      </w:r>
      <w:r>
        <w:rPr>
          <w:color w:val="383638"/>
          <w:spacing w:val="20"/>
        </w:rPr>
        <w:t> </w:t>
      </w:r>
      <w:r>
        <w:rPr>
          <w:color w:val="383638"/>
          <w:spacing w:val="-1"/>
        </w:rPr>
        <w:t>Zusammenarbeit</w:t>
      </w:r>
      <w:r>
        <w:rPr>
          <w:color w:val="383638"/>
          <w:spacing w:val="20"/>
        </w:rPr>
        <w:t> </w:t>
      </w:r>
      <w:r>
        <w:rPr>
          <w:color w:val="383638"/>
        </w:rPr>
        <w:t>mit</w:t>
      </w:r>
      <w:r>
        <w:rPr>
          <w:color w:val="383638"/>
          <w:spacing w:val="41"/>
        </w:rPr>
        <w:t> </w:t>
      </w:r>
      <w:r>
        <w:rPr>
          <w:color w:val="383638"/>
          <w:spacing w:val="-1"/>
        </w:rPr>
        <w:t>Issol</w:t>
      </w:r>
      <w:r>
        <w:rPr>
          <w:color w:val="383638"/>
          <w:spacing w:val="5"/>
        </w:rPr>
        <w:t> </w:t>
      </w:r>
      <w:r>
        <w:rPr>
          <w:color w:val="383638"/>
          <w:spacing w:val="-2"/>
        </w:rPr>
        <w:t>Schweiz</w:t>
      </w:r>
      <w:r>
        <w:rPr>
          <w:color w:val="383638"/>
          <w:spacing w:val="5"/>
        </w:rPr>
        <w:t> </w:t>
      </w:r>
      <w:r>
        <w:rPr>
          <w:color w:val="383638"/>
          <w:spacing w:val="-2"/>
        </w:rPr>
        <w:t>konnte</w:t>
      </w:r>
      <w:r>
        <w:rPr>
          <w:color w:val="383638"/>
          <w:spacing w:val="5"/>
        </w:rPr>
        <w:t> </w:t>
      </w:r>
      <w:r>
        <w:rPr>
          <w:color w:val="383638"/>
          <w:spacing w:val="-2"/>
        </w:rPr>
        <w:t>dennoch</w:t>
      </w:r>
      <w:r>
        <w:rPr>
          <w:color w:val="383638"/>
          <w:spacing w:val="5"/>
        </w:rPr>
        <w:t> </w:t>
      </w:r>
      <w:r>
        <w:rPr>
          <w:color w:val="383638"/>
          <w:spacing w:val="-1"/>
        </w:rPr>
        <w:t>eine</w:t>
      </w:r>
      <w:r>
        <w:rPr>
          <w:color w:val="383638"/>
          <w:spacing w:val="5"/>
        </w:rPr>
        <w:t> </w:t>
      </w:r>
      <w:r>
        <w:rPr>
          <w:color w:val="383638"/>
        </w:rPr>
        <w:t>Solaran-</w:t>
      </w:r>
      <w:r>
        <w:rPr>
          <w:color w:val="383638"/>
          <w:spacing w:val="35"/>
        </w:rPr>
        <w:t> </w:t>
      </w:r>
      <w:r>
        <w:rPr>
          <w:color w:val="383638"/>
          <w:spacing w:val="-1"/>
        </w:rPr>
        <w:t>lage</w:t>
      </w:r>
      <w:r>
        <w:rPr>
          <w:color w:val="383638"/>
        </w:rPr>
        <w:t> </w:t>
      </w:r>
      <w:r>
        <w:rPr>
          <w:color w:val="383638"/>
          <w:spacing w:val="-1"/>
        </w:rPr>
        <w:t>realisiert</w:t>
      </w:r>
      <w:r>
        <w:rPr>
          <w:color w:val="383638"/>
        </w:rPr>
        <w:t> </w:t>
      </w:r>
      <w:r>
        <w:rPr>
          <w:color w:val="383638"/>
          <w:spacing w:val="-2"/>
        </w:rPr>
        <w:t>werden.</w:t>
      </w:r>
      <w:r>
        <w:rPr>
          <w:i w:val="0"/>
        </w:rPr>
      </w:r>
    </w:p>
    <w:p>
      <w:pPr>
        <w:pStyle w:val="BodyText"/>
        <w:spacing w:line="230" w:lineRule="exact"/>
        <w:ind w:right="0" w:firstLine="226"/>
        <w:jc w:val="both"/>
        <w:rPr>
          <w:rFonts w:ascii="Theinhardt Regular" w:hAnsi="Theinhardt Regular" w:cs="Theinhardt Regular" w:eastAsia="Theinhardt Regular"/>
          <w:i w:val="0"/>
          <w:sz w:val="12"/>
          <w:szCs w:val="12"/>
        </w:rPr>
      </w:pPr>
      <w:r>
        <w:rPr>
          <w:color w:val="383638"/>
          <w:spacing w:val="1"/>
        </w:rPr>
        <w:t>Der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Bauernhof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konsumiert</w:t>
      </w:r>
      <w:r>
        <w:rPr>
          <w:color w:val="383638"/>
          <w:spacing w:val="11"/>
        </w:rPr>
        <w:t> </w:t>
      </w:r>
      <w:r>
        <w:rPr>
          <w:color w:val="383638"/>
        </w:rPr>
        <w:t>2’500</w:t>
      </w:r>
      <w:r>
        <w:rPr>
          <w:color w:val="383638"/>
          <w:spacing w:val="11"/>
        </w:rPr>
        <w:t> </w:t>
      </w:r>
      <w:r>
        <w:rPr>
          <w:color w:val="383638"/>
        </w:rPr>
        <w:t>l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Heiz-</w:t>
      </w:r>
      <w:r>
        <w:rPr>
          <w:color w:val="383638"/>
          <w:spacing w:val="33"/>
        </w:rPr>
        <w:t> </w:t>
      </w:r>
      <w:r>
        <w:rPr>
          <w:color w:val="383638"/>
        </w:rPr>
        <w:t>öl</w:t>
      </w:r>
      <w:r>
        <w:rPr>
          <w:color w:val="383638"/>
          <w:spacing w:val="17"/>
        </w:rPr>
        <w:t> </w:t>
      </w:r>
      <w:r>
        <w:rPr>
          <w:color w:val="383638"/>
          <w:spacing w:val="-1"/>
        </w:rPr>
        <w:t>oder</w:t>
      </w:r>
      <w:r>
        <w:rPr>
          <w:color w:val="383638"/>
          <w:spacing w:val="17"/>
        </w:rPr>
        <w:t> </w:t>
      </w:r>
      <w:r>
        <w:rPr>
          <w:color w:val="383638"/>
          <w:spacing w:val="-1"/>
        </w:rPr>
        <w:t>rund</w:t>
      </w:r>
      <w:r>
        <w:rPr>
          <w:color w:val="383638"/>
          <w:spacing w:val="17"/>
        </w:rPr>
        <w:t> </w:t>
      </w:r>
      <w:r>
        <w:rPr>
          <w:color w:val="383638"/>
        </w:rPr>
        <w:t>27’500</w:t>
      </w:r>
      <w:r>
        <w:rPr>
          <w:color w:val="383638"/>
          <w:spacing w:val="17"/>
        </w:rPr>
        <w:t> </w:t>
      </w:r>
      <w:r>
        <w:rPr>
          <w:color w:val="383638"/>
          <w:spacing w:val="-3"/>
        </w:rPr>
        <w:t>kWh/a</w:t>
      </w:r>
      <w:r>
        <w:rPr>
          <w:color w:val="383638"/>
          <w:spacing w:val="17"/>
        </w:rPr>
        <w:t> </w:t>
      </w:r>
      <w:r>
        <w:rPr>
          <w:color w:val="383638"/>
          <w:spacing w:val="-1"/>
        </w:rPr>
        <w:t>fossile</w:t>
      </w:r>
      <w:r>
        <w:rPr>
          <w:color w:val="383638"/>
          <w:spacing w:val="17"/>
        </w:rPr>
        <w:t> </w:t>
      </w:r>
      <w:r>
        <w:rPr>
          <w:color w:val="383638"/>
          <w:spacing w:val="-2"/>
        </w:rPr>
        <w:t>Energie</w:t>
      </w:r>
      <w:r>
        <w:rPr>
          <w:color w:val="383638"/>
          <w:spacing w:val="21"/>
        </w:rPr>
        <w:t> </w:t>
      </w:r>
      <w:r>
        <w:rPr>
          <w:color w:val="383638"/>
          <w:spacing w:val="-1"/>
        </w:rPr>
        <w:t>und</w:t>
      </w:r>
      <w:r>
        <w:rPr>
          <w:color w:val="383638"/>
          <w:spacing w:val="11"/>
        </w:rPr>
        <w:t> </w:t>
      </w:r>
      <w:r>
        <w:rPr>
          <w:color w:val="383638"/>
        </w:rPr>
        <w:t>emittiert</w:t>
      </w:r>
      <w:r>
        <w:rPr>
          <w:color w:val="383638"/>
          <w:spacing w:val="11"/>
        </w:rPr>
        <w:t> </w:t>
      </w:r>
      <w:r>
        <w:rPr>
          <w:color w:val="383638"/>
          <w:spacing w:val="1"/>
        </w:rPr>
        <w:t>ca.</w:t>
      </w:r>
      <w:r>
        <w:rPr>
          <w:color w:val="383638"/>
          <w:spacing w:val="3"/>
        </w:rPr>
        <w:t> </w:t>
      </w:r>
      <w:r>
        <w:rPr>
          <w:color w:val="383638"/>
        </w:rPr>
        <w:t>7.5</w:t>
      </w:r>
      <w:r>
        <w:rPr>
          <w:color w:val="383638"/>
          <w:spacing w:val="12"/>
        </w:rPr>
        <w:t> </w:t>
      </w:r>
      <w:r>
        <w:rPr>
          <w:color w:val="383638"/>
        </w:rPr>
        <w:t>t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CO</w:t>
      </w:r>
      <w:r>
        <w:rPr>
          <w:color w:val="383638"/>
          <w:spacing w:val="-1"/>
          <w:position w:val="-5"/>
          <w:sz w:val="10"/>
          <w:szCs w:val="10"/>
        </w:rPr>
        <w:t>2</w:t>
      </w:r>
      <w:r>
        <w:rPr>
          <w:color w:val="383638"/>
          <w:spacing w:val="5"/>
          <w:position w:val="-5"/>
          <w:sz w:val="10"/>
          <w:szCs w:val="10"/>
        </w:rPr>
        <w:t> </w:t>
      </w:r>
      <w:r>
        <w:rPr>
          <w:color w:val="383638"/>
          <w:spacing w:val="-2"/>
        </w:rPr>
        <w:t>pro</w:t>
      </w:r>
      <w:r>
        <w:rPr>
          <w:color w:val="383638"/>
          <w:spacing w:val="11"/>
        </w:rPr>
        <w:t> </w:t>
      </w:r>
      <w:r>
        <w:rPr>
          <w:color w:val="383638"/>
          <w:spacing w:val="-3"/>
        </w:rPr>
        <w:t>Jahr.</w:t>
      </w:r>
      <w:r>
        <w:rPr>
          <w:color w:val="383638"/>
          <w:spacing w:val="4"/>
        </w:rPr>
        <w:t> </w:t>
      </w:r>
      <w:r>
        <w:rPr>
          <w:color w:val="383638"/>
          <w:spacing w:val="-2"/>
        </w:rPr>
        <w:t>Für</w:t>
      </w:r>
      <w:r>
        <w:rPr>
          <w:color w:val="383638"/>
          <w:spacing w:val="11"/>
        </w:rPr>
        <w:t> </w:t>
      </w:r>
      <w:r>
        <w:rPr>
          <w:color w:val="383638"/>
          <w:spacing w:val="-1"/>
        </w:rPr>
        <w:t>die</w:t>
      </w:r>
      <w:r>
        <w:rPr>
          <w:color w:val="383638"/>
          <w:spacing w:val="25"/>
        </w:rPr>
        <w:t> </w:t>
      </w:r>
      <w:r>
        <w:rPr>
          <w:color w:val="383638"/>
          <w:spacing w:val="-2"/>
        </w:rPr>
        <w:t>Stromversorgung</w:t>
      </w:r>
      <w:r>
        <w:rPr>
          <w:color w:val="383638"/>
          <w:spacing w:val="-7"/>
        </w:rPr>
        <w:t> </w:t>
      </w:r>
      <w:r>
        <w:rPr>
          <w:color w:val="383638"/>
          <w:spacing w:val="-2"/>
        </w:rPr>
        <w:t>wurde</w:t>
      </w:r>
      <w:r>
        <w:rPr>
          <w:color w:val="383638"/>
          <w:spacing w:val="-7"/>
        </w:rPr>
        <w:t> </w:t>
      </w:r>
      <w:r>
        <w:rPr>
          <w:color w:val="383638"/>
          <w:spacing w:val="-1"/>
        </w:rPr>
        <w:t>eine</w:t>
      </w:r>
      <w:r>
        <w:rPr>
          <w:color w:val="383638"/>
          <w:spacing w:val="-7"/>
        </w:rPr>
        <w:t> </w:t>
      </w:r>
      <w:r>
        <w:rPr>
          <w:color w:val="383638"/>
        </w:rPr>
        <w:t>27.2</w:t>
      </w:r>
      <w:r>
        <w:rPr>
          <w:color w:val="383638"/>
          <w:spacing w:val="-7"/>
        </w:rPr>
        <w:t> </w:t>
      </w:r>
      <w:r>
        <w:rPr>
          <w:color w:val="383638"/>
        </w:rPr>
        <w:t>kW</w:t>
      </w:r>
      <w:r>
        <w:rPr>
          <w:color w:val="383638"/>
          <w:spacing w:val="-7"/>
        </w:rPr>
        <w:t> </w:t>
      </w:r>
      <w:r>
        <w:rPr>
          <w:color w:val="383638"/>
          <w:spacing w:val="-2"/>
        </w:rPr>
        <w:t>starke</w:t>
      </w:r>
      <w:r>
        <w:rPr>
          <w:color w:val="383638"/>
          <w:spacing w:val="37"/>
        </w:rPr>
        <w:t> </w:t>
      </w:r>
      <w:r>
        <w:rPr>
          <w:color w:val="383638"/>
          <w:spacing w:val="-1"/>
        </w:rPr>
        <w:t>Solaranlage</w:t>
      </w:r>
      <w:r>
        <w:rPr>
          <w:color w:val="383638"/>
          <w:spacing w:val="21"/>
        </w:rPr>
        <w:t> </w:t>
      </w:r>
      <w:r>
        <w:rPr>
          <w:color w:val="383638"/>
          <w:spacing w:val="-1"/>
        </w:rPr>
        <w:t>optimal</w:t>
      </w:r>
      <w:r>
        <w:rPr>
          <w:color w:val="383638"/>
          <w:spacing w:val="21"/>
        </w:rPr>
        <w:t> </w:t>
      </w:r>
      <w:r>
        <w:rPr>
          <w:color w:val="383638"/>
        </w:rPr>
        <w:t>in</w:t>
      </w:r>
      <w:r>
        <w:rPr>
          <w:color w:val="383638"/>
          <w:spacing w:val="21"/>
        </w:rPr>
        <w:t> </w:t>
      </w:r>
      <w:r>
        <w:rPr>
          <w:color w:val="383638"/>
          <w:spacing w:val="-1"/>
        </w:rPr>
        <w:t>die</w:t>
      </w:r>
      <w:r>
        <w:rPr>
          <w:color w:val="383638"/>
          <w:spacing w:val="21"/>
        </w:rPr>
        <w:t> </w:t>
      </w:r>
      <w:r>
        <w:rPr>
          <w:color w:val="383638"/>
          <w:spacing w:val="-1"/>
        </w:rPr>
        <w:t>Dachfläche</w:t>
      </w:r>
      <w:r>
        <w:rPr>
          <w:color w:val="383638"/>
          <w:spacing w:val="21"/>
        </w:rPr>
        <w:t> </w:t>
      </w:r>
      <w:r>
        <w:rPr>
          <w:color w:val="383638"/>
          <w:spacing w:val="-1"/>
        </w:rPr>
        <w:t>inte-</w:t>
      </w:r>
      <w:r>
        <w:rPr>
          <w:color w:val="383638"/>
          <w:spacing w:val="45"/>
        </w:rPr>
        <w:t> </w:t>
      </w:r>
      <w:r>
        <w:rPr>
          <w:color w:val="383638"/>
        </w:rPr>
        <w:t>griert.</w:t>
      </w:r>
      <w:r>
        <w:rPr>
          <w:color w:val="383638"/>
          <w:spacing w:val="13"/>
        </w:rPr>
        <w:t> </w:t>
      </w:r>
      <w:r>
        <w:rPr>
          <w:color w:val="383638"/>
          <w:spacing w:val="-2"/>
        </w:rPr>
        <w:t>Sie</w:t>
      </w:r>
      <w:r>
        <w:rPr>
          <w:color w:val="383638"/>
          <w:spacing w:val="20"/>
        </w:rPr>
        <w:t> </w:t>
      </w:r>
      <w:r>
        <w:rPr>
          <w:color w:val="383638"/>
          <w:spacing w:val="-2"/>
        </w:rPr>
        <w:t>versorgt</w:t>
      </w:r>
      <w:r>
        <w:rPr>
          <w:color w:val="383638"/>
          <w:spacing w:val="20"/>
        </w:rPr>
        <w:t> </w:t>
      </w:r>
      <w:r>
        <w:rPr>
          <w:color w:val="383638"/>
        </w:rPr>
        <w:t>etwa</w:t>
      </w:r>
      <w:r>
        <w:rPr>
          <w:color w:val="383638"/>
          <w:spacing w:val="20"/>
        </w:rPr>
        <w:t> </w:t>
      </w:r>
      <w:r>
        <w:rPr>
          <w:color w:val="383638"/>
          <w:spacing w:val="-1"/>
        </w:rPr>
        <w:t>26%</w:t>
      </w:r>
      <w:r>
        <w:rPr>
          <w:color w:val="383638"/>
          <w:spacing w:val="20"/>
        </w:rPr>
        <w:t> </w:t>
      </w:r>
      <w:r>
        <w:rPr>
          <w:color w:val="383638"/>
          <w:spacing w:val="-2"/>
        </w:rPr>
        <w:t>des</w:t>
      </w:r>
      <w:r>
        <w:rPr>
          <w:color w:val="383638"/>
          <w:spacing w:val="20"/>
        </w:rPr>
        <w:t> </w:t>
      </w:r>
      <w:r>
        <w:rPr>
          <w:color w:val="383638"/>
          <w:spacing w:val="-1"/>
        </w:rPr>
        <w:t>Gesamt-</w:t>
      </w:r>
      <w:r>
        <w:rPr>
          <w:color w:val="383638"/>
          <w:spacing w:val="21"/>
        </w:rPr>
        <w:t> </w:t>
      </w:r>
      <w:r>
        <w:rPr>
          <w:color w:val="383638"/>
          <w:spacing w:val="-1"/>
        </w:rPr>
        <w:t>energiebedarfs.</w:t>
      </w:r>
      <w:r>
        <w:rPr>
          <w:color w:val="383638"/>
          <w:spacing w:val="-13"/>
        </w:rPr>
        <w:t> </w:t>
      </w:r>
      <w:r>
        <w:rPr>
          <w:color w:val="383638"/>
          <w:spacing w:val="-1"/>
        </w:rPr>
        <w:t>Die</w:t>
      </w:r>
      <w:r>
        <w:rPr>
          <w:color w:val="383638"/>
          <w:spacing w:val="-6"/>
        </w:rPr>
        <w:t> </w:t>
      </w:r>
      <w:r>
        <w:rPr>
          <w:color w:val="383638"/>
          <w:spacing w:val="-1"/>
        </w:rPr>
        <w:t>rotbraune</w:t>
      </w:r>
      <w:r>
        <w:rPr>
          <w:color w:val="383638"/>
          <w:spacing w:val="-6"/>
        </w:rPr>
        <w:t> </w:t>
      </w:r>
      <w:r>
        <w:rPr>
          <w:color w:val="383638"/>
          <w:spacing w:val="-1"/>
        </w:rPr>
        <w:t>Farbe</w:t>
      </w:r>
      <w:r>
        <w:rPr>
          <w:color w:val="383638"/>
          <w:spacing w:val="-6"/>
        </w:rPr>
        <w:t> </w:t>
      </w:r>
      <w:r>
        <w:rPr>
          <w:color w:val="383638"/>
          <w:spacing w:val="-1"/>
        </w:rPr>
        <w:t>vermin-</w:t>
      </w:r>
      <w:r>
        <w:rPr>
          <w:color w:val="383638"/>
          <w:spacing w:val="49"/>
        </w:rPr>
        <w:t> </w:t>
      </w:r>
      <w:r>
        <w:rPr>
          <w:color w:val="383638"/>
        </w:rPr>
        <w:t>dert</w:t>
      </w:r>
      <w:r>
        <w:rPr>
          <w:color w:val="383638"/>
          <w:spacing w:val="33"/>
        </w:rPr>
        <w:t> </w:t>
      </w:r>
      <w:r>
        <w:rPr>
          <w:color w:val="383638"/>
          <w:spacing w:val="-1"/>
        </w:rPr>
        <w:t>die</w:t>
      </w:r>
      <w:r>
        <w:rPr>
          <w:color w:val="383638"/>
          <w:spacing w:val="34"/>
        </w:rPr>
        <w:t> </w:t>
      </w:r>
      <w:r>
        <w:rPr>
          <w:color w:val="383638"/>
          <w:spacing w:val="-2"/>
        </w:rPr>
        <w:t>Leistung</w:t>
      </w:r>
      <w:r>
        <w:rPr>
          <w:color w:val="383638"/>
          <w:spacing w:val="33"/>
        </w:rPr>
        <w:t> </w:t>
      </w:r>
      <w:r>
        <w:rPr>
          <w:color w:val="383638"/>
        </w:rPr>
        <w:t>um</w:t>
      </w:r>
      <w:r>
        <w:rPr>
          <w:color w:val="383638"/>
          <w:spacing w:val="34"/>
        </w:rPr>
        <w:t> </w:t>
      </w:r>
      <w:r>
        <w:rPr>
          <w:color w:val="383638"/>
          <w:spacing w:val="1"/>
        </w:rPr>
        <w:t>ca.</w:t>
      </w:r>
      <w:r>
        <w:rPr>
          <w:color w:val="383638"/>
          <w:spacing w:val="27"/>
        </w:rPr>
        <w:t> </w:t>
      </w:r>
      <w:r>
        <w:rPr>
          <w:color w:val="383638"/>
        </w:rPr>
        <w:t>39%*</w:t>
      </w:r>
      <w:r>
        <w:rPr>
          <w:color w:val="383638"/>
          <w:spacing w:val="33"/>
        </w:rPr>
        <w:t> </w:t>
      </w:r>
      <w:r>
        <w:rPr>
          <w:color w:val="383638"/>
          <w:spacing w:val="-1"/>
        </w:rPr>
        <w:t>oder</w:t>
      </w:r>
      <w:r>
        <w:rPr>
          <w:color w:val="383638"/>
          <w:spacing w:val="34"/>
        </w:rPr>
        <w:t> </w:t>
      </w:r>
      <w:r>
        <w:rPr>
          <w:color w:val="383638"/>
          <w:spacing w:val="-1"/>
        </w:rPr>
        <w:t>rund</w:t>
      </w:r>
      <w:r>
        <w:rPr>
          <w:color w:val="383638"/>
          <w:spacing w:val="29"/>
        </w:rPr>
        <w:t> </w:t>
      </w:r>
      <w:r>
        <w:rPr>
          <w:color w:val="383638"/>
        </w:rPr>
        <w:t>10’800</w:t>
      </w:r>
      <w:r>
        <w:rPr>
          <w:color w:val="383638"/>
          <w:spacing w:val="-5"/>
        </w:rPr>
        <w:t> </w:t>
      </w:r>
      <w:r>
        <w:rPr>
          <w:color w:val="383638"/>
          <w:spacing w:val="-3"/>
        </w:rPr>
        <w:t>kWh/a</w:t>
      </w:r>
      <w:r>
        <w:rPr>
          <w:color w:val="383638"/>
          <w:spacing w:val="-5"/>
        </w:rPr>
        <w:t> </w:t>
      </w:r>
      <w:r>
        <w:rPr>
          <w:color w:val="383638"/>
          <w:spacing w:val="1"/>
        </w:rPr>
        <w:t>auf</w:t>
      </w:r>
      <w:r>
        <w:rPr>
          <w:color w:val="383638"/>
          <w:spacing w:val="-5"/>
        </w:rPr>
        <w:t> </w:t>
      </w:r>
      <w:r>
        <w:rPr>
          <w:color w:val="383638"/>
          <w:spacing w:val="-1"/>
        </w:rPr>
        <w:t>rund</w:t>
      </w:r>
      <w:r>
        <w:rPr>
          <w:color w:val="383638"/>
          <w:spacing w:val="-5"/>
        </w:rPr>
        <w:t> </w:t>
      </w:r>
      <w:r>
        <w:rPr>
          <w:color w:val="383638"/>
        </w:rPr>
        <w:t>16’500</w:t>
      </w:r>
      <w:r>
        <w:rPr>
          <w:color w:val="383638"/>
          <w:spacing w:val="-5"/>
        </w:rPr>
        <w:t> </w:t>
      </w:r>
      <w:r>
        <w:rPr>
          <w:color w:val="383638"/>
          <w:spacing w:val="-2"/>
        </w:rPr>
        <w:t>kWh/a.</w:t>
      </w:r>
      <w:r>
        <w:rPr>
          <w:color w:val="383638"/>
          <w:spacing w:val="-19"/>
        </w:rPr>
        <w:t> </w:t>
      </w:r>
      <w:r>
        <w:rPr>
          <w:color w:val="383638"/>
          <w:spacing w:val="-2"/>
        </w:rPr>
        <w:t>Vom</w:t>
      </w:r>
      <w:r>
        <w:rPr>
          <w:color w:val="383638"/>
          <w:spacing w:val="27"/>
        </w:rPr>
        <w:t> </w:t>
      </w:r>
      <w:r>
        <w:rPr>
          <w:color w:val="383638"/>
          <w:spacing w:val="-1"/>
        </w:rPr>
        <w:t>Gesamtenergiebedarf</w:t>
      </w:r>
      <w:r>
        <w:rPr>
          <w:color w:val="383638"/>
          <w:spacing w:val="10"/>
        </w:rPr>
        <w:t> </w:t>
      </w:r>
      <w:r>
        <w:rPr>
          <w:color w:val="383638"/>
          <w:spacing w:val="-1"/>
        </w:rPr>
        <w:t>deckt</w:t>
      </w:r>
      <w:r>
        <w:rPr>
          <w:color w:val="383638"/>
          <w:spacing w:val="10"/>
        </w:rPr>
        <w:t> </w:t>
      </w:r>
      <w:r>
        <w:rPr>
          <w:color w:val="383638"/>
          <w:spacing w:val="-1"/>
        </w:rPr>
        <w:t>die</w:t>
      </w:r>
      <w:r>
        <w:rPr>
          <w:color w:val="383638"/>
          <w:spacing w:val="10"/>
        </w:rPr>
        <w:t> </w:t>
      </w:r>
      <w:r>
        <w:rPr>
          <w:color w:val="383638"/>
          <w:spacing w:val="-1"/>
        </w:rPr>
        <w:t>Solaranlage</w:t>
      </w:r>
      <w:r>
        <w:rPr>
          <w:color w:val="383638"/>
          <w:spacing w:val="41"/>
        </w:rPr>
        <w:t> </w:t>
      </w:r>
      <w:r>
        <w:rPr>
          <w:color w:val="383638"/>
        </w:rPr>
        <w:t>etwa</w:t>
      </w:r>
      <w:r>
        <w:rPr>
          <w:color w:val="383638"/>
          <w:spacing w:val="-1"/>
        </w:rPr>
        <w:t> </w:t>
      </w:r>
      <w:r>
        <w:rPr>
          <w:color w:val="383638"/>
        </w:rPr>
        <w:t>39%</w:t>
      </w:r>
      <w:r>
        <w:rPr>
          <w:color w:val="383638"/>
          <w:spacing w:val="-1"/>
        </w:rPr>
        <w:t> ab.</w:t>
      </w:r>
      <w:r>
        <w:rPr>
          <w:color w:val="383638"/>
          <w:spacing w:val="-8"/>
        </w:rPr>
        <w:t> </w:t>
      </w:r>
      <w:r>
        <w:rPr>
          <w:color w:val="383638"/>
        </w:rPr>
        <w:t>Mit</w:t>
      </w:r>
      <w:r>
        <w:rPr>
          <w:color w:val="383638"/>
          <w:spacing w:val="-1"/>
        </w:rPr>
        <w:t> einer besseren </w:t>
      </w:r>
      <w:r>
        <w:rPr>
          <w:color w:val="383638"/>
        </w:rPr>
        <w:t>Dämmung</w:t>
      </w:r>
      <w:r>
        <w:rPr>
          <w:color w:val="383638"/>
          <w:spacing w:val="29"/>
        </w:rPr>
        <w:t> </w:t>
      </w:r>
      <w:r>
        <w:rPr>
          <w:color w:val="383638"/>
          <w:spacing w:val="-2"/>
        </w:rPr>
        <w:t>könnte</w:t>
      </w:r>
      <w:r>
        <w:rPr>
          <w:color w:val="383638"/>
          <w:spacing w:val="-10"/>
        </w:rPr>
        <w:t> </w:t>
      </w:r>
      <w:r>
        <w:rPr>
          <w:color w:val="383638"/>
          <w:spacing w:val="-2"/>
        </w:rPr>
        <w:t>der</w:t>
      </w:r>
      <w:r>
        <w:rPr>
          <w:color w:val="383638"/>
          <w:spacing w:val="-10"/>
        </w:rPr>
        <w:t> </w:t>
      </w:r>
      <w:r>
        <w:rPr>
          <w:color w:val="383638"/>
          <w:spacing w:val="-1"/>
        </w:rPr>
        <w:t>sehr</w:t>
      </w:r>
      <w:r>
        <w:rPr>
          <w:color w:val="383638"/>
          <w:spacing w:val="-10"/>
        </w:rPr>
        <w:t> </w:t>
      </w:r>
      <w:r>
        <w:rPr>
          <w:color w:val="383638"/>
          <w:spacing w:val="-2"/>
        </w:rPr>
        <w:t>hohe</w:t>
      </w:r>
      <w:r>
        <w:rPr>
          <w:color w:val="383638"/>
          <w:spacing w:val="-10"/>
        </w:rPr>
        <w:t> </w:t>
      </w:r>
      <w:r>
        <w:rPr>
          <w:color w:val="383638"/>
          <w:spacing w:val="-2"/>
        </w:rPr>
        <w:t>Energieverbrauch</w:t>
      </w:r>
      <w:r>
        <w:rPr>
          <w:color w:val="383638"/>
          <w:spacing w:val="-10"/>
        </w:rPr>
        <w:t> </w:t>
      </w:r>
      <w:r>
        <w:rPr>
          <w:color w:val="383638"/>
        </w:rPr>
        <w:t>mas-</w:t>
      </w:r>
      <w:r>
        <w:rPr>
          <w:color w:val="383638"/>
          <w:spacing w:val="45"/>
        </w:rPr>
        <w:t> </w:t>
      </w:r>
      <w:r>
        <w:rPr>
          <w:color w:val="383638"/>
        </w:rPr>
        <w:t>siv </w:t>
      </w:r>
      <w:r>
        <w:rPr>
          <w:color w:val="383638"/>
          <w:spacing w:val="-1"/>
        </w:rPr>
        <w:t>reduziert</w:t>
      </w:r>
      <w:r>
        <w:rPr>
          <w:color w:val="383638"/>
        </w:rPr>
        <w:t> </w:t>
      </w:r>
      <w:r>
        <w:rPr>
          <w:color w:val="383638"/>
          <w:spacing w:val="-2"/>
        </w:rPr>
        <w:t>werden.</w:t>
      </w:r>
      <w:r>
        <w:rPr>
          <w:color w:val="383638"/>
          <w:spacing w:val="-8"/>
        </w:rPr>
        <w:t> </w:t>
      </w:r>
      <w:r>
        <w:rPr>
          <w:rFonts w:ascii="Theinhardt Regular" w:hAnsi="Theinhardt Regular" w:cs="Theinhardt Regular" w:eastAsia="Theinhardt Regular"/>
          <w:i w:val="0"/>
          <w:color w:val="231F20"/>
          <w:sz w:val="12"/>
          <w:szCs w:val="12"/>
        </w:rPr>
        <w:t>(vgl.</w:t>
      </w:r>
      <w:r>
        <w:rPr>
          <w:rFonts w:ascii="Theinhardt Regular" w:hAnsi="Theinhardt Regular" w:cs="Theinhardt Regular" w:eastAsia="Theinhardt Regular"/>
          <w:i w:val="0"/>
          <w:color w:val="231F20"/>
          <w:spacing w:val="-8"/>
          <w:sz w:val="12"/>
          <w:szCs w:val="12"/>
        </w:rPr>
        <w:t> </w:t>
      </w:r>
      <w:r>
        <w:rPr>
          <w:rFonts w:ascii="Theinhardt Regular" w:hAnsi="Theinhardt Regular" w:cs="Theinhardt Regular" w:eastAsia="Theinhardt Regular"/>
          <w:i w:val="0"/>
          <w:color w:val="231F20"/>
          <w:sz w:val="12"/>
          <w:szCs w:val="12"/>
        </w:rPr>
        <w:t>S.</w:t>
      </w:r>
      <w:r>
        <w:rPr>
          <w:rFonts w:ascii="Theinhardt Regular" w:hAnsi="Theinhardt Regular" w:cs="Theinhardt Regular" w:eastAsia="Theinhardt Regular"/>
          <w:i w:val="0"/>
          <w:color w:val="231F20"/>
          <w:spacing w:val="-8"/>
          <w:sz w:val="12"/>
          <w:szCs w:val="12"/>
        </w:rPr>
        <w:t> </w:t>
      </w:r>
      <w:r>
        <w:rPr>
          <w:rFonts w:ascii="Theinhardt Regular" w:hAnsi="Theinhardt Regular" w:cs="Theinhardt Regular" w:eastAsia="Theinhardt Regular"/>
          <w:i w:val="0"/>
          <w:color w:val="231F20"/>
          <w:sz w:val="12"/>
          <w:szCs w:val="12"/>
        </w:rPr>
        <w:t>50 Ziff.</w:t>
      </w:r>
      <w:r>
        <w:rPr>
          <w:rFonts w:ascii="Theinhardt Regular" w:hAnsi="Theinhardt Regular" w:cs="Theinhardt Regular" w:eastAsia="Theinhardt Regular"/>
          <w:i w:val="0"/>
          <w:color w:val="231F20"/>
          <w:spacing w:val="-8"/>
          <w:sz w:val="12"/>
          <w:szCs w:val="12"/>
        </w:rPr>
        <w:t> </w:t>
      </w:r>
      <w:r>
        <w:rPr>
          <w:rFonts w:ascii="Theinhardt Regular" w:hAnsi="Theinhardt Regular" w:cs="Theinhardt Regular" w:eastAsia="Theinhardt Regular"/>
          <w:i w:val="0"/>
          <w:color w:val="231F20"/>
          <w:sz w:val="12"/>
          <w:szCs w:val="12"/>
        </w:rPr>
        <w:t>8 ff)</w:t>
      </w:r>
      <w:r>
        <w:rPr>
          <w:rFonts w:ascii="Theinhardt Regular" w:hAnsi="Theinhardt Regular" w:cs="Theinhardt Regular" w:eastAsia="Theinhardt Regular"/>
          <w:i w:val="0"/>
          <w:sz w:val="12"/>
          <w:szCs w:val="12"/>
        </w:rPr>
      </w:r>
    </w:p>
    <w:p>
      <w:pPr>
        <w:pStyle w:val="BodyText"/>
        <w:spacing w:line="230" w:lineRule="exact"/>
        <w:ind w:right="0" w:firstLine="226"/>
        <w:jc w:val="both"/>
        <w:rPr>
          <w:i w:val="0"/>
        </w:rPr>
      </w:pPr>
      <w:r>
        <w:rPr>
          <w:color w:val="383638"/>
          <w:spacing w:val="-1"/>
        </w:rPr>
        <w:t>Nach</w:t>
      </w:r>
      <w:r>
        <w:rPr>
          <w:color w:val="383638"/>
        </w:rPr>
        <w:t> </w:t>
      </w:r>
      <w:r>
        <w:rPr>
          <w:color w:val="383638"/>
          <w:spacing w:val="-2"/>
        </w:rPr>
        <w:t>dem</w:t>
      </w:r>
      <w:r>
        <w:rPr>
          <w:color w:val="383638"/>
        </w:rPr>
        <w:t> Ersatz </w:t>
      </w:r>
      <w:r>
        <w:rPr>
          <w:color w:val="383638"/>
          <w:spacing w:val="-2"/>
        </w:rPr>
        <w:t>der</w:t>
      </w:r>
      <w:r>
        <w:rPr>
          <w:color w:val="383638"/>
        </w:rPr>
        <w:t> </w:t>
      </w:r>
      <w:r>
        <w:rPr>
          <w:color w:val="383638"/>
          <w:spacing w:val="-1"/>
        </w:rPr>
        <w:t>traditionellen</w:t>
      </w:r>
      <w:r>
        <w:rPr>
          <w:color w:val="383638"/>
        </w:rPr>
        <w:t> Dach-</w:t>
      </w:r>
      <w:r>
        <w:rPr>
          <w:color w:val="383638"/>
          <w:spacing w:val="41"/>
        </w:rPr>
        <w:t> </w:t>
      </w:r>
      <w:r>
        <w:rPr>
          <w:color w:val="383638"/>
          <w:spacing w:val="-2"/>
        </w:rPr>
        <w:t>ziegel</w:t>
      </w:r>
      <w:r>
        <w:rPr>
          <w:color w:val="383638"/>
          <w:spacing w:val="12"/>
        </w:rPr>
        <w:t> </w:t>
      </w:r>
      <w:r>
        <w:rPr>
          <w:color w:val="383638"/>
          <w:spacing w:val="-2"/>
        </w:rPr>
        <w:t>dienen</w:t>
      </w:r>
      <w:r>
        <w:rPr>
          <w:color w:val="383638"/>
          <w:spacing w:val="12"/>
        </w:rPr>
        <w:t> </w:t>
      </w:r>
      <w:r>
        <w:rPr>
          <w:color w:val="383638"/>
          <w:spacing w:val="-1"/>
        </w:rPr>
        <w:t>die</w:t>
      </w:r>
      <w:r>
        <w:rPr>
          <w:color w:val="383638"/>
          <w:spacing w:val="12"/>
        </w:rPr>
        <w:t> </w:t>
      </w:r>
      <w:r>
        <w:rPr>
          <w:color w:val="383638"/>
          <w:spacing w:val="-2"/>
        </w:rPr>
        <w:t>neuen</w:t>
      </w:r>
      <w:r>
        <w:rPr>
          <w:color w:val="383638"/>
          <w:spacing w:val="12"/>
        </w:rPr>
        <w:t> </w:t>
      </w:r>
      <w:r>
        <w:rPr>
          <w:color w:val="383638"/>
          <w:spacing w:val="-1"/>
        </w:rPr>
        <w:t>Solarmodule</w:t>
      </w:r>
      <w:r>
        <w:rPr>
          <w:color w:val="383638"/>
          <w:spacing w:val="12"/>
        </w:rPr>
        <w:t> </w:t>
      </w:r>
      <w:r>
        <w:rPr>
          <w:color w:val="383638"/>
        </w:rPr>
        <w:t>als</w:t>
      </w:r>
      <w:r>
        <w:rPr>
          <w:color w:val="383638"/>
          <w:spacing w:val="23"/>
        </w:rPr>
        <w:t> </w:t>
      </w:r>
      <w:r>
        <w:rPr>
          <w:color w:val="383638"/>
          <w:spacing w:val="-1"/>
        </w:rPr>
        <w:t>Witterungsschutz,</w:t>
      </w:r>
      <w:r>
        <w:rPr>
          <w:color w:val="383638"/>
          <w:spacing w:val="41"/>
        </w:rPr>
        <w:t> </w:t>
      </w:r>
      <w:r>
        <w:rPr>
          <w:color w:val="383638"/>
          <w:spacing w:val="-2"/>
        </w:rPr>
        <w:t>produzieren</w:t>
      </w:r>
      <w:r>
        <w:rPr>
          <w:color w:val="383638"/>
        </w:rPr>
        <w:t> </w:t>
      </w:r>
      <w:r>
        <w:rPr>
          <w:color w:val="383638"/>
          <w:spacing w:val="-2"/>
        </w:rPr>
        <w:t>erneuerbare</w:t>
      </w:r>
      <w:r>
        <w:rPr>
          <w:color w:val="383638"/>
          <w:spacing w:val="59"/>
        </w:rPr>
        <w:t> </w:t>
      </w:r>
      <w:r>
        <w:rPr>
          <w:color w:val="383638"/>
          <w:spacing w:val="-2"/>
        </w:rPr>
        <w:t>Energie</w:t>
      </w:r>
      <w:r>
        <w:rPr>
          <w:color w:val="383638"/>
          <w:spacing w:val="29"/>
        </w:rPr>
        <w:t> </w:t>
      </w:r>
      <w:r>
        <w:rPr>
          <w:color w:val="383638"/>
          <w:spacing w:val="-1"/>
        </w:rPr>
        <w:t>und</w:t>
      </w:r>
      <w:r>
        <w:rPr>
          <w:color w:val="383638"/>
          <w:spacing w:val="30"/>
        </w:rPr>
        <w:t> </w:t>
      </w:r>
      <w:r>
        <w:rPr>
          <w:color w:val="383638"/>
          <w:spacing w:val="-1"/>
        </w:rPr>
        <w:t>tragen</w:t>
      </w:r>
      <w:r>
        <w:rPr>
          <w:color w:val="383638"/>
          <w:spacing w:val="29"/>
        </w:rPr>
        <w:t> </w:t>
      </w:r>
      <w:r>
        <w:rPr>
          <w:color w:val="383638"/>
          <w:spacing w:val="-1"/>
        </w:rPr>
        <w:t>schliesslich</w:t>
      </w:r>
      <w:r>
        <w:rPr>
          <w:color w:val="383638"/>
          <w:spacing w:val="30"/>
        </w:rPr>
        <w:t> </w:t>
      </w:r>
      <w:r>
        <w:rPr>
          <w:color w:val="383638"/>
        </w:rPr>
        <w:t>zum</w:t>
      </w:r>
      <w:r>
        <w:rPr>
          <w:color w:val="383638"/>
          <w:spacing w:val="30"/>
        </w:rPr>
        <w:t> </w:t>
      </w:r>
      <w:r>
        <w:rPr>
          <w:color w:val="383638"/>
        </w:rPr>
        <w:t>Erhalt</w:t>
      </w:r>
      <w:r>
        <w:rPr>
          <w:color w:val="383638"/>
          <w:spacing w:val="30"/>
        </w:rPr>
        <w:t> </w:t>
      </w:r>
      <w:r>
        <w:rPr>
          <w:color w:val="383638"/>
          <w:spacing w:val="-2"/>
        </w:rPr>
        <w:t>der</w:t>
      </w:r>
      <w:r>
        <w:rPr>
          <w:color w:val="383638"/>
          <w:spacing w:val="9"/>
        </w:rPr>
        <w:t> </w:t>
      </w:r>
      <w:r>
        <w:rPr>
          <w:color w:val="383638"/>
          <w:spacing w:val="-2"/>
        </w:rPr>
        <w:t>lokalen</w:t>
      </w:r>
      <w:r>
        <w:rPr>
          <w:color w:val="383638"/>
          <w:spacing w:val="9"/>
        </w:rPr>
        <w:t> </w:t>
      </w:r>
      <w:r>
        <w:rPr>
          <w:color w:val="383638"/>
        </w:rPr>
        <w:t>Baukultur</w:t>
      </w:r>
      <w:r>
        <w:rPr>
          <w:color w:val="383638"/>
          <w:spacing w:val="9"/>
        </w:rPr>
        <w:t> </w:t>
      </w:r>
      <w:r>
        <w:rPr>
          <w:color w:val="383638"/>
        </w:rPr>
        <w:t>bei.</w:t>
      </w:r>
      <w:r>
        <w:rPr>
          <w:color w:val="383638"/>
          <w:spacing w:val="1"/>
        </w:rPr>
        <w:t> </w:t>
      </w:r>
      <w:r>
        <w:rPr>
          <w:color w:val="383638"/>
          <w:spacing w:val="-2"/>
        </w:rPr>
        <w:t>Für</w:t>
      </w:r>
      <w:r>
        <w:rPr>
          <w:color w:val="383638"/>
          <w:spacing w:val="9"/>
        </w:rPr>
        <w:t> </w:t>
      </w:r>
      <w:r>
        <w:rPr>
          <w:color w:val="383638"/>
          <w:spacing w:val="-1"/>
        </w:rPr>
        <w:t>diese</w:t>
      </w:r>
      <w:r>
        <w:rPr>
          <w:color w:val="383638"/>
          <w:spacing w:val="9"/>
        </w:rPr>
        <w:t> </w:t>
      </w:r>
      <w:r>
        <w:rPr>
          <w:color w:val="383638"/>
          <w:spacing w:val="-1"/>
        </w:rPr>
        <w:t>ästheti-</w:t>
      </w:r>
      <w:r>
        <w:rPr>
          <w:color w:val="383638"/>
          <w:spacing w:val="35"/>
        </w:rPr>
        <w:t> </w:t>
      </w:r>
      <w:r>
        <w:rPr>
          <w:color w:val="383638"/>
          <w:spacing w:val="-2"/>
        </w:rPr>
        <w:t>sche</w:t>
      </w:r>
      <w:r>
        <w:rPr>
          <w:color w:val="383638"/>
          <w:spacing w:val="13"/>
        </w:rPr>
        <w:t> </w:t>
      </w:r>
      <w:r>
        <w:rPr>
          <w:color w:val="383638"/>
          <w:spacing w:val="-1"/>
        </w:rPr>
        <w:t>Innovation</w:t>
      </w:r>
      <w:r>
        <w:rPr>
          <w:color w:val="383638"/>
          <w:spacing w:val="13"/>
        </w:rPr>
        <w:t> </w:t>
      </w:r>
      <w:r>
        <w:rPr>
          <w:color w:val="383638"/>
        </w:rPr>
        <w:t>erhält</w:t>
      </w:r>
      <w:r>
        <w:rPr>
          <w:color w:val="383638"/>
          <w:spacing w:val="13"/>
        </w:rPr>
        <w:t> </w:t>
      </w:r>
      <w:r>
        <w:rPr>
          <w:color w:val="383638"/>
        </w:rPr>
        <w:t>das</w:t>
      </w:r>
      <w:r>
        <w:rPr>
          <w:color w:val="383638"/>
          <w:spacing w:val="13"/>
        </w:rPr>
        <w:t> </w:t>
      </w:r>
      <w:r>
        <w:rPr>
          <w:color w:val="383638"/>
        </w:rPr>
        <w:t>Bauernhaus</w:t>
      </w:r>
      <w:r>
        <w:rPr>
          <w:color w:val="383638"/>
          <w:spacing w:val="13"/>
        </w:rPr>
        <w:t> </w:t>
      </w:r>
      <w:r>
        <w:rPr>
          <w:color w:val="383638"/>
          <w:spacing w:val="1"/>
        </w:rPr>
        <w:t>Gal-</w:t>
      </w:r>
      <w:r>
        <w:rPr>
          <w:color w:val="383638"/>
          <w:spacing w:val="28"/>
        </w:rPr>
        <w:t> </w:t>
      </w:r>
      <w:r>
        <w:rPr>
          <w:color w:val="383638"/>
          <w:spacing w:val="-3"/>
        </w:rPr>
        <w:t>ley</w:t>
      </w:r>
      <w:r>
        <w:rPr>
          <w:color w:val="383638"/>
        </w:rPr>
        <w:t> </w:t>
      </w:r>
      <w:r>
        <w:rPr>
          <w:color w:val="383638"/>
          <w:spacing w:val="-2"/>
        </w:rPr>
        <w:t>den</w:t>
      </w:r>
      <w:r>
        <w:rPr>
          <w:color w:val="383638"/>
        </w:rPr>
        <w:t> </w:t>
      </w:r>
      <w:r>
        <w:rPr>
          <w:color w:val="383638"/>
          <w:spacing w:val="-2"/>
        </w:rPr>
        <w:t>Schweizer</w:t>
      </w:r>
      <w:r>
        <w:rPr>
          <w:color w:val="383638"/>
        </w:rPr>
        <w:t> </w:t>
      </w:r>
      <w:r>
        <w:rPr>
          <w:color w:val="383638"/>
          <w:spacing w:val="-1"/>
        </w:rPr>
        <w:t>Solarpreis</w:t>
      </w:r>
      <w:r>
        <w:rPr>
          <w:color w:val="383638"/>
        </w:rPr>
        <w:t> 2018.</w:t>
      </w:r>
      <w:r>
        <w:rPr>
          <w:i w:val="0"/>
        </w:rPr>
      </w:r>
    </w:p>
    <w:p>
      <w:pPr>
        <w:tabs>
          <w:tab w:pos="1809" w:val="left" w:leader="none"/>
          <w:tab w:pos="2392" w:val="left" w:leader="none"/>
          <w:tab w:pos="2786" w:val="left" w:leader="none"/>
        </w:tabs>
        <w:spacing w:line="14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/>
        <w:br w:type="column"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toit: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262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27.2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63.0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26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16’500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89" w:val="left" w:leader="none"/>
          <w:tab w:pos="2785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Alimentation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électrique: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30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18’500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88" w:val="left" w:leader="none"/>
          <w:tab w:pos="2778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2.5 t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mazout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44</w:t>
        <w:tab/>
        <w:t>27’500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09" w:val="left" w:leader="none"/>
          <w:tab w:pos="2770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Total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besoins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énerg.: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62’500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834" w:val="left" w:leader="none"/>
        </w:tabs>
        <w:spacing w:before="35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énergétique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(énergie</w:t>
      </w:r>
      <w:r>
        <w:rPr>
          <w:rFonts w:ascii="Theinhardt Regular" w:hAnsi="Theinhardt Regular"/>
          <w:color w:val="231F20"/>
          <w:sz w:val="14"/>
        </w:rPr>
        <w:t> finale)    </w:t>
      </w:r>
      <w:r>
        <w:rPr>
          <w:rFonts w:ascii="Theinhardt Regular" w:hAnsi="Theinhardt Regular"/>
          <w:color w:val="231F20"/>
          <w:spacing w:val="8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%</w:t>
        <w:tab/>
        <w:t>kWh/a</w:t>
      </w:r>
      <w:r>
        <w:rPr>
          <w:rFonts w:ascii="Theinhardt Regular" w:hAnsi="Theinhardt Regular"/>
          <w:sz w:val="14"/>
        </w:rPr>
      </w:r>
    </w:p>
    <w:p>
      <w:pPr>
        <w:spacing w:line="240" w:lineRule="auto" w:before="1"/>
        <w:rPr>
          <w:rFonts w:ascii="Theinhardt Regular" w:hAnsi="Theinhardt Regular" w:cs="Theinhardt Regular" w:eastAsia="Theinhardt Regular"/>
          <w:sz w:val="2"/>
          <w:szCs w:val="2"/>
        </w:rPr>
      </w:pPr>
    </w:p>
    <w:tbl>
      <w:tblPr>
        <w:tblW w:w="0" w:type="auto"/>
        <w:jc w:val="left"/>
        <w:tblInd w:w="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9"/>
        <w:gridCol w:w="632"/>
        <w:gridCol w:w="634"/>
      </w:tblGrid>
      <w:tr>
        <w:trPr>
          <w:trHeight w:val="128" w:hRule="exact"/>
        </w:trPr>
        <w:tc>
          <w:tcPr>
            <w:tcW w:w="1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>Total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besoins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énergétique: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278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1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62’500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Autoprod.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énergétique: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61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26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2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16’500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12" w:hRule="exact"/>
        </w:trPr>
        <w:tc>
          <w:tcPr>
            <w:tcW w:w="19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2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2"/>
                <w:sz w:val="14"/>
                <w:szCs w:val="14"/>
              </w:rPr>
              <w:t>Apport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d’énergie***: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  <w:tc>
          <w:tcPr>
            <w:tcW w:w="6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2" w:lineRule="exact"/>
              <w:ind w:left="366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3"/>
                <w:sz w:val="14"/>
              </w:rPr>
              <w:t>74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2" w:lineRule="exact"/>
              <w:ind w:left="10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2"/>
                <w:sz w:val="14"/>
                <w:szCs w:val="14"/>
              </w:rPr>
              <w:t>46’000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60" w:lineRule="exact" w:before="92"/>
        <w:ind w:left="117" w:right="102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Confirmé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par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Groupe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E</w:t>
      </w:r>
      <w:r>
        <w:rPr>
          <w:rFonts w:ascii="Theinhardt Regular" w:hAnsi="Theinhardt Regular"/>
          <w:color w:val="231F20"/>
          <w:spacing w:val="2"/>
          <w:sz w:val="14"/>
        </w:rPr>
        <w:t>,</w:t>
      </w:r>
      <w:r>
        <w:rPr>
          <w:rFonts w:ascii="Theinhardt Regular" w:hAnsi="Theinhardt Regular"/>
          <w:color w:val="231F20"/>
          <w:spacing w:val="-3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le</w:t>
      </w:r>
      <w:r>
        <w:rPr>
          <w:rFonts w:ascii="Theinhardt Regular" w:hAnsi="Theinhardt Regular"/>
          <w:color w:val="231F20"/>
          <w:spacing w:val="-1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06.07.2018</w:t>
      </w:r>
      <w:r>
        <w:rPr>
          <w:rFonts w:ascii="Theinhardt Regular" w:hAnsi="Theinhardt Regular"/>
          <w:color w:val="231F20"/>
          <w:spacing w:val="26"/>
          <w:sz w:val="14"/>
        </w:rPr>
        <w:t> </w:t>
      </w:r>
      <w:r>
        <w:rPr>
          <w:rFonts w:ascii="Theinhardt Regular" w:hAnsi="Theinhardt Regular"/>
          <w:color w:val="231F20"/>
          <w:spacing w:val="-6"/>
          <w:sz w:val="14"/>
        </w:rPr>
        <w:t>F.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Clerc,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026 </w:t>
      </w:r>
      <w:r>
        <w:rPr>
          <w:rFonts w:ascii="Theinhardt Regular" w:hAnsi="Theinhardt Regular"/>
          <w:color w:val="231F20"/>
          <w:spacing w:val="-1"/>
          <w:sz w:val="14"/>
        </w:rPr>
        <w:t>352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5"/>
          <w:sz w:val="14"/>
        </w:rPr>
        <w:t>51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31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49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* </w:t>
      </w:r>
      <w:r>
        <w:rPr>
          <w:rFonts w:ascii="Theinhardt Regular" w:hAnsi="Theinhardt Regular"/>
          <w:color w:val="231F20"/>
          <w:spacing w:val="1"/>
          <w:sz w:val="14"/>
        </w:rPr>
        <w:t>OFEN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données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référence: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Prix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Solaire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5"/>
          <w:sz w:val="14"/>
        </w:rPr>
        <w:t>2017,</w:t>
      </w:r>
      <w:r>
        <w:rPr>
          <w:rFonts w:ascii="Theinhardt Regular" w:hAnsi="Theinhardt Regular"/>
          <w:color w:val="231F20"/>
          <w:sz w:val="14"/>
        </w:rPr>
        <w:t> p. </w:t>
      </w:r>
      <w:r>
        <w:rPr>
          <w:rFonts w:ascii="Theinhardt Regular" w:hAnsi="Theinhardt Regular"/>
          <w:color w:val="231F20"/>
          <w:spacing w:val="1"/>
          <w:sz w:val="14"/>
        </w:rPr>
        <w:t>84</w:t>
      </w:r>
      <w:r>
        <w:rPr>
          <w:rFonts w:ascii="Theinhardt Regular" w:hAnsi="Theinhardt Regular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**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Suposition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pour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bâtiments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non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isolé</w:t>
      </w:r>
      <w:r>
        <w:rPr>
          <w:rFonts w:ascii="Theinhardt Regular" w:hAnsi="Theinhardt Regular"/>
          <w:sz w:val="14"/>
        </w:rPr>
      </w:r>
    </w:p>
    <w:p>
      <w:pPr>
        <w:spacing w:line="201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8"/>
          <w:szCs w:val="8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3"/>
          <w:sz w:val="14"/>
          <w:szCs w:val="14"/>
        </w:rPr>
        <w:t>***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2.5 t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mazout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≈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7.5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t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d’émission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CO</w:t>
      </w:r>
      <w:r>
        <w:rPr>
          <w:rFonts w:ascii="Theinhardt Regular" w:hAnsi="Theinhardt Regular" w:cs="Theinhardt Regular" w:eastAsia="Theinhardt Regular"/>
          <w:color w:val="231F20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sz w:val="8"/>
          <w:szCs w:val="8"/>
        </w:rPr>
      </w:r>
    </w:p>
    <w:p>
      <w:pPr>
        <w:spacing w:before="59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 w:hAnsi="Theinhardt Black"/>
          <w:b/>
          <w:color w:val="231F20"/>
          <w:spacing w:val="1"/>
          <w:sz w:val="14"/>
        </w:rPr>
        <w:t>Personnes</w:t>
      </w:r>
      <w:r>
        <w:rPr>
          <w:rFonts w:ascii="Theinhardt Black" w:hAnsi="Theinhardt Black"/>
          <w:b/>
          <w:color w:val="231F20"/>
          <w:sz w:val="14"/>
        </w:rPr>
        <w:t> impliquées</w:t>
      </w:r>
      <w:r>
        <w:rPr>
          <w:rFonts w:ascii="Theinhardt Black" w:hAns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70.45pt;height:.45pt;mso-position-horizontal-relative:char;mso-position-vertical-relative:line" coordorigin="0,0" coordsize="3409,9">
            <v:group style="position:absolute;left:21;top:4;width:3375;height:2" coordorigin="21,4" coordsize="3375,2">
              <v:shape style="position:absolute;left:21;top:4;width:3375;height:2" coordorigin="21,4" coordsize="3375,0" path="m21,4l3396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404;top:4;width:2;height:2" coordorigin="3404,4" coordsize="2,2">
              <v:shape style="position:absolute;left:3404;top:4;width:2;height:2" coordorigin="3404,4" coordsize="0,0" path="m3404,4l340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123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Maître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d’ouvrage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adresse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du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bâtiment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07" w:lineRule="auto" w:before="5"/>
        <w:ind w:left="117" w:right="3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Alexandre</w:t>
      </w:r>
      <w:r>
        <w:rPr>
          <w:rFonts w:ascii="Theinhardt Regular" w:hAnsi="Theinhardt Regular"/>
          <w:color w:val="231F20"/>
          <w:sz w:val="14"/>
        </w:rPr>
        <w:t> Galley, </w:t>
      </w:r>
      <w:r>
        <w:rPr>
          <w:rFonts w:ascii="Theinhardt Regular" w:hAnsi="Theinhardt Regular"/>
          <w:color w:val="231F20"/>
          <w:spacing w:val="1"/>
          <w:sz w:val="14"/>
        </w:rPr>
        <w:t>Route</w:t>
      </w:r>
      <w:r>
        <w:rPr>
          <w:rFonts w:ascii="Theinhardt Regular" w:hAnsi="Theinhardt Regular"/>
          <w:color w:val="231F20"/>
          <w:sz w:val="14"/>
        </w:rPr>
        <w:t> du </w:t>
      </w:r>
      <w:r>
        <w:rPr>
          <w:rFonts w:ascii="Theinhardt Regular" w:hAnsi="Theinhardt Regular"/>
          <w:color w:val="231F20"/>
          <w:spacing w:val="1"/>
          <w:sz w:val="14"/>
        </w:rPr>
        <w:t>village</w:t>
      </w:r>
      <w:r>
        <w:rPr>
          <w:rFonts w:ascii="Theinhardt Regular" w:hAnsi="Theinhardt Regular"/>
          <w:color w:val="231F20"/>
          <w:sz w:val="14"/>
        </w:rPr>
        <w:t> 50, </w:t>
      </w:r>
      <w:r>
        <w:rPr>
          <w:rFonts w:ascii="Theinhardt Regular" w:hAnsi="Theinhardt Regular"/>
          <w:color w:val="231F20"/>
          <w:spacing w:val="-3"/>
          <w:sz w:val="14"/>
        </w:rPr>
        <w:t>1730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Ecuvillens</w:t>
      </w:r>
      <w:r>
        <w:rPr>
          <w:rFonts w:ascii="Theinhardt Regular" w:hAnsi="Theinhardt Regular"/>
          <w:color w:val="231F20"/>
          <w:spacing w:val="50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026 </w:t>
      </w:r>
      <w:r>
        <w:rPr>
          <w:rFonts w:ascii="Theinhardt Regular" w:hAnsi="Theinhardt Regular"/>
          <w:color w:val="231F20"/>
          <w:spacing w:val="-8"/>
          <w:sz w:val="14"/>
        </w:rPr>
        <w:t>411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</w:t>
      </w:r>
      <w:hyperlink r:id="rId5">
        <w:r>
          <w:rPr>
            <w:rFonts w:ascii="Theinhardt Regular" w:hAnsi="Theinhardt Regular"/>
            <w:color w:val="231F20"/>
            <w:spacing w:val="1"/>
            <w:sz w:val="14"/>
          </w:rPr>
          <w:t>6,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petit.galley@bluewin.ch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Pilotage</w:t>
      </w:r>
      <w:r>
        <w:rPr>
          <w:rFonts w:ascii="Theinhardt Bold"/>
          <w:b/>
          <w:color w:val="231F20"/>
          <w:spacing w:val="-2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scientifique</w:t>
      </w:r>
      <w:r>
        <w:rPr>
          <w:rFonts w:ascii="Theinhardt Bold"/>
          <w:b/>
          <w:color w:val="231F20"/>
          <w:spacing w:val="-1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et</w:t>
      </w:r>
      <w:r>
        <w:rPr>
          <w:rFonts w:ascii="Theinhardt Bold"/>
          <w:b/>
          <w:color w:val="231F20"/>
          <w:spacing w:val="-1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technique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CSEM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SA,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Jacquet-Droz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2000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Neuchâtel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032 720 </w:t>
      </w:r>
      <w:r>
        <w:rPr>
          <w:rFonts w:ascii="Theinhardt Regular" w:hAnsi="Theinhardt Regular"/>
          <w:color w:val="231F20"/>
          <w:spacing w:val="-5"/>
          <w:sz w:val="14"/>
        </w:rPr>
        <w:t>51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7"/>
          <w:sz w:val="14"/>
        </w:rPr>
        <w:t>11</w:t>
      </w:r>
      <w:hyperlink r:id="rId6">
        <w:r>
          <w:rPr>
            <w:rFonts w:ascii="Theinhardt Regular" w:hAnsi="Theinhardt Regular"/>
            <w:color w:val="231F20"/>
            <w:spacing w:val="-7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info@csem.ch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Photovoltaïque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17" w:right="20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Issol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Suisse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SA,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Rue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Jacquet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Droz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2002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Neuchâtel</w:t>
      </w:r>
      <w:r>
        <w:rPr>
          <w:rFonts w:ascii="Theinhardt Regular" w:hAnsi="Theinhardt Regular"/>
          <w:color w:val="231F20"/>
          <w:spacing w:val="46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032 </w:t>
      </w:r>
      <w:r>
        <w:rPr>
          <w:rFonts w:ascii="Theinhardt Regular" w:hAnsi="Theinhardt Regular"/>
          <w:color w:val="231F20"/>
          <w:spacing w:val="1"/>
          <w:sz w:val="14"/>
        </w:rPr>
        <w:t>580</w:t>
      </w:r>
      <w:r>
        <w:rPr>
          <w:rFonts w:ascii="Theinhardt Regular" w:hAnsi="Theinhardt Regular"/>
          <w:color w:val="231F20"/>
          <w:sz w:val="14"/>
        </w:rPr>
        <w:t> 02 </w:t>
      </w:r>
      <w:r>
        <w:rPr>
          <w:rFonts w:ascii="Theinhardt Regular" w:hAnsi="Theinhardt Regular"/>
          <w:color w:val="231F20"/>
          <w:spacing w:val="1"/>
          <w:sz w:val="14"/>
        </w:rPr>
        <w:t>4</w:t>
      </w:r>
      <w:hyperlink r:id="rId7">
        <w:r>
          <w:rPr>
            <w:rFonts w:ascii="Theinhardt Regular" w:hAnsi="Theinhardt Regular"/>
            <w:color w:val="231F20"/>
            <w:spacing w:val="1"/>
            <w:sz w:val="14"/>
          </w:rPr>
          <w:t>4,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pvglazing@issol.ch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Installateur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38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Solstis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SA,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Rue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Sébeillon</w:t>
      </w:r>
      <w:r>
        <w:rPr>
          <w:rFonts w:ascii="Theinhardt Regular" w:hAnsi="Theinhardt Regular"/>
          <w:color w:val="231F20"/>
          <w:sz w:val="14"/>
        </w:rPr>
        <w:t> 9b, 1004 </w:t>
      </w:r>
      <w:r>
        <w:rPr>
          <w:rFonts w:ascii="Theinhardt Regular" w:hAnsi="Theinhardt Regular"/>
          <w:color w:val="231F20"/>
          <w:spacing w:val="1"/>
          <w:sz w:val="14"/>
        </w:rPr>
        <w:t>Lausanne</w:t>
      </w:r>
      <w:r>
        <w:rPr>
          <w:rFonts w:ascii="Theinhardt Regular" w:hAnsi="Theinhardt Regular"/>
          <w:color w:val="231F20"/>
          <w:spacing w:val="36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021</w:t>
      </w:r>
      <w:r>
        <w:rPr>
          <w:rFonts w:ascii="Theinhardt Regular" w:hAnsi="Theinhardt Regular"/>
          <w:color w:val="231F20"/>
          <w:sz w:val="14"/>
        </w:rPr>
        <w:t> 620 </w:t>
      </w:r>
      <w:r>
        <w:rPr>
          <w:rFonts w:ascii="Theinhardt Regular" w:hAnsi="Theinhardt Regular"/>
          <w:color w:val="231F20"/>
          <w:spacing w:val="1"/>
          <w:sz w:val="14"/>
        </w:rPr>
        <w:t>03</w:t>
      </w:r>
      <w:r>
        <w:rPr>
          <w:rFonts w:ascii="Theinhardt Regular" w:hAnsi="Theinhardt Regular"/>
          <w:color w:val="231F20"/>
          <w:sz w:val="14"/>
        </w:rPr>
        <w:t> 50</w:t>
      </w:r>
      <w:hyperlink r:id="rId8">
        <w:r>
          <w:rPr>
            <w:rFonts w:ascii="Theinhardt Regular" w:hAnsi="Theinhardt Regular"/>
            <w:color w:val="231F20"/>
            <w:sz w:val="14"/>
          </w:rPr>
          <w:t>, </w:t>
        </w:r>
        <w:r>
          <w:rPr>
            <w:rFonts w:ascii="Theinhardt Regular" w:hAnsi="Theinhardt Regular"/>
            <w:color w:val="231F20"/>
            <w:spacing w:val="2"/>
            <w:sz w:val="14"/>
          </w:rPr>
          <w:t>www.solstis.ch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Architecte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20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Lutz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architectes,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Rue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Jean-Prouvé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3"/>
          <w:sz w:val="14"/>
        </w:rPr>
        <w:t>14,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4"/>
          <w:sz w:val="14"/>
        </w:rPr>
        <w:t>1762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Givisiez</w:t>
      </w:r>
      <w:r>
        <w:rPr>
          <w:rFonts w:ascii="Theinhardt Regular" w:hAnsi="Theinhardt Regular"/>
          <w:color w:val="231F20"/>
          <w:spacing w:val="27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026 469 </w:t>
      </w:r>
      <w:r>
        <w:rPr>
          <w:rFonts w:ascii="Theinhardt Regular" w:hAnsi="Theinhardt Regular"/>
          <w:color w:val="231F20"/>
          <w:spacing w:val="-5"/>
          <w:sz w:val="14"/>
        </w:rPr>
        <w:t>74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00</w:t>
      </w:r>
      <w:hyperlink r:id="rId9">
        <w:r>
          <w:rPr>
            <w:rFonts w:ascii="Theinhardt Regular" w:hAnsi="Theinhardt Regular"/>
            <w:color w:val="231F20"/>
            <w:spacing w:val="1"/>
            <w:sz w:val="14"/>
          </w:rPr>
          <w:t>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2"/>
            <w:sz w:val="14"/>
          </w:rPr>
          <w:t>office@lutz-architectes.ch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72" w:lineRule="exact"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Coordination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2"/>
          <w:sz w:val="14"/>
        </w:rPr>
        <w:t>chantier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542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Diego</w:t>
      </w:r>
      <w:r>
        <w:rPr>
          <w:rFonts w:ascii="Theinhardt Regular" w:hAnsi="Theinhardt Regular"/>
          <w:color w:val="231F20"/>
          <w:sz w:val="14"/>
        </w:rPr>
        <w:t> Fischer, </w:t>
      </w:r>
      <w:r>
        <w:rPr>
          <w:rFonts w:ascii="Theinhardt Regular" w:hAnsi="Theinhardt Regular"/>
          <w:color w:val="231F20"/>
          <w:spacing w:val="1"/>
          <w:sz w:val="14"/>
        </w:rPr>
        <w:t>Louis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Favre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5,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2000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Neuchâtel</w:t>
      </w:r>
      <w:r>
        <w:rPr>
          <w:rFonts w:ascii="Theinhardt Regular" w:hAnsi="Theinhardt Regular"/>
          <w:color w:val="231F20"/>
          <w:spacing w:val="38"/>
          <w:sz w:val="14"/>
        </w:rPr>
        <w:t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> 077 466 86 </w:t>
      </w:r>
      <w:r>
        <w:rPr>
          <w:rFonts w:ascii="Theinhardt Regular" w:hAnsi="Theinhardt Regular"/>
          <w:color w:val="231F20"/>
          <w:spacing w:val="-1"/>
          <w:sz w:val="14"/>
        </w:rPr>
        <w:t>2</w:t>
      </w:r>
      <w:hyperlink r:id="rId10">
        <w:r>
          <w:rPr>
            <w:rFonts w:ascii="Theinhardt Regular" w:hAnsi="Theinhardt Regular"/>
            <w:color w:val="231F20"/>
            <w:spacing w:val="-1"/>
            <w:sz w:val="14"/>
          </w:rPr>
          <w:t>6,</w:t>
        </w:r>
        <w:r>
          <w:rPr>
            <w:rFonts w:ascii="Theinhardt Regular" w:hAnsi="Theinhardt Regular"/>
            <w:color w:val="231F20"/>
            <w:sz w:val="14"/>
          </w:rPr>
          <w:t> </w:t>
        </w:r>
        <w:r>
          <w:rPr>
            <w:rFonts w:ascii="Theinhardt Regular" w:hAnsi="Theinhardt Regular"/>
            <w:color w:val="231F20"/>
            <w:spacing w:val="1"/>
            <w:sz w:val="14"/>
          </w:rPr>
          <w:t>info@diegofischer.ch</w:t>
        </w:r>
        <w:r>
          <w:rPr>
            <w:rFonts w:ascii="Theinhardt Regular" w:hAnsi="Theinhardt Regular"/>
            <w:sz w:val="14"/>
          </w:rPr>
        </w:r>
      </w:hyperlink>
    </w:p>
    <w:p>
      <w:pPr>
        <w:spacing w:line="160" w:lineRule="exact" w:before="46"/>
        <w:ind w:left="117" w:right="218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Sponsors</w:t>
      </w:r>
      <w:r>
        <w:rPr>
          <w:rFonts w:ascii="Theinhardt Bold" w:hAnsi="Theinhardt Bold"/>
          <w:b/>
          <w:color w:val="231F20"/>
          <w:spacing w:val="25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Bundesamt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f.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Etat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Fribourg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Üserhuus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Solstis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SA</w:t>
      </w:r>
      <w:r>
        <w:rPr>
          <w:rFonts w:ascii="Theinhardt Regular"/>
          <w:sz w:val="14"/>
        </w:rPr>
      </w:r>
    </w:p>
    <w:p>
      <w:pPr>
        <w:spacing w:after="0" w:line="17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40" w:bottom="280" w:left="620" w:right="840"/>
          <w:cols w:num="3" w:equalWidth="0">
            <w:col w:w="3473" w:space="98"/>
            <w:col w:w="3463" w:space="109"/>
            <w:col w:w="3647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6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70.45pt;height:.45pt;mso-position-horizontal-relative:char;mso-position-vertical-relative:line" coordorigin="0,0" coordsize="3409,9">
            <v:group style="position:absolute;left:21;top:4;width:3375;height:2" coordorigin="21,4" coordsize="3375,2">
              <v:shape style="position:absolute;left:21;top:4;width:3375;height:2" coordorigin="21,4" coordsize="3375,0" path="m21,4l3396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404;top:4;width:2;height:2" coordorigin="3404,4" coordsize="2,2">
              <v:shape style="position:absolute;left:3404;top:4;width:2;height:2" coordorigin="3404,4" coordsize="0,0" path="m3404,4l3404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1"/>
        <w:rPr>
          <w:rFonts w:ascii="Theinhardt Regular" w:hAnsi="Theinhardt Regular" w:cs="Theinhardt Regular" w:eastAsia="Theinhardt Regular"/>
          <w:sz w:val="16"/>
          <w:szCs w:val="16"/>
        </w:rPr>
      </w:pPr>
    </w:p>
    <w:p>
      <w:pPr>
        <w:spacing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82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40" w:bottom="280" w:left="620" w:right="840"/>
        </w:sectPr>
      </w:pPr>
    </w:p>
    <w:p>
      <w:pPr>
        <w:spacing w:line="240" w:lineRule="auto" w:before="3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06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53168" cy="482498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168" cy="482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5"/>
        <w:ind w:left="10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3672" w:val="left" w:leader="none"/>
        </w:tabs>
        <w:spacing w:line="200" w:lineRule="atLeast"/>
        <w:ind w:left="10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2117025" cy="296570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025" cy="296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position w:val="1"/>
          <w:sz w:val="20"/>
        </w:rPr>
        <w:drawing>
          <wp:inline distT="0" distB="0" distL="0" distR="0">
            <wp:extent cx="4391682" cy="2959608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682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position w:val="1"/>
          <w:sz w:val="20"/>
        </w:rPr>
      </w:r>
    </w:p>
    <w:p>
      <w:pPr>
        <w:tabs>
          <w:tab w:pos="3672" w:val="left" w:leader="none"/>
        </w:tabs>
        <w:spacing w:before="8"/>
        <w:ind w:left="10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6"/>
          <w:szCs w:val="26"/>
        </w:rPr>
        <w:sectPr>
          <w:pgSz w:w="12250" w:h="17180"/>
          <w:pgMar w:top="1020" w:bottom="280" w:left="920" w:right="620"/>
        </w:sectPr>
      </w:pP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76"/>
        <w:ind w:left="32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La</w:t>
      </w:r>
      <w:r>
        <w:rPr>
          <w:rFonts w:ascii="Theinhardt Bold" w:hAnsi="Theinhardt Bold"/>
          <w:b/>
          <w:color w:val="231F20"/>
          <w:sz w:val="14"/>
        </w:rPr>
        <w:t> maison </w:t>
      </w:r>
      <w:r>
        <w:rPr>
          <w:rFonts w:ascii="Theinhardt Bold" w:hAnsi="Theinhardt Bold"/>
          <w:b/>
          <w:color w:val="231F20"/>
          <w:spacing w:val="-1"/>
          <w:sz w:val="14"/>
        </w:rPr>
        <w:t>rurale</w:t>
      </w:r>
      <w:r>
        <w:rPr>
          <w:rFonts w:ascii="Theinhardt Bold" w:hAnsi="Theinhardt Bold"/>
          <w:b/>
          <w:color w:val="231F20"/>
          <w:sz w:val="14"/>
        </w:rPr>
        <w:t> Galley avec les </w:t>
      </w:r>
      <w:r>
        <w:rPr>
          <w:rFonts w:ascii="Theinhardt Bold" w:hAnsi="Theinhardt Bold"/>
          <w:b/>
          <w:color w:val="231F20"/>
          <w:spacing w:val="-1"/>
          <w:sz w:val="14"/>
        </w:rPr>
        <w:t>deux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tiers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de</w:t>
      </w:r>
      <w:r>
        <w:rPr>
          <w:rFonts w:ascii="Theinhardt Bold" w:hAnsi="Theinhardt Bold"/>
          <w:b/>
          <w:color w:val="231F20"/>
          <w:sz w:val="14"/>
        </w:rPr>
        <w:t> la</w:t>
      </w:r>
      <w:r>
        <w:rPr>
          <w:rFonts w:ascii="Theinhardt Bold" w:hAnsi="Theinhardt Bold"/>
          <w:b/>
          <w:color w:val="231F20"/>
          <w:spacing w:val="26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maison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pour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la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plage</w:t>
      </w:r>
      <w:r>
        <w:rPr>
          <w:rFonts w:ascii="Theinhardt Bold" w:hAnsi="Theinhardt Bold"/>
          <w:b/>
          <w:color w:val="231F20"/>
          <w:spacing w:val="-1"/>
          <w:sz w:val="14"/>
        </w:rPr>
        <w:t> de </w:t>
      </w:r>
      <w:r>
        <w:rPr>
          <w:rFonts w:ascii="Theinhardt Bold" w:hAnsi="Theinhardt Bold"/>
          <w:b/>
          <w:color w:val="231F20"/>
          <w:sz w:val="14"/>
        </w:rPr>
        <w:t>fonctionnement</w:t>
      </w:r>
      <w:r>
        <w:rPr>
          <w:rFonts w:ascii="Theinhardt Bold" w:hAnsi="Theinhardt Bold"/>
          <w:b/>
          <w:color w:val="231F20"/>
          <w:spacing w:val="-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agricul-</w:t>
      </w:r>
      <w:r>
        <w:rPr>
          <w:rFonts w:ascii="Theinhardt Bold" w:hAnsi="Theinhardt Bold"/>
          <w:b/>
          <w:color w:val="231F20"/>
          <w:spacing w:val="23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turel</w:t>
      </w:r>
      <w:r>
        <w:rPr>
          <w:rFonts w:ascii="Theinhardt Bold" w:hAnsi="Theinhardt Bold"/>
          <w:b/>
          <w:color w:val="231F20"/>
          <w:sz w:val="14"/>
        </w:rPr>
        <w:t> en </w:t>
      </w:r>
      <w:r>
        <w:rPr>
          <w:rFonts w:ascii="Theinhardt Bold" w:hAnsi="Theinhardt Bold"/>
          <w:b/>
          <w:color w:val="231F20"/>
          <w:spacing w:val="-1"/>
          <w:sz w:val="14"/>
        </w:rPr>
        <w:t>avant</w:t>
      </w:r>
      <w:r>
        <w:rPr>
          <w:rFonts w:ascii="Theinhardt Bold" w:hAnsi="Theinhardt Bold"/>
          <w:b/>
          <w:color w:val="231F20"/>
          <w:sz w:val="14"/>
        </w:rPr>
        <w:t> et un </w:t>
      </w:r>
      <w:r>
        <w:rPr>
          <w:rFonts w:ascii="Theinhardt Bold" w:hAnsi="Theinhardt Bold"/>
          <w:b/>
          <w:color w:val="231F20"/>
          <w:spacing w:val="-1"/>
          <w:sz w:val="14"/>
        </w:rPr>
        <w:t>tiers</w:t>
      </w:r>
      <w:r>
        <w:rPr>
          <w:rFonts w:ascii="Theinhardt Bold" w:hAnsi="Theinhardt Bold"/>
          <w:b/>
          <w:color w:val="231F20"/>
          <w:sz w:val="14"/>
        </w:rPr>
        <w:t> habité </w:t>
      </w:r>
      <w:r>
        <w:rPr>
          <w:rFonts w:ascii="Theinhardt Bold" w:hAnsi="Theinhardt Bold"/>
          <w:b/>
          <w:color w:val="231F20"/>
          <w:spacing w:val="-1"/>
          <w:sz w:val="14"/>
        </w:rPr>
        <w:t>derrière.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76"/>
        <w:ind w:left="327" w:right="0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La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parte habitée consomme 31’000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En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plus,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la plage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fonctionnement agriculturel a</w:t>
      </w:r>
      <w:r>
        <w:rPr>
          <w:rFonts w:ascii="Theinhardt Bold" w:hAnsi="Theinhardt Bold" w:cs="Theinhardt Bold" w:eastAsia="Theinhardt Bold"/>
          <w:b/>
          <w:bCs/>
          <w:color w:val="231F20"/>
          <w:spacing w:val="23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besoins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5’200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d’éléctricité.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28" w:val="left" w:leader="none"/>
        </w:tabs>
        <w:spacing w:line="160" w:lineRule="exact" w:before="76"/>
        <w:ind w:left="327" w:right="183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pacing w:val="-8"/>
          <w:sz w:val="14"/>
          <w:szCs w:val="14"/>
        </w:rPr>
        <w:t>L'</w:t>
      </w:r>
      <w:r>
        <w:rPr>
          <w:rFonts w:ascii="Theinhardt Bold" w:hAnsi="Theinhardt Bold" w:cs="Theinhardt Bold" w:eastAsia="Theinhardt Bold"/>
          <w:b/>
          <w:bCs/>
          <w:color w:val="231F20"/>
          <w:spacing w:val="-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installation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27,2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kWc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avec des modules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de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couleur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terre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cuite développés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spécifique-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ment pour des sites protégés.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Cette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installation</w:t>
      </w:r>
      <w:r>
        <w:rPr>
          <w:rFonts w:ascii="Theinhardt Bold" w:hAnsi="Theinhardt Bold" w:cs="Theinhardt Bold" w:eastAsia="Theinhardt Bold"/>
          <w:b/>
          <w:bCs/>
          <w:color w:val="231F20"/>
          <w:spacing w:val="3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produit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avec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une éfficacité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réduite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env.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16’500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4"/>
          <w:szCs w:val="14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correspondant à une alimentation</w:t>
      </w:r>
      <w:r>
        <w:rPr>
          <w:rFonts w:ascii="Theinhardt Bold" w:hAnsi="Theinhardt Bold" w:cs="Theinhardt Bold" w:eastAsia="Theinhardt Bold"/>
          <w:b/>
          <w:bCs/>
          <w:color w:val="231F20"/>
          <w:spacing w:val="25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énergetique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d‘environ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26%.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40" w:bottom="280" w:left="920" w:right="620"/>
          <w:cols w:num="3" w:equalWidth="0">
            <w:col w:w="3441" w:space="126"/>
            <w:col w:w="3311" w:space="256"/>
            <w:col w:w="3576"/>
          </w:cols>
        </w:sect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5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83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40" w:bottom="280" w:left="9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2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3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49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1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83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5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1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22"/>
      <w:ind w:left="117"/>
      <w:outlineLvl w:val="1"/>
    </w:pPr>
    <w:rPr>
      <w:rFonts w:ascii="Theinhardt Bold" w:hAnsi="Theinhardt Bold" w:eastAsia="Theinhardt Bold"/>
      <w:b/>
      <w:bCs/>
      <w:sz w:val="18"/>
      <w:szCs w:val="18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petit.galley@bluewin.ch" TargetMode="External"/><Relationship Id="rId6" Type="http://schemas.openxmlformats.org/officeDocument/2006/relationships/hyperlink" Target="mailto:info@csem.ch" TargetMode="External"/><Relationship Id="rId7" Type="http://schemas.openxmlformats.org/officeDocument/2006/relationships/hyperlink" Target="mailto:pvglazing@issol.ch" TargetMode="External"/><Relationship Id="rId8" Type="http://schemas.openxmlformats.org/officeDocument/2006/relationships/hyperlink" Target="http://www.solstis.ch/" TargetMode="External"/><Relationship Id="rId9" Type="http://schemas.openxmlformats.org/officeDocument/2006/relationships/hyperlink" Target="mailto:office@lutz-architectes.ch" TargetMode="External"/><Relationship Id="rId10" Type="http://schemas.openxmlformats.org/officeDocument/2006/relationships/hyperlink" Target="mailto:info@diegofischer.ch" TargetMode="Externa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2018-10-02T10:13:07Z</dcterms:created>
  <dcterms:modified xsi:type="dcterms:W3CDTF">2018-10-02T10:13:07Z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