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556" w:val="left" w:leader="none"/>
        </w:tabs>
        <w:spacing w:line="230" w:lineRule="exact" w:before="38"/>
        <w:ind w:left="117" w:right="0" w:firstLine="0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/>
        <w:pict>
          <v:group style="position:absolute;margin-left:37.063pt;margin-top:14.147209pt;width:.1pt;height:.1pt;mso-position-horizontal-relative:page;mso-position-vertical-relative:paragraph;z-index:-6880" coordorigin="741,283" coordsize="2,2">
            <v:shape style="position:absolute;left:741;top:283;width:2;height:2" coordorigin="741,283" coordsize="0,0" path="m741,283l741,28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9.235992pt;margin-top:14.147209pt;width:.1pt;height:.1pt;mso-position-horizontal-relative:page;mso-position-vertical-relative:paragraph;z-index:1120" coordorigin="3185,283" coordsize="2,2">
            <v:shape style="position:absolute;left:3185;top:283;width:2;height:2" coordorigin="3185,283" coordsize="0,0" path="m3185,283l3185,28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37.063pt;margin-top:25.647209pt;width:.1pt;height:.1pt;mso-position-horizontal-relative:page;mso-position-vertical-relative:paragraph;z-index:-6832" coordorigin="741,513" coordsize="2,2">
            <v:shape style="position:absolute;left:741;top:513;width:2;height:2" coordorigin="741,513" coordsize="0,0" path="m741,513l741,51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9.235992pt;margin-top:25.647209pt;width:.1pt;height:.1pt;mso-position-horizontal-relative:page;mso-position-vertical-relative:paragraph;z-index:1168" coordorigin="3185,513" coordsize="2,2">
            <v:shape style="position:absolute;left:3185;top:513;width:2;height:2" coordorigin="3185,513" coordsize="0,0" path="m3185,513l3185,51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shape style="position:absolute;margin-left:36.851002pt;margin-top:52.910709pt;width:82.2043pt;height:60.204pt;mso-position-horizontal-relative:page;mso-position-vertical-relative:paragraph;z-index:1192" type="#_x0000_t75" stroked="false">
            <v:imagedata r:id="rId5" o:title=""/>
          </v:shape>
        </w:pict>
      </w:r>
      <w:r>
        <w:rPr>
          <w:rFonts w:ascii="Theinhardt Heavy" w:hAnsi="Theinhardt Heavy"/>
          <w:b/>
          <w:color w:val="231F20"/>
          <w:sz w:val="18"/>
        </w:rPr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Kategorie B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 </w:t>
        <w:tab/>
      </w:r>
      <w:r>
        <w:rPr>
          <w:rFonts w:ascii="Theinhardt Heavy" w:hAnsi="Theinhardt Heavy"/>
          <w:b/>
          <w:color w:val="231F20"/>
          <w:sz w:val="18"/>
        </w:rPr>
      </w:r>
      <w:r>
        <w:rPr>
          <w:rFonts w:ascii="Theinhardt Heavy" w:hAnsi="Theinhardt Heavy"/>
          <w:b/>
          <w:color w:val="231F20"/>
          <w:sz w:val="18"/>
        </w:rPr>
        <w:t> 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PlusEnergieBauten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 </w:t>
        <w:tab/>
      </w:r>
      <w:r>
        <w:rPr>
          <w:rFonts w:ascii="Theinhardt Heavy" w:hAnsi="Theinhardt Heavy"/>
          <w:b/>
          <w:color w:val="231F20"/>
          <w:sz w:val="18"/>
        </w:rPr>
      </w:r>
      <w:r>
        <w:rPr>
          <w:rFonts w:ascii="Theinhardt Heavy" w:hAnsi="Theinhardt Heavy"/>
          <w:b/>
          <w:color w:val="231F20"/>
          <w:spacing w:val="21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PlusEnergieBau</w:t>
      </w:r>
      <w:r>
        <w:rPr>
          <w:rFonts w:ascii="Theinhardt Regular" w:hAnsi="Theinhardt Regular"/>
          <w:color w:val="231F20"/>
          <w:spacing w:val="-1"/>
          <w:position w:val="6"/>
          <w:sz w:val="10"/>
        </w:rPr>
        <w:t>®</w:t>
      </w:r>
      <w:r>
        <w:rPr>
          <w:rFonts w:ascii="Theinhardt Regular" w:hAnsi="Theinhardt Regular"/>
          <w:color w:val="231F20"/>
          <w:spacing w:val="-1"/>
          <w:sz w:val="18"/>
        </w:rPr>
        <w:t>-Solarpreis</w:t>
      </w:r>
      <w:r>
        <w:rPr>
          <w:rFonts w:ascii="Theinhardt Regular" w:hAnsi="Theinhardt Regular"/>
          <w:sz w:val="18"/>
        </w:rPr>
      </w:r>
    </w:p>
    <w:p>
      <w:pPr>
        <w:spacing w:line="230" w:lineRule="exact" w:before="38"/>
        <w:ind w:left="117" w:right="110" w:firstLine="0"/>
        <w:jc w:val="both"/>
        <w:rPr>
          <w:rFonts w:ascii="Theinhardt Bold" w:hAnsi="Theinhardt Bold" w:cs="Theinhardt Bold" w:eastAsia="Theinhardt Bold"/>
          <w:sz w:val="18"/>
          <w:szCs w:val="18"/>
        </w:rPr>
      </w:pPr>
      <w:r>
        <w:rPr/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4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Mehrfamilien-Neubau</w:t>
      </w:r>
      <w:r>
        <w:rPr>
          <w:rFonts w:ascii="Theinhardt Bold" w:hAnsi="Theinhardt Bold" w:cs="Theinhardt Bold" w:eastAsia="Theinhardt Bold"/>
          <w:b/>
          <w:bCs/>
          <w:color w:val="231F20"/>
          <w:spacing w:val="4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SonnenparkPLUS</w:t>
      </w:r>
      <w:r>
        <w:rPr>
          <w:rFonts w:ascii="Theinhardt Bold" w:hAnsi="Theinhardt Bold" w:cs="Theinhardt Bold" w:eastAsia="Theinhardt Bold"/>
          <w:b/>
          <w:bCs/>
          <w:color w:val="231F20"/>
          <w:spacing w:val="4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4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Wetzikon</w:t>
      </w:r>
      <w:r>
        <w:rPr>
          <w:rFonts w:ascii="Theinhardt Bold" w:hAnsi="Theinhardt Bold" w:cs="Theinhardt Bold" w:eastAsia="Theinhardt Bold"/>
          <w:b/>
          <w:bCs/>
          <w:color w:val="231F20"/>
          <w:spacing w:val="4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weist</w:t>
      </w:r>
      <w:r>
        <w:rPr>
          <w:rFonts w:ascii="Theinhardt Bold" w:hAnsi="Theinhardt Bold" w:cs="Theinhardt Bold" w:eastAsia="Theinhardt Bold"/>
          <w:b/>
          <w:bCs/>
          <w:color w:val="231F20"/>
          <w:spacing w:val="4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</w:t>
      </w:r>
      <w:r>
        <w:rPr>
          <w:rFonts w:ascii="Theinhardt Bold" w:hAnsi="Theinhardt Bold" w:cs="Theinhardt Bold" w:eastAsia="Theinhardt Bold"/>
          <w:b/>
          <w:bCs/>
          <w:color w:val="231F20"/>
          <w:spacing w:val="4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vorbildliche</w:t>
      </w:r>
      <w:r>
        <w:rPr>
          <w:rFonts w:ascii="Theinhardt Bold" w:hAnsi="Theinhardt Bold" w:cs="Theinhardt Bold" w:eastAsia="Theinhardt Bold"/>
          <w:b/>
          <w:bCs/>
          <w:color w:val="231F20"/>
          <w:spacing w:val="4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Dach-</w:t>
      </w:r>
      <w:r>
        <w:rPr>
          <w:rFonts w:ascii="Theinhardt Bold" w:hAnsi="Theinhardt Bold" w:cs="Theinhardt Bold" w:eastAsia="Theinhardt Bold"/>
          <w:b/>
          <w:bCs/>
          <w:color w:val="231F20"/>
          <w:spacing w:val="4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7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Wanddämmung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auf.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Dank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den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beispielhaft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tiefen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U-Werten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0.10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W/m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position w:val="6"/>
          <w:sz w:val="10"/>
          <w:szCs w:val="10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K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den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energieef-</w:t>
      </w:r>
      <w:r>
        <w:rPr>
          <w:rFonts w:ascii="Theinhardt Bold" w:hAnsi="Theinhardt Bold" w:cs="Theinhardt Bold" w:eastAsia="Theinhardt Bold"/>
          <w:b/>
          <w:bCs/>
          <w:color w:val="231F20"/>
          <w:spacing w:val="6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fizienten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Haushaltgeräten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sank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Gesamtenergiebedarf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10%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unter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den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Minergie-P-Baustan-</w:t>
      </w:r>
      <w:r>
        <w:rPr>
          <w:rFonts w:ascii="Theinhardt Bold" w:hAnsi="Theinhardt Bold" w:cs="Theinhardt Bold" w:eastAsia="Theinhardt Bold"/>
          <w:b/>
          <w:bCs/>
          <w:color w:val="231F20"/>
          <w:spacing w:val="7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dard.</w:t>
      </w:r>
      <w:r>
        <w:rPr>
          <w:rFonts w:ascii="Theinhardt Bold" w:hAnsi="Theinhardt Bold" w:cs="Theinhardt Bold" w:eastAsia="Theinhardt Bold"/>
          <w:b/>
          <w:bCs/>
          <w:color w:val="231F20"/>
          <w:spacing w:val="-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10</w:t>
      </w:r>
      <w:r>
        <w:rPr>
          <w:rFonts w:ascii="Theinhardt Bold" w:hAnsi="Theinhardt Bold" w:cs="Theinhardt Bold" w:eastAsia="Theinhardt Bold"/>
          <w:b/>
          <w:bCs/>
          <w:color w:val="231F20"/>
          <w:spacing w:val="-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Minergie-P/PEB-Wohnungen</w:t>
      </w:r>
      <w:r>
        <w:rPr>
          <w:rFonts w:ascii="Theinhardt Bold" w:hAnsi="Theinhardt Bold" w:cs="Theinhardt Bold" w:eastAsia="Theinhardt Bold"/>
          <w:b/>
          <w:bCs/>
          <w:color w:val="231F20"/>
          <w:spacing w:val="-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benötigen</w:t>
      </w:r>
      <w:r>
        <w:rPr>
          <w:rFonts w:ascii="Theinhardt Bold" w:hAnsi="Theinhardt Bold" w:cs="Theinhardt Bold" w:eastAsia="Theinhardt Bold"/>
          <w:b/>
          <w:bCs/>
          <w:color w:val="231F20"/>
          <w:spacing w:val="-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bei</w:t>
      </w:r>
      <w:r>
        <w:rPr>
          <w:rFonts w:ascii="Theinhardt Bold" w:hAnsi="Theinhardt Bold" w:cs="Theinhardt Bold" w:eastAsia="Theinhardt Bold"/>
          <w:b/>
          <w:bCs/>
          <w:color w:val="231F20"/>
          <w:spacing w:val="-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vollem</w:t>
      </w:r>
      <w:r>
        <w:rPr>
          <w:rFonts w:ascii="Theinhardt Bold" w:hAnsi="Theinhardt Bold" w:cs="Theinhardt Bold" w:eastAsia="Theinhardt Bold"/>
          <w:b/>
          <w:bCs/>
          <w:color w:val="231F20"/>
          <w:spacing w:val="-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Komfort</w:t>
      </w:r>
      <w:r>
        <w:rPr>
          <w:rFonts w:ascii="Theinhardt Bold" w:hAnsi="Theinhardt Bold" w:cs="Theinhardt Bold" w:eastAsia="Theinhardt Bold"/>
          <w:b/>
          <w:bCs/>
          <w:color w:val="231F20"/>
          <w:spacing w:val="-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nur</w:t>
      </w:r>
      <w:r>
        <w:rPr>
          <w:rFonts w:ascii="Theinhardt Bold" w:hAnsi="Theinhardt Bold" w:cs="Theinhardt Bold" w:eastAsia="Theinhardt Bold"/>
          <w:b/>
          <w:bCs/>
          <w:color w:val="231F20"/>
          <w:spacing w:val="-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noch</w:t>
      </w:r>
      <w:r>
        <w:rPr>
          <w:rFonts w:ascii="Theinhardt Bold" w:hAnsi="Theinhardt Bold" w:cs="Theinhardt Bold" w:eastAsia="Theinhardt Bold"/>
          <w:b/>
          <w:bCs/>
          <w:color w:val="231F20"/>
          <w:spacing w:val="-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49’200</w:t>
      </w:r>
      <w:r>
        <w:rPr>
          <w:rFonts w:ascii="Theinhardt Bold" w:hAnsi="Theinhardt Bold" w:cs="Theinhardt Bold" w:eastAsia="Theinhardt Bold"/>
          <w:b/>
          <w:bCs/>
          <w:color w:val="231F20"/>
          <w:spacing w:val="-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kWh/a.</w:t>
      </w:r>
      <w:r>
        <w:rPr>
          <w:rFonts w:ascii="Theinhardt Bold" w:hAnsi="Theinhardt Bold" w:cs="Theinhardt Bold" w:eastAsia="Theinhardt Bold"/>
          <w:b/>
          <w:bCs/>
          <w:color w:val="231F20"/>
          <w:spacing w:val="4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45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starke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PV-Dachanlage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erzeugt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rund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45’400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36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starke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Fassaden-</w:t>
      </w:r>
      <w:r>
        <w:rPr>
          <w:rFonts w:ascii="Theinhardt Bold" w:hAnsi="Theinhardt Bold" w:cs="Theinhardt Bold" w:eastAsia="Theinhardt Bold"/>
          <w:b/>
          <w:bCs/>
          <w:color w:val="231F20"/>
          <w:spacing w:val="6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PV-Anlage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generiert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knapp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23’200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kWh/a;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zusammen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ergibt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dies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rund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68’600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Solar-</w:t>
      </w:r>
      <w:r>
        <w:rPr>
          <w:rFonts w:ascii="Theinhardt Bold" w:hAnsi="Theinhardt Bold" w:cs="Theinhardt Bold" w:eastAsia="Theinhardt Bold"/>
          <w:b/>
          <w:bCs/>
          <w:color w:val="231F20"/>
          <w:spacing w:val="3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strom.</w:t>
      </w:r>
      <w:r>
        <w:rPr>
          <w:rFonts w:ascii="Theinhardt Bold" w:hAnsi="Theinhardt Bold" w:cs="Theinhardt Bold" w:eastAsia="Theinhardt Bold"/>
          <w:b/>
          <w:bCs/>
          <w:color w:val="231F20"/>
          <w:spacing w:val="-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Damit</w:t>
      </w:r>
      <w:r>
        <w:rPr>
          <w:rFonts w:ascii="Theinhardt Bold" w:hAnsi="Theinhardt Bold" w:cs="Theinhardt Bold" w:eastAsia="Theinhardt Bold"/>
          <w:b/>
          <w:bCs/>
          <w:color w:val="231F20"/>
          <w:spacing w:val="-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erreicht</w:t>
      </w:r>
      <w:r>
        <w:rPr>
          <w:rFonts w:ascii="Theinhardt Bold" w:hAnsi="Theinhardt Bold" w:cs="Theinhardt Bold" w:eastAsia="Theinhardt Bold"/>
          <w:b/>
          <w:bCs/>
          <w:color w:val="231F20"/>
          <w:spacing w:val="-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das</w:t>
      </w:r>
      <w:r>
        <w:rPr>
          <w:rFonts w:ascii="Theinhardt Bold" w:hAnsi="Theinhardt Bold" w:cs="Theinhardt Bold" w:eastAsia="Theinhardt Bold"/>
          <w:b/>
          <w:bCs/>
          <w:color w:val="231F20"/>
          <w:spacing w:val="-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PlusEnergie-MFH</w:t>
      </w:r>
      <w:r>
        <w:rPr>
          <w:rFonts w:ascii="Theinhardt Bold" w:hAnsi="Theinhardt Bold" w:cs="Theinhardt Bold" w:eastAsia="Theinhardt Bold"/>
          <w:b/>
          <w:bCs/>
          <w:color w:val="231F20"/>
          <w:spacing w:val="-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</w:t>
      </w:r>
      <w:r>
        <w:rPr>
          <w:rFonts w:ascii="Theinhardt Bold" w:hAnsi="Theinhardt Bold" w:cs="Theinhardt Bold" w:eastAsia="Theinhardt Bold"/>
          <w:b/>
          <w:bCs/>
          <w:color w:val="231F20"/>
          <w:spacing w:val="-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Eigenenergieversorgung</w:t>
      </w:r>
      <w:r>
        <w:rPr>
          <w:rFonts w:ascii="Theinhardt Bold" w:hAnsi="Theinhardt Bold" w:cs="Theinhardt Bold" w:eastAsia="Theinhardt Bold"/>
          <w:b/>
          <w:bCs/>
          <w:color w:val="231F20"/>
          <w:spacing w:val="-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-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139%.</w:t>
      </w:r>
      <w:r>
        <w:rPr>
          <w:rFonts w:ascii="Theinhardt Bold" w:hAnsi="Theinhardt Bold" w:cs="Theinhardt Bold" w:eastAsia="Theinhardt Bold"/>
          <w:b/>
          <w:bCs/>
          <w:color w:val="231F20"/>
          <w:spacing w:val="-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63</w:t>
      </w:r>
      <w:r>
        <w:rPr>
          <w:rFonts w:ascii="Theinhardt Bold" w:hAnsi="Theinhardt Bold" w:cs="Theinhardt Bold" w:eastAsia="Theinhardt Bold"/>
          <w:b/>
          <w:bCs/>
          <w:color w:val="231F20"/>
          <w:spacing w:val="-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kWh</w:t>
      </w:r>
      <w:r>
        <w:rPr>
          <w:rFonts w:ascii="Theinhardt Bold" w:hAnsi="Theinhardt Bold" w:cs="Theinhardt Bold" w:eastAsia="Theinhardt Bold"/>
          <w:b/>
          <w:bCs/>
          <w:color w:val="231F20"/>
          <w:spacing w:val="8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starken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Batteriespeicher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sorgen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dafür,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dass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Grossteil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des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produzierten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Solarstroms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direkt</w:t>
      </w:r>
      <w:r>
        <w:rPr>
          <w:rFonts w:ascii="Theinhardt Bold" w:hAnsi="Theinhardt Bold" w:cs="Theinhardt Bold" w:eastAsia="Theinhardt Bold"/>
          <w:b/>
          <w:bCs/>
          <w:color w:val="231F20"/>
          <w:spacing w:val="7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im MFH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genutzt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wird.</w:t>
      </w:r>
      <w:r>
        <w:rPr>
          <w:rFonts w:ascii="Theinhardt Bold" w:hAnsi="Theinhardt Bold" w:cs="Theinhardt Bold" w:eastAsia="Theinhardt Bold"/>
          <w:sz w:val="18"/>
          <w:szCs w:val="18"/>
        </w:rPr>
      </w:r>
    </w:p>
    <w:p>
      <w:pPr>
        <w:spacing w:after="0" w:line="230" w:lineRule="exact"/>
        <w:jc w:val="both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2250" w:h="17180"/>
          <w:pgMar w:top="1000" w:bottom="280" w:left="620" w:right="900"/>
          <w:cols w:num="2" w:equalWidth="0">
            <w:col w:w="2557" w:space="122"/>
            <w:col w:w="8051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1"/>
        <w:rPr>
          <w:rFonts w:ascii="Theinhardt Bold" w:hAnsi="Theinhardt Bold" w:cs="Theinhardt Bold" w:eastAsia="Theinhardt Bold"/>
          <w:b/>
          <w:bCs/>
          <w:sz w:val="26"/>
          <w:szCs w:val="26"/>
        </w:rPr>
      </w:pPr>
    </w:p>
    <w:p>
      <w:pPr>
        <w:spacing w:before="5"/>
        <w:ind w:left="117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/>
          <w:b/>
          <w:color w:val="0067B1"/>
          <w:sz w:val="40"/>
        </w:rPr>
        <w:t>139%-PEB-MFH </w:t>
      </w:r>
      <w:r>
        <w:rPr>
          <w:rFonts w:ascii="Theinhardt Black"/>
          <w:b/>
          <w:color w:val="0067B1"/>
          <w:spacing w:val="2"/>
          <w:sz w:val="40"/>
        </w:rPr>
        <w:t>SonnenparkPLUS,</w:t>
      </w:r>
      <w:r>
        <w:rPr>
          <w:rFonts w:ascii="Theinhardt Black"/>
          <w:b/>
          <w:color w:val="0067B1"/>
          <w:spacing w:val="-24"/>
          <w:sz w:val="40"/>
        </w:rPr>
        <w:t> </w:t>
      </w:r>
      <w:r>
        <w:rPr>
          <w:rFonts w:ascii="Theinhardt Black"/>
          <w:b/>
          <w:color w:val="0067B1"/>
          <w:sz w:val="40"/>
        </w:rPr>
        <w:t>8620 </w:t>
      </w:r>
      <w:r>
        <w:rPr>
          <w:rFonts w:ascii="Theinhardt Black"/>
          <w:b/>
          <w:color w:val="0067B1"/>
          <w:spacing w:val="4"/>
          <w:sz w:val="40"/>
        </w:rPr>
        <w:t>Wetzikon/ZH</w:t>
      </w:r>
      <w:r>
        <w:rPr>
          <w:rFonts w:ascii="Theinhardt Black"/>
          <w:sz w:val="40"/>
        </w:rPr>
      </w:r>
    </w:p>
    <w:p>
      <w:pPr>
        <w:spacing w:line="240" w:lineRule="auto" w:before="11"/>
        <w:rPr>
          <w:rFonts w:ascii="Theinhardt Black" w:hAnsi="Theinhardt Black" w:cs="Theinhardt Black" w:eastAsia="Theinhardt Black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3"/>
          <w:szCs w:val="23"/>
        </w:rPr>
        <w:sectPr>
          <w:type w:val="continuous"/>
          <w:pgSz w:w="12250" w:h="17180"/>
          <w:pgMar w:top="1000" w:bottom="280" w:left="620" w:right="900"/>
        </w:sectPr>
      </w:pPr>
    </w:p>
    <w:p>
      <w:pPr>
        <w:pStyle w:val="BodyText"/>
        <w:spacing w:line="230" w:lineRule="exact" w:before="52"/>
        <w:ind w:right="0"/>
        <w:jc w:val="both"/>
      </w:pPr>
      <w:r>
        <w:rPr>
          <w:color w:val="231F20"/>
          <w:spacing w:val="1"/>
        </w:rPr>
        <w:t>Das</w:t>
      </w:r>
      <w:r>
        <w:rPr>
          <w:color w:val="231F20"/>
          <w:spacing w:val="-2"/>
        </w:rPr>
        <w:t> </w:t>
      </w:r>
      <w:r>
        <w:rPr>
          <w:color w:val="231F20"/>
        </w:rPr>
        <w:t>MFH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SonnenparkPLUS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Wetzikon/ZH</w:t>
      </w:r>
      <w:r>
        <w:rPr>
          <w:color w:val="231F20"/>
          <w:spacing w:val="29"/>
        </w:rPr>
        <w:t> </w:t>
      </w:r>
      <w:r>
        <w:rPr>
          <w:color w:val="231F20"/>
        </w:rPr>
        <w:t>erzeugt</w:t>
      </w:r>
      <w:r>
        <w:rPr>
          <w:color w:val="231F20"/>
          <w:spacing w:val="27"/>
        </w:rPr>
        <w:t> </w:t>
      </w:r>
      <w:r>
        <w:rPr>
          <w:color w:val="231F20"/>
        </w:rPr>
        <w:t>mit</w:t>
      </w:r>
      <w:r>
        <w:rPr>
          <w:color w:val="231F20"/>
          <w:spacing w:val="28"/>
        </w:rPr>
        <w:t> </w:t>
      </w:r>
      <w:r>
        <w:rPr>
          <w:color w:val="231F20"/>
        </w:rPr>
        <w:t>36.1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kWp-PV-Modulen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an</w:t>
      </w:r>
      <w:r>
        <w:rPr>
          <w:color w:val="231F20"/>
          <w:spacing w:val="28"/>
        </w:rPr>
        <w:t> </w:t>
      </w:r>
      <w:r>
        <w:rPr>
          <w:color w:val="231F20"/>
        </w:rPr>
        <w:t>der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Fassade</w:t>
      </w:r>
      <w:r>
        <w:rPr>
          <w:color w:val="231F20"/>
          <w:spacing w:val="39"/>
        </w:rPr>
        <w:t> </w:t>
      </w:r>
      <w:r>
        <w:rPr>
          <w:color w:val="231F20"/>
        </w:rPr>
        <w:t>und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transparenten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Brüstungsmo-</w:t>
      </w:r>
      <w:r>
        <w:rPr>
          <w:color w:val="231F20"/>
          <w:spacing w:val="30"/>
        </w:rPr>
        <w:t> </w:t>
      </w:r>
      <w:r>
        <w:rPr>
          <w:color w:val="231F20"/>
        </w:rPr>
        <w:t>dulen</w:t>
      </w:r>
      <w:r>
        <w:rPr>
          <w:color w:val="231F20"/>
          <w:spacing w:val="29"/>
        </w:rPr>
        <w:t> </w:t>
      </w:r>
      <w:r>
        <w:rPr>
          <w:color w:val="231F20"/>
        </w:rPr>
        <w:t>23’173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kWh/a.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29"/>
        </w:rPr>
        <w:t> </w:t>
      </w:r>
      <w:r>
        <w:rPr>
          <w:color w:val="231F20"/>
        </w:rPr>
        <w:t>44.6</w:t>
      </w:r>
      <w:r>
        <w:rPr>
          <w:color w:val="231F20"/>
          <w:spacing w:val="30"/>
        </w:rPr>
        <w:t> </w:t>
      </w:r>
      <w:r>
        <w:rPr>
          <w:color w:val="231F20"/>
        </w:rPr>
        <w:t>kW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starke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PV-Dachanlage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produziert</w:t>
      </w:r>
      <w:r>
        <w:rPr>
          <w:color w:val="231F20"/>
          <w:spacing w:val="40"/>
        </w:rPr>
        <w:t> </w:t>
      </w:r>
      <w:r>
        <w:rPr>
          <w:color w:val="231F20"/>
        </w:rPr>
        <w:t>45’426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kWh/a,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insgesamt</w:t>
      </w:r>
      <w:r>
        <w:rPr>
          <w:color w:val="231F20"/>
          <w:spacing w:val="41"/>
        </w:rPr>
        <w:t> </w:t>
      </w:r>
      <w:r>
        <w:rPr>
          <w:color w:val="231F20"/>
        </w:rPr>
        <w:t>68’600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kWh/a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Sonnenenergie.</w:t>
      </w:r>
      <w:r>
        <w:rPr>
          <w:color w:val="231F20"/>
          <w:spacing w:val="31"/>
        </w:rPr>
        <w:t> </w:t>
      </w:r>
      <w:r>
        <w:rPr>
          <w:color w:val="231F20"/>
          <w:spacing w:val="1"/>
        </w:rPr>
        <w:t>Das</w:t>
      </w:r>
      <w:r>
        <w:rPr>
          <w:color w:val="231F20"/>
          <w:spacing w:val="-5"/>
        </w:rPr>
        <w:t> </w:t>
      </w:r>
      <w:r>
        <w:rPr>
          <w:color w:val="231F20"/>
        </w:rPr>
        <w:t>ist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genug</w:t>
      </w:r>
      <w:r>
        <w:rPr>
          <w:color w:val="231F20"/>
          <w:spacing w:val="-5"/>
        </w:rPr>
        <w:t> </w:t>
      </w:r>
      <w:r>
        <w:rPr>
          <w:color w:val="231F20"/>
        </w:rPr>
        <w:t>um</w:t>
      </w:r>
      <w:r>
        <w:rPr>
          <w:color w:val="231F20"/>
          <w:spacing w:val="-5"/>
        </w:rPr>
        <w:t> </w:t>
      </w:r>
      <w:r>
        <w:rPr>
          <w:color w:val="231F20"/>
        </w:rPr>
        <w:t>den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Jahresbedarf</w:t>
      </w:r>
      <w:r>
        <w:rPr>
          <w:color w:val="231F20"/>
          <w:spacing w:val="-5"/>
        </w:rPr>
        <w:t> </w:t>
      </w:r>
      <w:r>
        <w:rPr>
          <w:color w:val="231F20"/>
        </w:rPr>
        <w:t>aller</w:t>
      </w:r>
      <w:r>
        <w:rPr>
          <w:color w:val="231F20"/>
          <w:spacing w:val="-5"/>
        </w:rPr>
        <w:t> </w:t>
      </w:r>
      <w:r>
        <w:rPr>
          <w:color w:val="231F20"/>
        </w:rPr>
        <w:t>10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Wohnungen</w:t>
      </w:r>
      <w:r>
        <w:rPr>
          <w:color w:val="231F20"/>
        </w:rPr>
        <w:t> zu </w:t>
      </w:r>
      <w:r>
        <w:rPr>
          <w:color w:val="231F20"/>
          <w:spacing w:val="-1"/>
        </w:rPr>
        <w:t>decken.</w:t>
      </w:r>
      <w:r>
        <w:rPr/>
      </w:r>
    </w:p>
    <w:p>
      <w:pPr>
        <w:pStyle w:val="BodyText"/>
        <w:spacing w:line="230" w:lineRule="exact"/>
        <w:ind w:right="8" w:firstLine="226"/>
        <w:jc w:val="both"/>
      </w:pPr>
      <w:r>
        <w:rPr>
          <w:color w:val="231F20"/>
        </w:rPr>
        <w:t>Dank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Minergie-P-Standard</w:t>
      </w:r>
      <w:r>
        <w:rPr>
          <w:color w:val="231F20"/>
          <w:spacing w:val="33"/>
        </w:rPr>
        <w:t> </w:t>
      </w:r>
      <w:r>
        <w:rPr>
          <w:color w:val="231F20"/>
        </w:rPr>
        <w:t>und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mo-</w:t>
      </w:r>
      <w:r>
        <w:rPr>
          <w:color w:val="231F20"/>
          <w:spacing w:val="24"/>
        </w:rPr>
        <w:t> </w:t>
      </w:r>
      <w:r>
        <w:rPr>
          <w:color w:val="231F20"/>
        </w:rPr>
        <w:t>dernster</w:t>
      </w:r>
      <w:r>
        <w:rPr>
          <w:color w:val="231F20"/>
          <w:spacing w:val="36"/>
        </w:rPr>
        <w:t> </w:t>
      </w:r>
      <w:r>
        <w:rPr>
          <w:color w:val="231F20"/>
        </w:rPr>
        <w:t>Gebäudetechnik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beträgt</w:t>
      </w:r>
      <w:r>
        <w:rPr>
          <w:color w:val="231F20"/>
          <w:spacing w:val="36"/>
        </w:rPr>
        <w:t> </w:t>
      </w:r>
      <w:r>
        <w:rPr>
          <w:color w:val="231F20"/>
        </w:rPr>
        <w:t>der</w:t>
      </w:r>
      <w:r>
        <w:rPr>
          <w:color w:val="231F20"/>
          <w:spacing w:val="37"/>
        </w:rPr>
        <w:t> </w:t>
      </w:r>
      <w:r>
        <w:rPr>
          <w:color w:val="231F20"/>
        </w:rPr>
        <w:t>Ge-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samtenergiegebedarf</w:t>
      </w:r>
      <w:r>
        <w:rPr>
          <w:color w:val="231F20"/>
          <w:spacing w:val="-13"/>
        </w:rPr>
        <w:t> </w:t>
      </w:r>
      <w:r>
        <w:rPr>
          <w:color w:val="231F20"/>
        </w:rPr>
        <w:t>des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PlusEnergie-MFH</w:t>
      </w:r>
      <w:r>
        <w:rPr>
          <w:color w:val="231F20"/>
          <w:spacing w:val="49"/>
        </w:rPr>
        <w:t> </w:t>
      </w:r>
      <w:r>
        <w:rPr>
          <w:color w:val="231F20"/>
        </w:rPr>
        <w:t>bloss</w:t>
      </w:r>
      <w:r>
        <w:rPr>
          <w:color w:val="231F20"/>
          <w:spacing w:val="24"/>
        </w:rPr>
        <w:t> </w:t>
      </w:r>
      <w:r>
        <w:rPr>
          <w:color w:val="231F20"/>
        </w:rPr>
        <w:t>49’241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kWh/a.</w:t>
      </w:r>
      <w:r>
        <w:rPr>
          <w:color w:val="231F20"/>
          <w:spacing w:val="14"/>
        </w:rPr>
        <w:t> </w:t>
      </w:r>
      <w:r>
        <w:rPr>
          <w:color w:val="231F20"/>
        </w:rPr>
        <w:t>Daraus</w:t>
      </w:r>
      <w:r>
        <w:rPr>
          <w:color w:val="231F20"/>
          <w:spacing w:val="24"/>
        </w:rPr>
        <w:t> </w:t>
      </w:r>
      <w:r>
        <w:rPr>
          <w:color w:val="231F20"/>
        </w:rPr>
        <w:t>resultiert</w:t>
      </w:r>
      <w:r>
        <w:rPr>
          <w:color w:val="231F20"/>
          <w:spacing w:val="25"/>
        </w:rPr>
        <w:t> </w:t>
      </w:r>
      <w:r>
        <w:rPr>
          <w:color w:val="231F20"/>
        </w:rPr>
        <w:t>ein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Solarstromüberschuss</w:t>
      </w:r>
      <w:r>
        <w:rPr>
          <w:color w:val="231F20"/>
        </w:rPr>
        <w:t> von 19’400 </w:t>
      </w:r>
      <w:r>
        <w:rPr>
          <w:color w:val="231F20"/>
          <w:spacing w:val="-2"/>
        </w:rPr>
        <w:t>kWh/a.</w:t>
      </w:r>
      <w:r>
        <w:rPr/>
      </w:r>
    </w:p>
    <w:p>
      <w:pPr>
        <w:pStyle w:val="BodyText"/>
        <w:spacing w:line="230" w:lineRule="exact"/>
        <w:ind w:right="8" w:firstLine="226"/>
        <w:jc w:val="both"/>
      </w:pPr>
      <w:r>
        <w:rPr>
          <w:color w:val="231F20"/>
        </w:rPr>
        <w:t>Im</w:t>
      </w:r>
      <w:r>
        <w:rPr>
          <w:color w:val="231F20"/>
          <w:spacing w:val="1"/>
        </w:rPr>
        <w:t> </w:t>
      </w:r>
      <w:r>
        <w:rPr>
          <w:color w:val="231F20"/>
        </w:rPr>
        <w:t>Sommer</w:t>
      </w:r>
      <w:r>
        <w:rPr>
          <w:color w:val="231F20"/>
          <w:spacing w:val="1"/>
        </w:rPr>
        <w:t> </w:t>
      </w:r>
      <w:r>
        <w:rPr>
          <w:color w:val="231F20"/>
        </w:rPr>
        <w:t>ist</w:t>
      </w:r>
      <w:r>
        <w:rPr>
          <w:color w:val="231F20"/>
          <w:spacing w:val="1"/>
        </w:rPr>
        <w:t> </w:t>
      </w:r>
      <w:r>
        <w:rPr>
          <w:color w:val="231F20"/>
        </w:rPr>
        <w:t>das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PEB-MFH</w:t>
      </w:r>
      <w:r>
        <w:rPr>
          <w:color w:val="231F20"/>
          <w:spacing w:val="1"/>
        </w:rPr>
        <w:t> </w:t>
      </w:r>
      <w:r>
        <w:rPr>
          <w:color w:val="231F20"/>
        </w:rPr>
        <w:t>autark</w:t>
      </w:r>
      <w:r>
        <w:rPr>
          <w:color w:val="231F20"/>
          <w:spacing w:val="1"/>
        </w:rPr>
        <w:t> </w:t>
      </w:r>
      <w:r>
        <w:rPr>
          <w:color w:val="231F20"/>
        </w:rPr>
        <w:t>und</w:t>
      </w:r>
      <w:r>
        <w:rPr>
          <w:color w:val="231F20"/>
          <w:spacing w:val="23"/>
        </w:rPr>
        <w:t> </w:t>
      </w:r>
      <w:r>
        <w:rPr>
          <w:color w:val="231F20"/>
        </w:rPr>
        <w:t>profitiert</w:t>
      </w:r>
      <w:r>
        <w:rPr>
          <w:color w:val="231F20"/>
          <w:spacing w:val="-15"/>
        </w:rPr>
        <w:t> </w:t>
      </w:r>
      <w:r>
        <w:rPr>
          <w:color w:val="231F20"/>
        </w:rPr>
        <w:t>in</w:t>
      </w:r>
      <w:r>
        <w:rPr>
          <w:color w:val="231F20"/>
          <w:spacing w:val="-15"/>
        </w:rPr>
        <w:t> </w:t>
      </w:r>
      <w:r>
        <w:rPr>
          <w:color w:val="231F20"/>
        </w:rPr>
        <w:t>der</w:t>
      </w:r>
      <w:r>
        <w:rPr>
          <w:color w:val="231F20"/>
          <w:spacing w:val="-15"/>
        </w:rPr>
        <w:t> </w:t>
      </w:r>
      <w:r>
        <w:rPr>
          <w:color w:val="231F20"/>
        </w:rPr>
        <w:t>Nacht</w:t>
      </w:r>
      <w:r>
        <w:rPr>
          <w:color w:val="231F20"/>
          <w:spacing w:val="-15"/>
        </w:rPr>
        <w:t> </w:t>
      </w:r>
      <w:r>
        <w:rPr>
          <w:color w:val="231F20"/>
        </w:rPr>
        <w:t>vom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Eigenstrom.</w:t>
      </w:r>
      <w:r>
        <w:rPr>
          <w:color w:val="231F20"/>
          <w:spacing w:val="-26"/>
        </w:rPr>
        <w:t> </w:t>
      </w:r>
      <w:r>
        <w:rPr>
          <w:color w:val="231F20"/>
        </w:rPr>
        <w:t>Mög-</w:t>
      </w:r>
      <w:r>
        <w:rPr>
          <w:color w:val="231F20"/>
          <w:spacing w:val="25"/>
        </w:rPr>
        <w:t> </w:t>
      </w:r>
      <w:r>
        <w:rPr>
          <w:color w:val="231F20"/>
        </w:rPr>
        <w:t>lich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wird</w:t>
      </w:r>
      <w:r>
        <w:rPr>
          <w:color w:val="231F20"/>
          <w:spacing w:val="15"/>
        </w:rPr>
        <w:t> </w:t>
      </w:r>
      <w:r>
        <w:rPr>
          <w:color w:val="231F20"/>
        </w:rPr>
        <w:t>dies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durch</w:t>
      </w:r>
      <w:r>
        <w:rPr>
          <w:color w:val="231F20"/>
          <w:spacing w:val="15"/>
        </w:rPr>
        <w:t> </w:t>
      </w:r>
      <w:r>
        <w:rPr>
          <w:color w:val="231F20"/>
        </w:rPr>
        <w:t>einen</w:t>
      </w:r>
      <w:r>
        <w:rPr>
          <w:color w:val="231F20"/>
          <w:spacing w:val="15"/>
        </w:rPr>
        <w:t> </w:t>
      </w:r>
      <w:r>
        <w:rPr>
          <w:color w:val="231F20"/>
        </w:rPr>
        <w:t>63</w:t>
      </w:r>
      <w:r>
        <w:rPr>
          <w:color w:val="231F20"/>
          <w:spacing w:val="15"/>
        </w:rPr>
        <w:t> </w:t>
      </w:r>
      <w:r>
        <w:rPr>
          <w:color w:val="231F20"/>
        </w:rPr>
        <w:t>kWh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starken</w:t>
      </w:r>
      <w:r>
        <w:rPr>
          <w:color w:val="231F20"/>
          <w:spacing w:val="29"/>
        </w:rPr>
        <w:t> </w:t>
      </w:r>
      <w:r>
        <w:rPr>
          <w:color w:val="231F20"/>
        </w:rPr>
        <w:t>Speicher</w:t>
      </w:r>
      <w:r>
        <w:rPr>
          <w:color w:val="231F20"/>
          <w:spacing w:val="10"/>
        </w:rPr>
        <w:t> </w:t>
      </w:r>
      <w:r>
        <w:rPr>
          <w:color w:val="231F20"/>
        </w:rPr>
        <w:t>mit</w:t>
      </w:r>
      <w:r>
        <w:rPr>
          <w:color w:val="231F20"/>
          <w:spacing w:val="10"/>
        </w:rPr>
        <w:t> </w:t>
      </w:r>
      <w:r>
        <w:rPr>
          <w:color w:val="231F20"/>
        </w:rPr>
        <w:t>12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Batterien.</w:t>
      </w:r>
      <w:r>
        <w:rPr>
          <w:color w:val="231F20"/>
          <w:spacing w:val="-1"/>
        </w:rPr>
        <w:t> </w:t>
      </w:r>
      <w:r>
        <w:rPr>
          <w:color w:val="231F20"/>
        </w:rPr>
        <w:t>Der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Solarstrom-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überschuss</w:t>
      </w:r>
      <w:r>
        <w:rPr>
          <w:color w:val="231F20"/>
          <w:spacing w:val="41"/>
        </w:rPr>
        <w:t> </w:t>
      </w:r>
      <w:r>
        <w:rPr>
          <w:color w:val="231F20"/>
        </w:rPr>
        <w:t>von</w:t>
      </w:r>
      <w:r>
        <w:rPr>
          <w:color w:val="231F20"/>
          <w:spacing w:val="42"/>
        </w:rPr>
        <w:t> </w:t>
      </w:r>
      <w:r>
        <w:rPr>
          <w:color w:val="231F20"/>
        </w:rPr>
        <w:t>39%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wird</w:t>
      </w:r>
      <w:r>
        <w:rPr>
          <w:color w:val="231F20"/>
          <w:spacing w:val="42"/>
        </w:rPr>
        <w:t> </w:t>
      </w:r>
      <w:r>
        <w:rPr>
          <w:color w:val="231F20"/>
        </w:rPr>
        <w:t>zur</w:t>
      </w:r>
      <w:r>
        <w:rPr>
          <w:color w:val="231F20"/>
          <w:spacing w:val="42"/>
        </w:rPr>
        <w:t> </w:t>
      </w:r>
      <w:r>
        <w:rPr>
          <w:color w:val="231F20"/>
        </w:rPr>
        <w:t>Batteriela-</w:t>
      </w:r>
      <w:r>
        <w:rPr>
          <w:color w:val="231F20"/>
          <w:spacing w:val="37"/>
        </w:rPr>
        <w:t> </w:t>
      </w:r>
      <w:r>
        <w:rPr>
          <w:color w:val="231F20"/>
        </w:rPr>
        <w:t>dung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sowie</w:t>
      </w:r>
      <w:r>
        <w:rPr>
          <w:color w:val="231F20"/>
          <w:spacing w:val="33"/>
        </w:rPr>
        <w:t> </w:t>
      </w:r>
      <w:r>
        <w:rPr>
          <w:color w:val="231F20"/>
        </w:rPr>
        <w:t>Netzeinspeisung</w:t>
      </w:r>
      <w:r>
        <w:rPr>
          <w:color w:val="231F20"/>
          <w:spacing w:val="32"/>
        </w:rPr>
        <w:t> </w:t>
      </w:r>
      <w:r>
        <w:rPr>
          <w:color w:val="231F20"/>
          <w:spacing w:val="1"/>
        </w:rPr>
        <w:t>genutzt.</w:t>
      </w:r>
      <w:r>
        <w:rPr>
          <w:color w:val="231F20"/>
          <w:spacing w:val="22"/>
        </w:rPr>
        <w:t> </w:t>
      </w:r>
      <w:r>
        <w:rPr>
          <w:color w:val="231F20"/>
        </w:rPr>
        <w:t>Da-</w:t>
      </w:r>
      <w:r>
        <w:rPr>
          <w:color w:val="231F20"/>
          <w:spacing w:val="24"/>
        </w:rPr>
        <w:t> </w:t>
      </w:r>
      <w:r>
        <w:rPr>
          <w:color w:val="231F20"/>
        </w:rPr>
        <w:t>mit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können</w:t>
      </w:r>
      <w:r>
        <w:rPr>
          <w:color w:val="231F20"/>
          <w:spacing w:val="-5"/>
        </w:rPr>
        <w:t> </w:t>
      </w:r>
      <w:r>
        <w:rPr>
          <w:color w:val="231F20"/>
        </w:rPr>
        <w:t>14</w:t>
      </w:r>
      <w:r>
        <w:rPr>
          <w:color w:val="231F20"/>
          <w:spacing w:val="-5"/>
        </w:rPr>
        <w:t> </w:t>
      </w:r>
      <w:r>
        <w:rPr>
          <w:color w:val="231F20"/>
        </w:rPr>
        <w:t>E-Mobile</w:t>
      </w:r>
      <w:r>
        <w:rPr>
          <w:color w:val="231F20"/>
          <w:spacing w:val="-5"/>
        </w:rPr>
        <w:t> </w:t>
      </w:r>
      <w:r>
        <w:rPr>
          <w:color w:val="231F20"/>
        </w:rPr>
        <w:t>jährlich</w:t>
      </w:r>
      <w:r>
        <w:rPr>
          <w:color w:val="231F20"/>
          <w:spacing w:val="-5"/>
        </w:rPr>
        <w:t> </w:t>
      </w:r>
      <w:r>
        <w:rPr>
          <w:color w:val="231F20"/>
        </w:rPr>
        <w:t>12’000</w:t>
      </w:r>
      <w:r>
        <w:rPr>
          <w:color w:val="231F20"/>
          <w:spacing w:val="-5"/>
        </w:rPr>
        <w:t> </w:t>
      </w:r>
      <w:r>
        <w:rPr>
          <w:color w:val="231F20"/>
        </w:rPr>
        <w:t>km</w:t>
      </w:r>
      <w:r>
        <w:rPr/>
      </w:r>
    </w:p>
    <w:p>
      <w:pPr>
        <w:spacing w:line="230" w:lineRule="exact" w:before="52"/>
        <w:ind w:left="117" w:right="5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Avec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36,1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kWc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façades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modules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parapet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transparents,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l’installation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l’immeuble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BEP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SonnenparkPLUS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Wet-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zikon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(ZH)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produit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23’173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kWh/a;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celle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44,6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kW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placée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fournit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45’426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kWh/a.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68’600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kWh/a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couvrent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be-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soins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annuels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dix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logements.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0" w:lineRule="exact" w:before="0"/>
        <w:ind w:left="117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Conforme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label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Minergie-P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basé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technique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construction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ultramoderne,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BEP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consomme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49’241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kWh/a.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L’excédent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courant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solaire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19’400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kWh/a.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0" w:lineRule="exact" w:before="0"/>
        <w:ind w:left="117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été,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BEP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autosuffisant.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Durant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nuit,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consomme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propre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électricité,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stockée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système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63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kWh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batteries.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L’excédent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courant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39%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sert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les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recharger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ou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alimenter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réseau.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Quatorze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véhicules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électriques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pourraient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parcourir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12’000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km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par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émettre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position w:val="-5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before="87"/>
        <w:ind w:left="117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/>
          <w:b/>
          <w:color w:val="231F20"/>
          <w:sz w:val="14"/>
        </w:rPr>
        <w:t>Technische </w:t>
      </w:r>
      <w:r>
        <w:rPr>
          <w:rFonts w:ascii="Theinhardt Black"/>
          <w:b/>
          <w:color w:val="231F20"/>
          <w:spacing w:val="1"/>
          <w:sz w:val="14"/>
        </w:rPr>
        <w:t>Daten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17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66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Wärmedämmung</w:t>
      </w:r>
      <w:r>
        <w:rPr>
          <w:rFonts w:ascii="Theinhardt Bold" w:hAnsi="Theinhardt Bold"/>
          <w:sz w:val="14"/>
        </w:rPr>
      </w:r>
    </w:p>
    <w:p>
      <w:pPr>
        <w:tabs>
          <w:tab w:pos="1345" w:val="left" w:leader="none"/>
          <w:tab w:pos="1964" w:val="left" w:leader="none"/>
        </w:tabs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Wand:</w:t>
        <w:tab/>
      </w:r>
      <w:r>
        <w:rPr>
          <w:rFonts w:ascii="Theinhardt Regular"/>
          <w:color w:val="231F20"/>
          <w:spacing w:val="1"/>
          <w:sz w:val="14"/>
        </w:rPr>
        <w:t>40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cm</w:t>
        <w:tab/>
        <w:t>U-Wert:</w:t>
      </w:r>
      <w:r>
        <w:rPr>
          <w:rFonts w:ascii="Theinhardt Regular"/>
          <w:color w:val="231F20"/>
          <w:sz w:val="14"/>
        </w:rPr>
        <w:t>  </w:t>
      </w:r>
      <w:r>
        <w:rPr>
          <w:rFonts w:ascii="Theinhardt Regular"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pacing w:val="-5"/>
          <w:sz w:val="14"/>
        </w:rPr>
        <w:t>0.10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346" w:val="left" w:leader="none"/>
          <w:tab w:pos="1964" w:val="left" w:leader="none"/>
        </w:tabs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Dach:</w:t>
        <w:tab/>
      </w:r>
      <w:r>
        <w:rPr>
          <w:rFonts w:ascii="Theinhardt Regular"/>
          <w:color w:val="231F20"/>
          <w:sz w:val="14"/>
        </w:rPr>
        <w:t>30 </w:t>
      </w:r>
      <w:r>
        <w:rPr>
          <w:rFonts w:ascii="Theinhardt Regular"/>
          <w:color w:val="231F20"/>
          <w:spacing w:val="1"/>
          <w:sz w:val="14"/>
        </w:rPr>
        <w:t>cm</w:t>
        <w:tab/>
        <w:t>U-Wert:</w:t>
      </w:r>
      <w:r>
        <w:rPr>
          <w:rFonts w:ascii="Theinhardt Regular"/>
          <w:color w:val="231F20"/>
          <w:sz w:val="14"/>
        </w:rPr>
        <w:t>  </w:t>
      </w:r>
      <w:r>
        <w:rPr>
          <w:rFonts w:ascii="Theinhardt Regular"/>
          <w:color w:val="231F20"/>
          <w:spacing w:val="15"/>
          <w:sz w:val="14"/>
        </w:rPr>
        <w:t> </w:t>
      </w:r>
      <w:r>
        <w:rPr>
          <w:rFonts w:ascii="Theinhardt Regular"/>
          <w:color w:val="231F20"/>
          <w:spacing w:val="-5"/>
          <w:sz w:val="14"/>
        </w:rPr>
        <w:t>0.12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231" w:val="left" w:leader="none"/>
          <w:tab w:pos="1964" w:val="left" w:leader="none"/>
        </w:tabs>
        <w:spacing w:line="207" w:lineRule="auto" w:before="5"/>
        <w:ind w:left="117" w:right="283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Boden:</w:t>
        <w:tab/>
      </w:r>
      <w:r>
        <w:rPr>
          <w:rFonts w:ascii="Theinhardt Regular"/>
          <w:color w:val="231F20"/>
          <w:spacing w:val="-4"/>
          <w:sz w:val="14"/>
        </w:rPr>
        <w:t>16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cm</w:t>
        <w:tab/>
        <w:t>U-Wert:</w:t>
      </w:r>
      <w:r>
        <w:rPr>
          <w:rFonts w:ascii="Theinhardt Regular"/>
          <w:color w:val="231F20"/>
          <w:sz w:val="14"/>
        </w:rPr>
        <w:t>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5"/>
          <w:sz w:val="14"/>
        </w:rPr>
        <w:t>0.18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color w:val="231F20"/>
          <w:spacing w:val="22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Fenster:</w:t>
        <w:tab/>
        <w:t>dreifach</w:t>
        <w:tab/>
        <w:t>U-Wert: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32"/>
          <w:sz w:val="14"/>
        </w:rPr>
        <w:t> </w:t>
      </w:r>
      <w:r>
        <w:rPr>
          <w:rFonts w:ascii="Theinhardt Regular"/>
          <w:color w:val="231F20"/>
          <w:sz w:val="14"/>
        </w:rPr>
        <w:t>0.60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spacing w:before="38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3"/>
          <w:sz w:val="14"/>
        </w:rPr>
        <w:t>E</w:t>
      </w:r>
      <w:r>
        <w:rPr>
          <w:rFonts w:ascii="Theinhardt Bold"/>
          <w:b/>
          <w:color w:val="231F20"/>
          <w:spacing w:val="2"/>
          <w:sz w:val="14"/>
        </w:rPr>
        <w:t>ner</w:t>
      </w:r>
      <w:r>
        <w:rPr>
          <w:rFonts w:ascii="Theinhardt Bold"/>
          <w:b/>
          <w:color w:val="231F20"/>
          <w:spacing w:val="1"/>
          <w:sz w:val="14"/>
        </w:rPr>
        <w:t>g</w:t>
      </w:r>
      <w:r>
        <w:rPr>
          <w:rFonts w:ascii="Theinhardt Bold"/>
          <w:b/>
          <w:color w:val="231F20"/>
          <w:spacing w:val="2"/>
          <w:sz w:val="14"/>
        </w:rPr>
        <w:t>iebeda</w:t>
      </w:r>
      <w:r>
        <w:rPr>
          <w:rFonts w:ascii="Theinhardt Bold"/>
          <w:b/>
          <w:color w:val="231F20"/>
          <w:spacing w:val="4"/>
          <w:sz w:val="14"/>
        </w:rPr>
        <w:t>r</w:t>
      </w:r>
      <w:r>
        <w:rPr>
          <w:rFonts w:ascii="Theinhardt Bold"/>
          <w:b/>
          <w:color w:val="231F20"/>
          <w:sz w:val="14"/>
        </w:rPr>
        <w:t>f</w:t>
      </w:r>
      <w:r>
        <w:rPr>
          <w:rFonts w:ascii="Theinhardt Bold"/>
          <w:sz w:val="14"/>
        </w:rPr>
      </w:r>
    </w:p>
    <w:p>
      <w:pPr>
        <w:spacing w:line="240" w:lineRule="auto" w:before="1"/>
        <w:rPr>
          <w:rFonts w:ascii="Theinhardt Bold" w:hAnsi="Theinhardt Bold" w:cs="Theinhardt Bold" w:eastAsia="Theinhardt Bold"/>
          <w:b/>
          <w:bCs/>
          <w:sz w:val="2"/>
          <w:szCs w:val="2"/>
        </w:rPr>
      </w:pPr>
    </w:p>
    <w:tbl>
      <w:tblPr>
        <w:tblW w:w="0" w:type="auto"/>
        <w:jc w:val="left"/>
        <w:tblInd w:w="6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9"/>
        <w:gridCol w:w="753"/>
        <w:gridCol w:w="494"/>
        <w:gridCol w:w="655"/>
      </w:tblGrid>
      <w:tr>
        <w:trPr>
          <w:trHeight w:val="128" w:hRule="exact"/>
        </w:trPr>
        <w:tc>
          <w:tcPr>
            <w:tcW w:w="13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8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8"/>
                <w:szCs w:val="8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1"/>
                <w:sz w:val="14"/>
                <w:szCs w:val="14"/>
              </w:rPr>
              <w:t>EBF:</w:t>
            </w: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 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-1"/>
                <w:sz w:val="14"/>
                <w:szCs w:val="14"/>
              </w:rPr>
              <w:t>1’705</w:t>
            </w: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 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-1"/>
                <w:sz w:val="14"/>
                <w:szCs w:val="14"/>
              </w:rPr>
              <w:t>m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-1"/>
                <w:position w:val="5"/>
                <w:sz w:val="8"/>
                <w:szCs w:val="8"/>
              </w:rPr>
              <w:t>2</w:t>
            </w:r>
            <w:r>
              <w:rPr>
                <w:rFonts w:ascii="Theinhardt Regular" w:hAnsi="Theinhardt Regular" w:cs="Theinhardt Regular" w:eastAsia="Theinhardt Regular"/>
                <w:sz w:val="8"/>
                <w:szCs w:val="8"/>
              </w:rPr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8" w:lineRule="exact"/>
              <w:ind w:left="79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kWh/m</w:t>
            </w:r>
            <w:r>
              <w:rPr>
                <w:rFonts w:ascii="Theinhardt Regular"/>
                <w:color w:val="231F20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z w:val="14"/>
              </w:rPr>
              <w:t>a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8" w:lineRule="exact"/>
              <w:ind w:left="22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%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8" w:lineRule="exact"/>
              <w:ind w:left="19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kWh/a</w:t>
            </w:r>
            <w:r>
              <w:rPr>
                <w:rFonts w:ascii="Theinhardt Regular"/>
                <w:sz w:val="14"/>
              </w:rPr>
            </w:r>
          </w:p>
        </w:tc>
      </w:tr>
      <w:tr>
        <w:trPr>
          <w:trHeight w:val="160" w:hRule="exact"/>
        </w:trPr>
        <w:tc>
          <w:tcPr>
            <w:tcW w:w="13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Wamwasser: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451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3"/>
                <w:sz w:val="14"/>
              </w:rPr>
              <w:t>6.7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89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23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83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6"/>
                <w:sz w:val="14"/>
                <w:szCs w:val="14"/>
              </w:rPr>
              <w:t>11’424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60" w:hRule="exact"/>
        </w:trPr>
        <w:tc>
          <w:tcPr>
            <w:tcW w:w="13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Heizung: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442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2.2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271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8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239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2"/>
                <w:sz w:val="14"/>
                <w:szCs w:val="14"/>
              </w:rPr>
              <w:t>3’751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60" w:hRule="exact"/>
        </w:trPr>
        <w:tc>
          <w:tcPr>
            <w:tcW w:w="13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pacing w:val="2"/>
                <w:sz w:val="14"/>
              </w:rPr>
              <w:t>Elektrizität</w:t>
            </w:r>
            <w:r>
              <w:rPr>
                <w:rFonts w:ascii="Theinhardt Regular" w:hAnsi="Theinhardt Regular"/>
                <w:color w:val="231F20"/>
                <w:sz w:val="14"/>
              </w:rPr>
              <w:t> </w:t>
            </w:r>
            <w:r>
              <w:rPr>
                <w:rFonts w:ascii="Theinhardt Regular" w:hAnsi="Theinhardt Regular"/>
                <w:color w:val="231F20"/>
                <w:spacing w:val="1"/>
                <w:sz w:val="14"/>
              </w:rPr>
              <w:t>WP:</w:t>
            </w:r>
            <w:r>
              <w:rPr>
                <w:rFonts w:ascii="Theinhardt Regular" w:hAnsi="Theinhardt Regular"/>
                <w:sz w:val="14"/>
              </w:rPr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443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3.0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93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3"/>
                <w:sz w:val="14"/>
              </w:rPr>
              <w:t>10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234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1"/>
                <w:sz w:val="14"/>
                <w:szCs w:val="14"/>
              </w:rPr>
              <w:t>5’081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60" w:hRule="exact"/>
        </w:trPr>
        <w:tc>
          <w:tcPr>
            <w:tcW w:w="13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pacing w:val="2"/>
                <w:sz w:val="14"/>
              </w:rPr>
              <w:t>Elektrizität:</w:t>
            </w:r>
            <w:r>
              <w:rPr>
                <w:rFonts w:ascii="Theinhardt Regular" w:hAnsi="Theinhardt Regular"/>
                <w:sz w:val="14"/>
              </w:rPr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380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5"/>
                <w:sz w:val="14"/>
              </w:rPr>
              <w:t>17.0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88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59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44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28’985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344" w:hRule="exact"/>
        </w:trPr>
        <w:tc>
          <w:tcPr>
            <w:tcW w:w="13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2"/>
                <w:sz w:val="14"/>
              </w:rPr>
              <w:t>Gesamt-EB:</w:t>
            </w:r>
            <w:r>
              <w:rPr>
                <w:rFonts w:ascii="Theinhardt Bold"/>
                <w:sz w:val="14"/>
              </w:rPr>
            </w:r>
          </w:p>
          <w:p>
            <w:pPr>
              <w:pStyle w:val="TableParagraph"/>
              <w:spacing w:line="148" w:lineRule="exact" w:before="32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1"/>
                <w:sz w:val="14"/>
              </w:rPr>
              <w:t>Energieversorgung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348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1"/>
                <w:sz w:val="14"/>
              </w:rPr>
              <w:t>28.9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4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10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100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140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z w:val="14"/>
                <w:szCs w:val="14"/>
              </w:rPr>
              <w:t>49’241</w:t>
            </w:r>
            <w:r>
              <w:rPr>
                <w:rFonts w:ascii="Theinhardt Bold" w:hAnsi="Theinhardt Bold" w:cs="Theinhardt Bold" w:eastAsia="Theinhardt Bold"/>
                <w:sz w:val="14"/>
                <w:szCs w:val="14"/>
              </w:rPr>
            </w:r>
          </w:p>
        </w:tc>
      </w:tr>
    </w:tbl>
    <w:p>
      <w:pPr>
        <w:tabs>
          <w:tab w:pos="1984" w:val="left" w:leader="none"/>
          <w:tab w:pos="2428" w:val="left" w:leader="none"/>
          <w:tab w:pos="2860" w:val="left" w:leader="none"/>
        </w:tabs>
        <w:spacing w:line="160" w:lineRule="exact" w:before="20"/>
        <w:ind w:left="117" w:right="283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Eigen-EV: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 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     </w:t>
      </w:r>
      <w:r>
        <w:rPr>
          <w:rFonts w:ascii="Theinhardt Regular" w:hAnsi="Theinhardt Regular" w:cs="Theinhardt Regular" w:eastAsia="Theinhardt Regular"/>
          <w:color w:val="231F20"/>
          <w:spacing w:val="2"/>
          <w:position w:val="5"/>
          <w:sz w:val="8"/>
          <w:szCs w:val="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kWp   </w:t>
      </w:r>
      <w:r>
        <w:rPr>
          <w:rFonts w:ascii="Theinhardt Regular" w:hAnsi="Theinhardt Regular" w:cs="Theinhardt Regular" w:eastAsia="Theinhardt Regular"/>
          <w:color w:val="231F20"/>
          <w:spacing w:val="22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kWh/m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a</w:t>
        <w:tab/>
        <w:t>%</w:t>
        <w:tab/>
        <w:t>kWh/a</w:t>
      </w:r>
      <w:r>
        <w:rPr>
          <w:rFonts w:ascii="Theinhardt Regular" w:hAnsi="Theinhardt Regular" w:cs="Theinhardt Regular" w:eastAsia="Theinhardt Regular"/>
          <w:color w:val="231F20"/>
          <w:spacing w:val="38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PV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Dach: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</w:t>
      </w:r>
      <w:r>
        <w:rPr>
          <w:rFonts w:ascii="Theinhardt Regular" w:hAnsi="Theinhardt Regular" w:cs="Theinhardt Regular" w:eastAsia="Theinhardt Regular"/>
          <w:color w:val="231F20"/>
          <w:spacing w:val="11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4"/>
          <w:sz w:val="14"/>
          <w:szCs w:val="14"/>
        </w:rPr>
        <w:t>215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36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44.6</w:t>
        <w:tab/>
      </w:r>
      <w:r>
        <w:rPr>
          <w:rFonts w:ascii="Theinhardt Regular" w:hAnsi="Theinhardt Regular" w:cs="Theinhardt Regular" w:eastAsia="Theinhardt Regular"/>
          <w:color w:val="231F20"/>
          <w:spacing w:val="-6"/>
          <w:sz w:val="14"/>
          <w:szCs w:val="14"/>
        </w:rPr>
        <w:t>211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</w:t>
      </w:r>
      <w:r>
        <w:rPr>
          <w:rFonts w:ascii="Theinhardt Regular" w:hAnsi="Theinhardt Regular" w:cs="Theinhardt Regular" w:eastAsia="Theinhardt Regular"/>
          <w:color w:val="231F20"/>
          <w:spacing w:val="24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92</w:t>
        <w:tab/>
      </w:r>
      <w:r>
        <w:rPr>
          <w:rFonts w:ascii="Theinhardt Regular" w:hAnsi="Theinhardt Regular" w:cs="Theinhardt Regular" w:eastAsia="Theinhardt Regular"/>
          <w:color w:val="231F20"/>
          <w:spacing w:val="-3"/>
          <w:sz w:val="14"/>
          <w:szCs w:val="14"/>
        </w:rPr>
        <w:t>45’426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910" w:val="left" w:leader="none"/>
          <w:tab w:pos="2397" w:val="left" w:leader="none"/>
          <w:tab w:pos="2860" w:val="left" w:leader="none"/>
        </w:tabs>
        <w:spacing w:line="165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PV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Fass.: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</w:t>
      </w:r>
      <w:r>
        <w:rPr>
          <w:rFonts w:ascii="Theinhardt Regular" w:hAnsi="Theinhardt Regular" w:cs="Theinhardt Regular" w:eastAsia="Theinhardt Regular"/>
          <w:color w:val="231F20"/>
          <w:spacing w:val="26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280  </w:t>
      </w:r>
      <w:r>
        <w:rPr>
          <w:rFonts w:ascii="Theinhardt Regular" w:hAnsi="Theinhardt Regular" w:cs="Theinhardt Regular" w:eastAsia="Theinhardt Regular"/>
          <w:color w:val="231F20"/>
          <w:spacing w:val="12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4"/>
          <w:szCs w:val="14"/>
        </w:rPr>
        <w:t>36.1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82.8</w:t>
        <w:tab/>
      </w:r>
      <w:r>
        <w:rPr>
          <w:rFonts w:ascii="Theinhardt Regular" w:hAnsi="Theinhardt Regular" w:cs="Theinhardt Regular" w:eastAsia="Theinhardt Regular"/>
          <w:color w:val="231F20"/>
          <w:spacing w:val="-3"/>
          <w:w w:val="95"/>
          <w:sz w:val="14"/>
          <w:szCs w:val="14"/>
        </w:rPr>
        <w:t>47</w:t>
        <w:tab/>
      </w:r>
      <w:r>
        <w:rPr>
          <w:rFonts w:ascii="Theinhardt Regular" w:hAnsi="Theinhardt Regular" w:cs="Theinhardt Regular" w:eastAsia="Theinhardt Regular"/>
          <w:color w:val="231F20"/>
          <w:spacing w:val="-3"/>
          <w:sz w:val="14"/>
          <w:szCs w:val="14"/>
        </w:rPr>
        <w:t>23’173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336" w:val="left" w:leader="none"/>
          <w:tab w:pos="2830" w:val="left" w:leader="none"/>
        </w:tabs>
        <w:spacing w:line="172" w:lineRule="exact" w:before="0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Eigenenergieversorgung: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w w:val="95"/>
          <w:sz w:val="14"/>
          <w:szCs w:val="14"/>
        </w:rPr>
        <w:t>139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68’599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428" w:val="left" w:leader="none"/>
          <w:tab w:pos="2874" w:val="left" w:leader="none"/>
        </w:tabs>
        <w:spacing w:line="172" w:lineRule="exact" w:before="32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Energiebilanz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(Endenergie)</w:t>
        <w:tab/>
      </w:r>
      <w:r>
        <w:rPr>
          <w:rFonts w:ascii="Theinhardt Regular"/>
          <w:color w:val="231F20"/>
          <w:sz w:val="14"/>
        </w:rPr>
        <w:t>%</w:t>
        <w:tab/>
      </w:r>
      <w:r>
        <w:rPr>
          <w:rFonts w:ascii="Theinhardt Regular"/>
          <w:color w:val="231F20"/>
          <w:spacing w:val="-1"/>
          <w:sz w:val="14"/>
        </w:rPr>
        <w:t>kWh/a</w:t>
      </w:r>
      <w:r>
        <w:rPr>
          <w:rFonts w:ascii="Theinhardt Regular"/>
          <w:sz w:val="14"/>
        </w:rPr>
      </w:r>
    </w:p>
    <w:p>
      <w:pPr>
        <w:tabs>
          <w:tab w:pos="2336" w:val="left" w:leader="none"/>
          <w:tab w:pos="2830" w:val="left" w:leader="none"/>
        </w:tabs>
        <w:spacing w:line="160" w:lineRule="exact" w:before="0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Eigenenergieversorgung: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w w:val="95"/>
          <w:sz w:val="14"/>
          <w:szCs w:val="14"/>
        </w:rPr>
        <w:t>139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68’599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336" w:val="left" w:leader="none"/>
          <w:tab w:pos="2855" w:val="left" w:leader="none"/>
        </w:tabs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Gesamtenergiebedarf: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w w:val="95"/>
          <w:sz w:val="14"/>
          <w:szCs w:val="14"/>
        </w:rPr>
        <w:t>100</w:t>
        <w:tab/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49’241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416" w:val="left" w:leader="none"/>
          <w:tab w:pos="2837" w:val="left" w:leader="none"/>
        </w:tabs>
        <w:spacing w:line="172" w:lineRule="exact" w:before="0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Solarstromüberschuss: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39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19’358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60" w:lineRule="exact" w:before="39"/>
        <w:ind w:left="117" w:right="447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020302"/>
          <w:spacing w:val="2"/>
          <w:sz w:val="14"/>
        </w:rPr>
        <w:t>Bestätigt</w:t>
      </w:r>
      <w:r>
        <w:rPr>
          <w:rFonts w:ascii="Theinhardt Bold" w:hAnsi="Theinhardt Bold"/>
          <w:b/>
          <w:color w:val="020302"/>
          <w:sz w:val="14"/>
        </w:rPr>
        <w:t> </w:t>
      </w:r>
      <w:r>
        <w:rPr>
          <w:rFonts w:ascii="Theinhardt Bold" w:hAnsi="Theinhardt Bold"/>
          <w:b/>
          <w:color w:val="020302"/>
          <w:spacing w:val="1"/>
          <w:sz w:val="14"/>
        </w:rPr>
        <w:t>von</w:t>
      </w:r>
      <w:r>
        <w:rPr>
          <w:rFonts w:ascii="Theinhardt Bold" w:hAnsi="Theinhardt Bold"/>
          <w:b/>
          <w:color w:val="020302"/>
          <w:sz w:val="14"/>
        </w:rPr>
        <w:t> </w:t>
      </w:r>
      <w:r>
        <w:rPr>
          <w:rFonts w:ascii="Theinhardt Bold" w:hAnsi="Theinhardt Bold"/>
          <w:b/>
          <w:color w:val="020302"/>
          <w:spacing w:val="1"/>
          <w:sz w:val="14"/>
        </w:rPr>
        <w:t>Arento</w:t>
      </w:r>
      <w:r>
        <w:rPr>
          <w:rFonts w:ascii="Theinhardt Bold" w:hAnsi="Theinhardt Bold"/>
          <w:b/>
          <w:color w:val="020302"/>
          <w:sz w:val="14"/>
        </w:rPr>
        <w:t> AG </w:t>
      </w:r>
      <w:r>
        <w:rPr>
          <w:rFonts w:ascii="Theinhardt Regular" w:hAnsi="Theinhardt Regular"/>
          <w:color w:val="020302"/>
          <w:sz w:val="14"/>
        </w:rPr>
        <w:t>am </w:t>
      </w:r>
      <w:r>
        <w:rPr>
          <w:rFonts w:ascii="Theinhardt Regular" w:hAnsi="Theinhardt Regular"/>
          <w:color w:val="020302"/>
          <w:spacing w:val="-2"/>
          <w:sz w:val="14"/>
        </w:rPr>
        <w:t>02.07.2018,</w:t>
      </w:r>
      <w:r>
        <w:rPr>
          <w:rFonts w:ascii="Theinhardt Regular" w:hAnsi="Theinhardt Regular"/>
          <w:color w:val="020302"/>
          <w:spacing w:val="35"/>
          <w:sz w:val="14"/>
        </w:rPr>
        <w:t> </w:t>
      </w:r>
      <w:r>
        <w:rPr>
          <w:rFonts w:ascii="Theinhardt Regular" w:hAnsi="Theinhardt Regular"/>
          <w:color w:val="020302"/>
          <w:spacing w:val="1"/>
          <w:sz w:val="14"/>
        </w:rPr>
        <w:t>Michael</w:t>
      </w:r>
      <w:r>
        <w:rPr>
          <w:rFonts w:ascii="Theinhardt Regular" w:hAnsi="Theinhardt Regular"/>
          <w:color w:val="020302"/>
          <w:sz w:val="14"/>
        </w:rPr>
        <w:t> Kohler, </w:t>
      </w:r>
      <w:r>
        <w:rPr>
          <w:rFonts w:ascii="Theinhardt Regular" w:hAnsi="Theinhardt Regular"/>
          <w:color w:val="020302"/>
          <w:spacing w:val="-2"/>
          <w:sz w:val="14"/>
        </w:rPr>
        <w:t>Tel.</w:t>
      </w:r>
      <w:r>
        <w:rPr>
          <w:rFonts w:ascii="Theinhardt Regular" w:hAnsi="Theinhardt Regular"/>
          <w:color w:val="020302"/>
          <w:sz w:val="14"/>
        </w:rPr>
        <w:t> 056 534 99 </w:t>
      </w:r>
      <w:r>
        <w:rPr>
          <w:rFonts w:ascii="Theinhardt Regular" w:hAnsi="Theinhardt Regular"/>
          <w:color w:val="020302"/>
          <w:spacing w:val="1"/>
          <w:sz w:val="14"/>
        </w:rPr>
        <w:t>45</w:t>
      </w:r>
      <w:r>
        <w:rPr>
          <w:rFonts w:ascii="Theinhardt Regular" w:hAnsi="Theinhardt Regular"/>
          <w:sz w:val="14"/>
        </w:rPr>
      </w:r>
    </w:p>
    <w:p>
      <w:pPr>
        <w:spacing w:line="207" w:lineRule="auto" w:before="67"/>
        <w:ind w:left="117" w:right="207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4"/>
          <w:szCs w:val="14"/>
        </w:rPr>
        <w:t>14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Elektrofahrzeuge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bzw.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4"/>
          <w:szCs w:val="14"/>
        </w:rPr>
        <w:t>11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Teslas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können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mit</w:t>
      </w:r>
      <w:r>
        <w:rPr>
          <w:rFonts w:ascii="Theinhardt Regular" w:hAnsi="Theinhardt Regular" w:cs="Theinhardt Regular" w:eastAsia="Theinhardt Regular"/>
          <w:color w:val="231F20"/>
          <w:spacing w:val="22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dem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Solarstromüberschuss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je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12’000 km/a CO</w:t>
      </w:r>
      <w:r>
        <w:rPr>
          <w:rFonts w:ascii="Theinhardt Regular" w:hAnsi="Theinhardt Regular" w:cs="Theinhardt Regular" w:eastAsia="Theinhardt Regular"/>
          <w:color w:val="231F20"/>
          <w:position w:val="-4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-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spacing w:after="0" w:line="207" w:lineRule="auto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2250" w:h="17180"/>
          <w:pgMar w:top="1000" w:bottom="280" w:left="620" w:right="900"/>
          <w:cols w:num="3" w:equalWidth="0">
            <w:col w:w="3473" w:space="98"/>
            <w:col w:w="3470" w:space="102"/>
            <w:col w:w="3587"/>
          </w:cols>
        </w:sectPr>
      </w:pPr>
    </w:p>
    <w:p>
      <w:pPr>
        <w:pStyle w:val="BodyText"/>
        <w:spacing w:line="177" w:lineRule="exact"/>
        <w:ind w:right="0"/>
        <w:jc w:val="left"/>
      </w:pPr>
      <w:r>
        <w:rPr>
          <w:color w:val="231F20"/>
          <w:spacing w:val="-1"/>
        </w:rPr>
        <w:t>CO</w:t>
      </w:r>
      <w:r>
        <w:rPr>
          <w:color w:val="231F20"/>
          <w:spacing w:val="-1"/>
          <w:position w:val="-5"/>
          <w:sz w:val="10"/>
        </w:rPr>
        <w:t>2</w:t>
      </w:r>
      <w:r>
        <w:rPr>
          <w:color w:val="231F20"/>
          <w:spacing w:val="-1"/>
        </w:rPr>
        <w:t>-frei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fahren.</w:t>
      </w:r>
      <w:r>
        <w:rPr/>
      </w:r>
    </w:p>
    <w:p>
      <w:pPr>
        <w:pStyle w:val="BodyText"/>
        <w:spacing w:line="218" w:lineRule="exact"/>
        <w:ind w:left="343" w:right="0"/>
        <w:jc w:val="left"/>
      </w:pPr>
      <w:r>
        <w:rPr>
          <w:color w:val="231F20"/>
        </w:rPr>
        <w:t>Nebst</w:t>
      </w:r>
      <w:r>
        <w:rPr>
          <w:color w:val="231F20"/>
          <w:spacing w:val="43"/>
        </w:rPr>
        <w:t> </w:t>
      </w:r>
      <w:r>
        <w:rPr>
          <w:color w:val="231F20"/>
        </w:rPr>
        <w:t>der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sehr</w:t>
      </w:r>
      <w:r>
        <w:rPr>
          <w:color w:val="231F20"/>
          <w:spacing w:val="43"/>
        </w:rPr>
        <w:t> </w:t>
      </w:r>
      <w:r>
        <w:rPr>
          <w:color w:val="231F20"/>
        </w:rPr>
        <w:t>hohen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Energieeffizienz</w:t>
      </w:r>
      <w:r>
        <w:rPr/>
      </w:r>
    </w:p>
    <w:p>
      <w:pPr>
        <w:spacing w:line="161" w:lineRule="exact" w:before="0"/>
        <w:ind w:left="117" w:right="0" w:firstLine="226"/>
        <w:jc w:val="left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Le</w:t>
      </w:r>
      <w:r>
        <w:rPr>
          <w:rFonts w:ascii="Theinhardt Regular Italic" w:hAnsi="Theinhardt Regular Italic"/>
          <w:i/>
          <w:color w:val="231F20"/>
          <w:spacing w:val="41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BEP</w:t>
      </w:r>
      <w:r>
        <w:rPr>
          <w:rFonts w:ascii="Theinhardt Regular Italic" w:hAnsi="Theinhardt Regular Italic"/>
          <w:i/>
          <w:color w:val="231F20"/>
          <w:spacing w:val="41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se</w:t>
      </w:r>
      <w:r>
        <w:rPr>
          <w:rFonts w:ascii="Theinhardt Regular Italic" w:hAnsi="Theinhardt Regular Italic"/>
          <w:i/>
          <w:color w:val="231F20"/>
          <w:spacing w:val="4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distingue</w:t>
      </w:r>
      <w:r>
        <w:rPr>
          <w:rFonts w:ascii="Theinhardt Regular Italic" w:hAnsi="Theinhardt Regular Italic"/>
          <w:i/>
          <w:color w:val="231F20"/>
          <w:spacing w:val="41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par</w:t>
      </w:r>
      <w:r>
        <w:rPr>
          <w:rFonts w:ascii="Theinhardt Regular Italic" w:hAnsi="Theinhardt Regular Italic"/>
          <w:i/>
          <w:color w:val="231F20"/>
          <w:spacing w:val="4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son</w:t>
      </w:r>
      <w:r>
        <w:rPr>
          <w:rFonts w:ascii="Theinhardt Regular Italic" w:hAnsi="Theinhardt Regular Italic"/>
          <w:i/>
          <w:color w:val="231F20"/>
          <w:spacing w:val="41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efficacité</w:t>
      </w:r>
      <w:r>
        <w:rPr>
          <w:rFonts w:ascii="Theinhardt Regular Italic" w:hAnsi="Theinhardt Regular Italic"/>
          <w:sz w:val="18"/>
        </w:rPr>
      </w:r>
    </w:p>
    <w:p>
      <w:pPr>
        <w:spacing w:line="234" w:lineRule="exact" w:before="0"/>
        <w:ind w:left="117" w:right="0" w:firstLine="0"/>
        <w:jc w:val="left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énergétique,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mais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aussi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par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l’utilisation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141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br w:type="column"/>
      </w:r>
      <w:r>
        <w:rPr>
          <w:rFonts w:ascii="Theinhardt Regular"/>
          <w:color w:val="231F20"/>
          <w:spacing w:val="1"/>
          <w:sz w:val="14"/>
        </w:rPr>
        <w:t>frei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fahren.</w:t>
      </w:r>
      <w:r>
        <w:rPr>
          <w:rFonts w:ascii="Theinhardt Regular"/>
          <w:sz w:val="14"/>
        </w:rPr>
      </w:r>
    </w:p>
    <w:p>
      <w:pPr>
        <w:spacing w:line="240" w:lineRule="auto" w:before="3"/>
        <w:rPr>
          <w:rFonts w:ascii="Theinhardt Regular" w:hAnsi="Theinhardt Regular" w:cs="Theinhardt Regular" w:eastAsia="Theinhardt Regular"/>
          <w:sz w:val="10"/>
          <w:szCs w:val="10"/>
        </w:rPr>
      </w:pPr>
    </w:p>
    <w:p>
      <w:pPr>
        <w:spacing w:line="149" w:lineRule="exact" w:before="0"/>
        <w:ind w:left="117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pict>
          <v:group style="position:absolute;margin-left:394.015808pt;margin-top:11.04209pt;width:167.25pt;height:.45pt;mso-position-horizontal-relative:page;mso-position-vertical-relative:paragraph;z-index:-6928" coordorigin="7880,221" coordsize="3345,9">
            <v:group style="position:absolute;left:7902;top:225;width:3311;height:2" coordorigin="7902,225" coordsize="3311,2">
              <v:shape style="position:absolute;left:7902;top:225;width:3311;height:2" coordorigin="7902,225" coordsize="3311,0" path="m7902,225l11212,225e" filled="false" stroked="true" strokeweight=".425pt" strokecolor="#000000">
                <v:path arrowok="t"/>
                <v:stroke dashstyle="dash"/>
              </v:shape>
            </v:group>
            <v:group style="position:absolute;left:7885;top:225;width:2;height:2" coordorigin="7885,225" coordsize="2,2">
              <v:shape style="position:absolute;left:7885;top:225;width:2;height:2" coordorigin="7885,225" coordsize="0,0" path="m7885,225l7885,225e" filled="false" stroked="true" strokeweight=".425pt" strokecolor="#000000">
                <v:path arrowok="t"/>
              </v:shape>
            </v:group>
            <v:group style="position:absolute;left:11221;top:225;width:2;height:2" coordorigin="11221,225" coordsize="2,2">
              <v:shape style="position:absolute;left:11221;top:225;width:2;height:2" coordorigin="11221,225" coordsize="0,0" path="m11221,225l11221,225e" filled="false" stroked="true" strokeweight=".425pt" strokecolor="#000000">
                <v:path arrowok="t"/>
              </v:shape>
            </v:group>
            <w10:wrap type="none"/>
          </v:group>
        </w:pict>
      </w:r>
      <w:r>
        <w:rPr>
          <w:rFonts w:ascii="Theinhardt Black"/>
          <w:b/>
          <w:spacing w:val="1"/>
          <w:sz w:val="14"/>
        </w:rPr>
        <w:t>Beteiligte</w:t>
      </w:r>
      <w:r>
        <w:rPr>
          <w:rFonts w:ascii="Theinhardt Black"/>
          <w:b/>
          <w:sz w:val="14"/>
        </w:rPr>
        <w:t> Personen</w:t>
      </w:r>
      <w:r>
        <w:rPr>
          <w:rFonts w:ascii="Theinhardt Black"/>
          <w:sz w:val="14"/>
        </w:rPr>
      </w:r>
    </w:p>
    <w:p>
      <w:pPr>
        <w:spacing w:after="0" w:line="149" w:lineRule="exact"/>
        <w:jc w:val="left"/>
        <w:rPr>
          <w:rFonts w:ascii="Theinhardt Black" w:hAnsi="Theinhardt Black" w:cs="Theinhardt Black" w:eastAsia="Theinhardt Black"/>
          <w:sz w:val="14"/>
          <w:szCs w:val="14"/>
        </w:rPr>
        <w:sectPr>
          <w:type w:val="continuous"/>
          <w:pgSz w:w="12250" w:h="17180"/>
          <w:pgMar w:top="1000" w:bottom="280" w:left="620" w:right="900"/>
          <w:cols w:num="3" w:equalWidth="0">
            <w:col w:w="3462" w:space="109"/>
            <w:col w:w="3463" w:space="109"/>
            <w:col w:w="3587"/>
          </w:cols>
        </w:sectPr>
      </w:pPr>
    </w:p>
    <w:p>
      <w:pPr>
        <w:pStyle w:val="BodyText"/>
        <w:spacing w:line="199" w:lineRule="exact"/>
        <w:ind w:right="0"/>
        <w:jc w:val="left"/>
      </w:pPr>
      <w:r>
        <w:rPr>
          <w:color w:val="231F20"/>
        </w:rPr>
        <w:t>besticht</w:t>
      </w:r>
      <w:r>
        <w:rPr>
          <w:color w:val="231F20"/>
          <w:spacing w:val="-14"/>
        </w:rPr>
        <w:t> </w:t>
      </w:r>
      <w:r>
        <w:rPr>
          <w:color w:val="231F20"/>
        </w:rPr>
        <w:t>das</w:t>
      </w:r>
      <w:r>
        <w:rPr>
          <w:color w:val="231F20"/>
          <w:spacing w:val="-14"/>
        </w:rPr>
        <w:t> </w:t>
      </w:r>
      <w:r>
        <w:rPr>
          <w:color w:val="231F20"/>
        </w:rPr>
        <w:t>MFH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durch</w:t>
      </w:r>
      <w:r>
        <w:rPr>
          <w:color w:val="231F20"/>
          <w:spacing w:val="-14"/>
        </w:rPr>
        <w:t> </w:t>
      </w:r>
      <w:r>
        <w:rPr>
          <w:color w:val="231F20"/>
        </w:rPr>
        <w:t>die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Verwendung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na-</w:t>
      </w:r>
      <w:r>
        <w:rPr/>
      </w:r>
    </w:p>
    <w:p>
      <w:pPr>
        <w:tabs>
          <w:tab w:pos="3709" w:val="left" w:leader="none"/>
          <w:tab w:pos="7020" w:val="left" w:leader="none"/>
        </w:tabs>
        <w:spacing w:line="199" w:lineRule="exact" w:before="0"/>
        <w:ind w:left="117" w:right="0" w:firstLine="0"/>
        <w:jc w:val="left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matériaux</w:t>
      </w:r>
      <w:r>
        <w:rPr>
          <w:rFonts w:ascii="Theinhardt Regular Italic" w:hAnsi="Theinhardt Regular Italic"/>
          <w:i/>
          <w:color w:val="231F20"/>
          <w:spacing w:val="14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naturels,</w:t>
      </w:r>
      <w:r>
        <w:rPr>
          <w:rFonts w:ascii="Theinhardt Regular Italic" w:hAnsi="Theinhardt Regular Italic"/>
          <w:i/>
          <w:color w:val="231F20"/>
          <w:spacing w:val="7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abaissant</w:t>
      </w:r>
      <w:r>
        <w:rPr>
          <w:rFonts w:ascii="Theinhardt Regular Italic" w:hAnsi="Theinhardt Regular Italic"/>
          <w:i/>
          <w:color w:val="231F20"/>
          <w:spacing w:val="14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la</w:t>
      </w:r>
      <w:r>
        <w:rPr>
          <w:rFonts w:ascii="Theinhardt Regular Italic" w:hAnsi="Theinhardt Regular Italic"/>
          <w:i/>
          <w:color w:val="231F20"/>
          <w:spacing w:val="14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consomma-</w:t>
      </w:r>
      <w:r>
        <w:rPr>
          <w:rFonts w:ascii="Theinhardt Regular Italic" w:hAnsi="Theinhardt Regular Italic"/>
          <w:i/>
          <w:color w:val="231F20"/>
          <w:sz w:val="18"/>
        </w:rPr>
        <w:tab/>
        <w:t> </w:t>
        <w:tab/>
      </w:r>
      <w:r>
        <w:rPr>
          <w:rFonts w:ascii="Theinhardt Regular Italic" w:hAnsi="Theinhardt Regular Italic"/>
          <w:sz w:val="18"/>
        </w:rPr>
      </w:r>
    </w:p>
    <w:p>
      <w:pPr>
        <w:spacing w:after="0" w:line="199" w:lineRule="exact"/>
        <w:jc w:val="left"/>
        <w:rPr>
          <w:rFonts w:ascii="Theinhardt Regular Italic" w:hAnsi="Theinhardt Regular Italic" w:cs="Theinhardt Regular Italic" w:eastAsia="Theinhardt Regular Italic"/>
          <w:sz w:val="18"/>
          <w:szCs w:val="18"/>
        </w:rPr>
        <w:sectPr>
          <w:type w:val="continuous"/>
          <w:pgSz w:w="12250" w:h="17180"/>
          <w:pgMar w:top="1000" w:bottom="280" w:left="620" w:right="900"/>
          <w:cols w:num="2" w:equalWidth="0">
            <w:col w:w="3462" w:space="109"/>
            <w:col w:w="7159"/>
          </w:cols>
        </w:sectPr>
      </w:pPr>
    </w:p>
    <w:p>
      <w:pPr>
        <w:pStyle w:val="BodyText"/>
        <w:spacing w:line="232" w:lineRule="auto"/>
        <w:ind w:right="8"/>
        <w:jc w:val="both"/>
      </w:pPr>
      <w:r>
        <w:rPr>
          <w:color w:val="231F20"/>
        </w:rPr>
        <w:t>türlicher</w:t>
      </w:r>
      <w:r>
        <w:rPr>
          <w:color w:val="231F20"/>
          <w:spacing w:val="11"/>
        </w:rPr>
        <w:t> </w:t>
      </w:r>
      <w:r>
        <w:rPr>
          <w:color w:val="231F20"/>
        </w:rPr>
        <w:t>Baustoffe,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sodass</w:t>
      </w:r>
      <w:r>
        <w:rPr>
          <w:color w:val="231F20"/>
          <w:spacing w:val="11"/>
        </w:rPr>
        <w:t> </w:t>
      </w:r>
      <w:r>
        <w:rPr>
          <w:color w:val="231F20"/>
        </w:rPr>
        <w:t>der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Minergie-P-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Baustandard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sogar</w:t>
      </w:r>
      <w:r>
        <w:rPr>
          <w:color w:val="231F20"/>
          <w:spacing w:val="12"/>
        </w:rPr>
        <w:t> </w:t>
      </w:r>
      <w:r>
        <w:rPr>
          <w:color w:val="231F20"/>
        </w:rPr>
        <w:t>um</w:t>
      </w:r>
      <w:r>
        <w:rPr>
          <w:color w:val="231F20"/>
          <w:spacing w:val="12"/>
        </w:rPr>
        <w:t> </w:t>
      </w:r>
      <w:r>
        <w:rPr>
          <w:color w:val="231F20"/>
        </w:rPr>
        <w:t>10%</w:t>
      </w:r>
      <w:r>
        <w:rPr>
          <w:color w:val="231F20"/>
          <w:spacing w:val="12"/>
        </w:rPr>
        <w:t> </w:t>
      </w:r>
      <w:r>
        <w:rPr>
          <w:color w:val="231F20"/>
        </w:rPr>
        <w:t>unterschritten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wird.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sehr</w:t>
      </w:r>
      <w:r>
        <w:rPr>
          <w:color w:val="231F20"/>
          <w:spacing w:val="30"/>
        </w:rPr>
        <w:t> </w:t>
      </w:r>
      <w:r>
        <w:rPr>
          <w:color w:val="231F20"/>
        </w:rPr>
        <w:t>gute</w:t>
      </w:r>
      <w:r>
        <w:rPr>
          <w:color w:val="231F20"/>
          <w:spacing w:val="29"/>
        </w:rPr>
        <w:t> </w:t>
      </w:r>
      <w:r>
        <w:rPr>
          <w:color w:val="231F20"/>
        </w:rPr>
        <w:t>Gebäudehülle</w:t>
      </w:r>
      <w:r>
        <w:rPr>
          <w:color w:val="231F20"/>
          <w:spacing w:val="30"/>
        </w:rPr>
        <w:t> </w:t>
      </w:r>
      <w:r>
        <w:rPr>
          <w:color w:val="231F20"/>
        </w:rPr>
        <w:t>besteht</w:t>
      </w:r>
      <w:r>
        <w:rPr/>
      </w:r>
    </w:p>
    <w:p>
      <w:pPr>
        <w:pStyle w:val="BodyText"/>
        <w:spacing w:line="232" w:lineRule="auto"/>
        <w:ind w:right="8"/>
        <w:jc w:val="both"/>
      </w:pPr>
      <w:r>
        <w:rPr>
          <w:color w:val="231F20"/>
        </w:rPr>
        <w:t>u.a.</w:t>
      </w:r>
      <w:r>
        <w:rPr>
          <w:color w:val="231F20"/>
          <w:spacing w:val="14"/>
        </w:rPr>
        <w:t> </w:t>
      </w:r>
      <w:r>
        <w:rPr>
          <w:color w:val="231F20"/>
        </w:rPr>
        <w:t>aus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Lehm</w:t>
      </w:r>
      <w:r>
        <w:rPr>
          <w:color w:val="231F20"/>
          <w:spacing w:val="25"/>
        </w:rPr>
        <w:t> </w:t>
      </w:r>
      <w:r>
        <w:rPr>
          <w:color w:val="231F20"/>
        </w:rPr>
        <w:t>und</w:t>
      </w:r>
      <w:r>
        <w:rPr>
          <w:color w:val="231F20"/>
          <w:spacing w:val="24"/>
        </w:rPr>
        <w:t> </w:t>
      </w:r>
      <w:r>
        <w:rPr>
          <w:color w:val="231F20"/>
        </w:rPr>
        <w:t>Holz.</w:t>
      </w:r>
      <w:r>
        <w:rPr>
          <w:color w:val="231F20"/>
          <w:spacing w:val="14"/>
        </w:rPr>
        <w:t> </w:t>
      </w:r>
      <w:r>
        <w:rPr>
          <w:color w:val="231F20"/>
        </w:rPr>
        <w:t>Auch</w:t>
      </w:r>
      <w:r>
        <w:rPr>
          <w:color w:val="231F20"/>
          <w:spacing w:val="25"/>
        </w:rPr>
        <w:t> </w:t>
      </w:r>
      <w:r>
        <w:rPr>
          <w:color w:val="231F20"/>
        </w:rPr>
        <w:t>die</w:t>
      </w:r>
      <w:r>
        <w:rPr>
          <w:color w:val="231F20"/>
          <w:spacing w:val="25"/>
        </w:rPr>
        <w:t> </w:t>
      </w:r>
      <w:r>
        <w:rPr>
          <w:color w:val="231F20"/>
        </w:rPr>
        <w:t>Regen-</w:t>
      </w:r>
      <w:r>
        <w:rPr>
          <w:color w:val="231F20"/>
          <w:spacing w:val="24"/>
        </w:rPr>
        <w:t> </w:t>
      </w:r>
      <w:r>
        <w:rPr>
          <w:color w:val="231F20"/>
        </w:rPr>
        <w:t>wassernutzung</w:t>
      </w:r>
      <w:r>
        <w:rPr>
          <w:color w:val="231F20"/>
          <w:spacing w:val="24"/>
        </w:rPr>
        <w:t> </w:t>
      </w:r>
      <w:r>
        <w:rPr>
          <w:color w:val="231F20"/>
        </w:rPr>
        <w:t>und</w:t>
      </w:r>
      <w:r>
        <w:rPr>
          <w:color w:val="231F20"/>
          <w:spacing w:val="25"/>
        </w:rPr>
        <w:t> </w:t>
      </w:r>
      <w:r>
        <w:rPr>
          <w:color w:val="231F20"/>
        </w:rPr>
        <w:t>ein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gratis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Elektroauto-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Carsharing gehören </w:t>
      </w:r>
      <w:r>
        <w:rPr>
          <w:color w:val="231F20"/>
        </w:rPr>
        <w:t>zum</w:t>
      </w:r>
      <w:r>
        <w:rPr>
          <w:color w:val="231F20"/>
          <w:spacing w:val="-1"/>
        </w:rPr>
        <w:t> </w:t>
      </w:r>
      <w:r>
        <w:rPr>
          <w:color w:val="231F20"/>
        </w:rPr>
        <w:t>nachhaltigen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Kon-</w:t>
      </w:r>
      <w:r>
        <w:rPr>
          <w:color w:val="231F20"/>
          <w:spacing w:val="27"/>
        </w:rPr>
        <w:t> </w:t>
      </w:r>
      <w:r>
        <w:rPr>
          <w:color w:val="231F20"/>
        </w:rPr>
        <w:t>zept.</w:t>
      </w:r>
      <w:r>
        <w:rPr/>
      </w:r>
    </w:p>
    <w:p>
      <w:pPr>
        <w:pStyle w:val="BodyText"/>
        <w:spacing w:line="232" w:lineRule="auto"/>
        <w:ind w:right="0" w:firstLine="226"/>
        <w:jc w:val="both"/>
      </w:pPr>
      <w:r>
        <w:rPr>
          <w:color w:val="231F20"/>
        </w:rPr>
        <w:t>Der</w:t>
      </w:r>
      <w:r>
        <w:rPr>
          <w:color w:val="231F20"/>
          <w:spacing w:val="10"/>
        </w:rPr>
        <w:t> </w:t>
      </w:r>
      <w:r>
        <w:rPr>
          <w:color w:val="231F20"/>
        </w:rPr>
        <w:t>Mietzins</w:t>
      </w:r>
      <w:r>
        <w:rPr>
          <w:color w:val="231F20"/>
          <w:spacing w:val="10"/>
        </w:rPr>
        <w:t> </w:t>
      </w:r>
      <w:r>
        <w:rPr>
          <w:color w:val="231F20"/>
        </w:rPr>
        <w:t>der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Wohnungen</w:t>
      </w:r>
      <w:r>
        <w:rPr>
          <w:color w:val="231F20"/>
          <w:spacing w:val="10"/>
        </w:rPr>
        <w:t> </w:t>
      </w:r>
      <w:r>
        <w:rPr>
          <w:color w:val="231F20"/>
        </w:rPr>
        <w:t>liegt</w:t>
      </w:r>
      <w:r>
        <w:rPr>
          <w:color w:val="231F20"/>
          <w:spacing w:val="10"/>
        </w:rPr>
        <w:t> </w:t>
      </w:r>
      <w:r>
        <w:rPr>
          <w:color w:val="231F20"/>
        </w:rPr>
        <w:t>bloss</w:t>
      </w:r>
      <w:r>
        <w:rPr>
          <w:color w:val="231F20"/>
          <w:spacing w:val="29"/>
        </w:rPr>
        <w:t> </w:t>
      </w:r>
      <w:r>
        <w:rPr>
          <w:color w:val="231F20"/>
        </w:rPr>
        <w:t>7%</w:t>
      </w:r>
      <w:r>
        <w:rPr>
          <w:color w:val="231F20"/>
          <w:spacing w:val="9"/>
        </w:rPr>
        <w:t> </w:t>
      </w:r>
      <w:r>
        <w:rPr>
          <w:color w:val="231F20"/>
        </w:rPr>
        <w:t>über</w:t>
      </w:r>
      <w:r>
        <w:rPr>
          <w:color w:val="231F20"/>
          <w:spacing w:val="9"/>
        </w:rPr>
        <w:t> </w:t>
      </w:r>
      <w:r>
        <w:rPr>
          <w:color w:val="231F20"/>
        </w:rPr>
        <w:t>den</w:t>
      </w:r>
      <w:r>
        <w:rPr>
          <w:color w:val="231F20"/>
          <w:spacing w:val="9"/>
        </w:rPr>
        <w:t> </w:t>
      </w:r>
      <w:r>
        <w:rPr>
          <w:color w:val="231F20"/>
        </w:rPr>
        <w:t>quartierüblichen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Mietpreisen.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-8"/>
        </w:rPr>
        <w:t> </w:t>
      </w:r>
      <w:r>
        <w:rPr>
          <w:color w:val="231F20"/>
        </w:rPr>
        <w:t>Haushaltsgeräte</w:t>
      </w:r>
      <w:r>
        <w:rPr>
          <w:color w:val="231F20"/>
          <w:spacing w:val="-8"/>
        </w:rPr>
        <w:t> </w:t>
      </w:r>
      <w:r>
        <w:rPr>
          <w:color w:val="231F20"/>
        </w:rPr>
        <w:t>sind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solaroptimiert</w:t>
      </w:r>
      <w:r>
        <w:rPr>
          <w:color w:val="231F20"/>
          <w:spacing w:val="-8"/>
        </w:rPr>
        <w:t> </w:t>
      </w:r>
      <w:r>
        <w:rPr>
          <w:color w:val="231F20"/>
        </w:rPr>
        <w:t>ein-</w:t>
      </w:r>
      <w:r>
        <w:rPr>
          <w:color w:val="231F20"/>
          <w:spacing w:val="23"/>
        </w:rPr>
        <w:t> </w:t>
      </w:r>
      <w:r>
        <w:rPr>
          <w:color w:val="231F20"/>
        </w:rPr>
        <w:t>gestellt</w:t>
      </w:r>
      <w:r>
        <w:rPr>
          <w:color w:val="231F20"/>
          <w:spacing w:val="21"/>
        </w:rPr>
        <w:t> </w:t>
      </w:r>
      <w:r>
        <w:rPr>
          <w:color w:val="231F20"/>
        </w:rPr>
        <w:t>und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können</w:t>
      </w:r>
      <w:r>
        <w:rPr>
          <w:color w:val="231F20"/>
          <w:spacing w:val="21"/>
        </w:rPr>
        <w:t> </w:t>
      </w:r>
      <w:r>
        <w:rPr>
          <w:color w:val="231F20"/>
        </w:rPr>
        <w:t>das</w:t>
      </w:r>
      <w:r>
        <w:rPr>
          <w:color w:val="231F20"/>
          <w:spacing w:val="21"/>
        </w:rPr>
        <w:t> </w:t>
      </w:r>
      <w:r>
        <w:rPr>
          <w:color w:val="231F20"/>
        </w:rPr>
        <w:t>E-Mobile</w:t>
      </w:r>
      <w:r>
        <w:rPr>
          <w:color w:val="231F20"/>
          <w:spacing w:val="21"/>
        </w:rPr>
        <w:t> </w:t>
      </w:r>
      <w:r>
        <w:rPr>
          <w:color w:val="231F20"/>
        </w:rPr>
        <w:t>effizient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laden.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Energieabrechnung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wird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eben-</w:t>
      </w:r>
      <w:r>
        <w:rPr>
          <w:color w:val="231F20"/>
          <w:spacing w:val="33"/>
        </w:rPr>
        <w:t> </w:t>
      </w:r>
      <w:r>
        <w:rPr>
          <w:color w:val="231F20"/>
        </w:rPr>
        <w:t>falls</w:t>
      </w:r>
      <w:r>
        <w:rPr>
          <w:color w:val="231F20"/>
          <w:spacing w:val="23"/>
        </w:rPr>
        <w:t> </w:t>
      </w:r>
      <w:r>
        <w:rPr>
          <w:color w:val="231F20"/>
        </w:rPr>
        <w:t>vom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Eigenverbrauchmanager</w:t>
      </w:r>
      <w:r>
        <w:rPr>
          <w:color w:val="231F20"/>
          <w:spacing w:val="23"/>
        </w:rPr>
        <w:t> </w:t>
      </w:r>
      <w:r>
        <w:rPr>
          <w:color w:val="231F20"/>
        </w:rPr>
        <w:t>fair</w:t>
      </w:r>
      <w:r>
        <w:rPr>
          <w:color w:val="231F20"/>
          <w:spacing w:val="24"/>
        </w:rPr>
        <w:t> </w:t>
      </w:r>
      <w:r>
        <w:rPr>
          <w:color w:val="231F20"/>
        </w:rPr>
        <w:t>und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transparent</w:t>
      </w:r>
      <w:r>
        <w:rPr>
          <w:color w:val="231F20"/>
        </w:rPr>
        <w:t> erstellt.</w:t>
      </w:r>
      <w:r>
        <w:rPr/>
      </w:r>
    </w:p>
    <w:p>
      <w:pPr>
        <w:pStyle w:val="BodyText"/>
        <w:spacing w:line="232" w:lineRule="auto"/>
        <w:ind w:right="8" w:firstLine="226"/>
        <w:jc w:val="both"/>
      </w:pPr>
      <w:r>
        <w:rPr>
          <w:color w:val="231F20"/>
          <w:spacing w:val="-1"/>
        </w:rPr>
        <w:t>Dieses</w:t>
      </w:r>
      <w:r>
        <w:rPr>
          <w:color w:val="231F20"/>
          <w:spacing w:val="22"/>
        </w:rPr>
        <w:t> </w:t>
      </w:r>
      <w:r>
        <w:rPr>
          <w:color w:val="231F20"/>
        </w:rPr>
        <w:t>zukunftsweisende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PEB-Mehrfa-</w:t>
      </w:r>
      <w:r>
        <w:rPr>
          <w:color w:val="231F20"/>
          <w:spacing w:val="25"/>
        </w:rPr>
        <w:t> </w:t>
      </w:r>
      <w:r>
        <w:rPr>
          <w:color w:val="231F20"/>
        </w:rPr>
        <w:t>milienhaus</w:t>
      </w:r>
      <w:r>
        <w:rPr>
          <w:color w:val="231F20"/>
          <w:spacing w:val="10"/>
        </w:rPr>
        <w:t> </w:t>
      </w:r>
      <w:r>
        <w:rPr>
          <w:color w:val="231F20"/>
        </w:rPr>
        <w:t>erhält</w:t>
      </w:r>
      <w:r>
        <w:rPr>
          <w:color w:val="231F20"/>
          <w:spacing w:val="10"/>
        </w:rPr>
        <w:t> </w:t>
      </w:r>
      <w:r>
        <w:rPr>
          <w:color w:val="231F20"/>
        </w:rPr>
        <w:t>für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seine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Energieeffizienz</w:t>
      </w:r>
      <w:r>
        <w:rPr>
          <w:color w:val="231F20"/>
          <w:spacing w:val="38"/>
        </w:rPr>
        <w:t> </w:t>
      </w:r>
      <w:r>
        <w:rPr>
          <w:color w:val="231F20"/>
        </w:rPr>
        <w:t>und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seinen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fairen</w:t>
      </w:r>
      <w:r>
        <w:rPr>
          <w:color w:val="231F20"/>
          <w:spacing w:val="5"/>
        </w:rPr>
        <w:t> </w:t>
      </w:r>
      <w:r>
        <w:rPr>
          <w:color w:val="231F20"/>
        </w:rPr>
        <w:t>quartierüblichen</w:t>
      </w:r>
      <w:r>
        <w:rPr>
          <w:color w:val="231F20"/>
          <w:spacing w:val="5"/>
        </w:rPr>
        <w:t> </w:t>
      </w:r>
      <w:r>
        <w:rPr>
          <w:color w:val="231F20"/>
        </w:rPr>
        <w:t>Mietzins</w:t>
      </w:r>
      <w:r>
        <w:rPr>
          <w:color w:val="231F20"/>
          <w:spacing w:val="30"/>
        </w:rPr>
        <w:t> </w:t>
      </w:r>
      <w:r>
        <w:rPr>
          <w:color w:val="231F20"/>
        </w:rPr>
        <w:t>den </w:t>
      </w:r>
      <w:r>
        <w:rPr>
          <w:color w:val="231F20"/>
          <w:spacing w:val="-1"/>
        </w:rPr>
        <w:t>PlusEnergieBau-Solarpreis</w:t>
      </w:r>
      <w:r>
        <w:rPr>
          <w:color w:val="231F20"/>
        </w:rPr>
        <w:t> 2018.</w:t>
      </w:r>
      <w:r>
        <w:rPr/>
      </w:r>
    </w:p>
    <w:p>
      <w:pPr>
        <w:spacing w:line="226" w:lineRule="exact" w:before="0"/>
        <w:ind w:left="117" w:right="0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/>
          <w:i/>
          <w:color w:val="231F20"/>
          <w:spacing w:val="-1"/>
          <w:sz w:val="18"/>
        </w:rPr>
        <w:t>tion</w:t>
      </w:r>
      <w:r>
        <w:rPr>
          <w:rFonts w:ascii="Theinhardt Regular Italic"/>
          <w:i/>
          <w:color w:val="231F20"/>
          <w:spacing w:val="12"/>
          <w:sz w:val="18"/>
        </w:rPr>
        <w:t> </w:t>
      </w:r>
      <w:r>
        <w:rPr>
          <w:rFonts w:ascii="Theinhardt Regular Italic"/>
          <w:i/>
          <w:color w:val="231F20"/>
          <w:spacing w:val="-2"/>
          <w:sz w:val="18"/>
        </w:rPr>
        <w:t>de</w:t>
      </w:r>
      <w:r>
        <w:rPr>
          <w:rFonts w:ascii="Theinhardt Regular Italic"/>
          <w:i/>
          <w:color w:val="231F20"/>
          <w:spacing w:val="12"/>
          <w:sz w:val="18"/>
        </w:rPr>
        <w:t> </w:t>
      </w:r>
      <w:r>
        <w:rPr>
          <w:rFonts w:ascii="Theinhardt Regular Italic"/>
          <w:i/>
          <w:color w:val="231F20"/>
          <w:sz w:val="18"/>
        </w:rPr>
        <w:t>10%</w:t>
      </w:r>
      <w:r>
        <w:rPr>
          <w:rFonts w:ascii="Theinhardt Regular Italic"/>
          <w:i/>
          <w:color w:val="231F20"/>
          <w:spacing w:val="12"/>
          <w:sz w:val="18"/>
        </w:rPr>
        <w:t> </w:t>
      </w:r>
      <w:r>
        <w:rPr>
          <w:rFonts w:ascii="Theinhardt Regular Italic"/>
          <w:i/>
          <w:color w:val="231F20"/>
          <w:sz w:val="18"/>
        </w:rPr>
        <w:t>par</w:t>
      </w:r>
      <w:r>
        <w:rPr>
          <w:rFonts w:ascii="Theinhardt Regular Italic"/>
          <w:i/>
          <w:color w:val="231F20"/>
          <w:spacing w:val="12"/>
          <w:sz w:val="18"/>
        </w:rPr>
        <w:t> </w:t>
      </w:r>
      <w:r>
        <w:rPr>
          <w:rFonts w:ascii="Theinhardt Regular Italic"/>
          <w:i/>
          <w:color w:val="231F20"/>
          <w:spacing w:val="1"/>
          <w:sz w:val="18"/>
        </w:rPr>
        <w:t>rapport</w:t>
      </w:r>
      <w:r>
        <w:rPr>
          <w:rFonts w:ascii="Theinhardt Regular Italic"/>
          <w:i/>
          <w:color w:val="231F20"/>
          <w:spacing w:val="12"/>
          <w:sz w:val="18"/>
        </w:rPr>
        <w:t> </w:t>
      </w:r>
      <w:r>
        <w:rPr>
          <w:rFonts w:ascii="Theinhardt Regular Italic"/>
          <w:i/>
          <w:color w:val="231F20"/>
          <w:spacing w:val="1"/>
          <w:sz w:val="18"/>
        </w:rPr>
        <w:t>au</w:t>
      </w:r>
      <w:r>
        <w:rPr>
          <w:rFonts w:ascii="Theinhardt Regular Italic"/>
          <w:i/>
          <w:color w:val="231F20"/>
          <w:spacing w:val="12"/>
          <w:sz w:val="18"/>
        </w:rPr>
        <w:t> </w:t>
      </w:r>
      <w:r>
        <w:rPr>
          <w:rFonts w:ascii="Theinhardt Regular Italic"/>
          <w:i/>
          <w:color w:val="231F20"/>
          <w:sz w:val="18"/>
        </w:rPr>
        <w:t>label</w:t>
      </w:r>
      <w:r>
        <w:rPr>
          <w:rFonts w:ascii="Theinhardt Regular Italic"/>
          <w:i/>
          <w:color w:val="231F20"/>
          <w:spacing w:val="12"/>
          <w:sz w:val="18"/>
        </w:rPr>
        <w:t> </w:t>
      </w:r>
      <w:r>
        <w:rPr>
          <w:rFonts w:ascii="Theinhardt Regular Italic"/>
          <w:i/>
          <w:color w:val="231F20"/>
          <w:spacing w:val="-2"/>
          <w:sz w:val="18"/>
        </w:rPr>
        <w:t>Minergie-</w:t>
      </w:r>
      <w:r>
        <w:rPr>
          <w:rFonts w:ascii="Theinhardt Regular Italic"/>
          <w:sz w:val="18"/>
        </w:rPr>
      </w:r>
    </w:p>
    <w:p>
      <w:pPr>
        <w:spacing w:line="232" w:lineRule="auto" w:before="1"/>
        <w:ind w:left="117" w:right="0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P.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L’enveloppe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haute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qualité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compose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partie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d’argile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bois.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récupération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l’eau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pluie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et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covoiturage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électrique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gratuit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font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outre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partie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concept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dura-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ble.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2" w:lineRule="auto" w:before="0"/>
        <w:ind w:left="117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loyers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appartements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pei-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7%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au-dessus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ceux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pratiqués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quartier.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L’électroménager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optimali-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solaire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e-véhicules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re-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chargent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efficacement.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responsable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l’autoconsommation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établit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décompte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d’énergie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façon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loyale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et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transparente.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2" w:lineRule="auto" w:before="0"/>
        <w:ind w:left="117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Tourné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vers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l’avenir,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nouvel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immeuble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SonnenparkPLUS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remporte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Prix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Solaire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BEP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2018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efficacité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énergétique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loyers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équitables.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144" w:lineRule="exact" w:before="0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/>
        <w:br w:type="column"/>
      </w:r>
      <w:r>
        <w:rPr>
          <w:rFonts w:ascii="Theinhardt Bold" w:hAnsi="Theinhardt Bold"/>
          <w:b/>
          <w:color w:val="231F20"/>
          <w:spacing w:val="1"/>
          <w:sz w:val="14"/>
        </w:rPr>
        <w:t>Standort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des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Gebäudes</w:t>
      </w:r>
      <w:r>
        <w:rPr>
          <w:rFonts w:ascii="Theinhardt Bold" w:hAnsi="Theinhardt Bold"/>
          <w:sz w:val="14"/>
        </w:rPr>
      </w:r>
    </w:p>
    <w:p>
      <w:pPr>
        <w:spacing w:line="207" w:lineRule="auto" w:before="5"/>
        <w:ind w:left="117" w:right="714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Min.P/PEB-MFH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SonnenparkPlus</w:t>
      </w:r>
      <w:r>
        <w:rPr>
          <w:rFonts w:ascii="Theinhardt Regular"/>
          <w:color w:val="231F20"/>
          <w:spacing w:val="3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Spitalstrasse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32,</w:t>
      </w:r>
      <w:r>
        <w:rPr>
          <w:rFonts w:ascii="Theinhardt Regular"/>
          <w:color w:val="231F20"/>
          <w:sz w:val="14"/>
        </w:rPr>
        <w:t> 8620 </w:t>
      </w:r>
      <w:r>
        <w:rPr>
          <w:rFonts w:ascii="Theinhardt Regular"/>
          <w:color w:val="231F20"/>
          <w:spacing w:val="1"/>
          <w:sz w:val="14"/>
        </w:rPr>
        <w:t>Wetzikon</w:t>
      </w:r>
      <w:r>
        <w:rPr>
          <w:rFonts w:ascii="Theinhardt Regular"/>
          <w:sz w:val="14"/>
        </w:rPr>
      </w:r>
    </w:p>
    <w:p>
      <w:pPr>
        <w:spacing w:line="160" w:lineRule="exact" w:before="46"/>
        <w:ind w:left="117" w:right="1115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Bauherrschaft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und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2"/>
          <w:sz w:val="14"/>
        </w:rPr>
        <w:t>Architektur</w:t>
      </w:r>
      <w:r>
        <w:rPr>
          <w:rFonts w:ascii="Theinhardt Bold"/>
          <w:b/>
          <w:color w:val="231F20"/>
          <w:spacing w:val="26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arento</w:t>
      </w:r>
      <w:r>
        <w:rPr>
          <w:rFonts w:ascii="Theinhardt Regular"/>
          <w:color w:val="231F20"/>
          <w:sz w:val="14"/>
        </w:rPr>
        <w:t> ag - </w:t>
      </w:r>
      <w:r>
        <w:rPr>
          <w:rFonts w:ascii="Theinhardt Regular"/>
          <w:color w:val="231F20"/>
          <w:spacing w:val="1"/>
          <w:sz w:val="14"/>
        </w:rPr>
        <w:t>nachhaltige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architektur</w:t>
      </w:r>
      <w:r>
        <w:rPr>
          <w:rFonts w:ascii="Theinhardt Regular"/>
          <w:color w:val="231F20"/>
          <w:spacing w:val="24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Franz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Schnider/Matthias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Sauter</w:t>
      </w:r>
      <w:r>
        <w:rPr>
          <w:rFonts w:ascii="Theinhardt Regular"/>
          <w:color w:val="231F20"/>
          <w:spacing w:val="44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Bachtelstrasse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22,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8340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Hinwil</w:t>
      </w:r>
      <w:r>
        <w:rPr>
          <w:rFonts w:ascii="Theinhardt Regular"/>
          <w:sz w:val="14"/>
        </w:rPr>
      </w:r>
    </w:p>
    <w:p>
      <w:pPr>
        <w:spacing w:line="160" w:lineRule="exact" w:before="0"/>
        <w:ind w:left="117" w:right="447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055 220 66 </w:t>
      </w:r>
      <w:r>
        <w:rPr>
          <w:rFonts w:ascii="Theinhardt Regular"/>
          <w:color w:val="231F20"/>
          <w:spacing w:val="-7"/>
          <w:sz w:val="14"/>
        </w:rPr>
        <w:t>11</w:t>
      </w:r>
      <w:hyperlink r:id="rId6">
        <w:r>
          <w:rPr>
            <w:rFonts w:ascii="Theinhardt Regular"/>
            <w:color w:val="231F20"/>
            <w:spacing w:val="-7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schnider@arento.ch</w:t>
        </w:r>
      </w:hyperlink>
      <w:r>
        <w:rPr>
          <w:rFonts w:ascii="Theinhardt Regular"/>
          <w:color w:val="231F20"/>
          <w:spacing w:val="38"/>
          <w:sz w:val="14"/>
        </w:rPr>
        <w:t> </w:t>
      </w:r>
      <w:hyperlink r:id="rId7">
        <w:r>
          <w:rPr>
            <w:rFonts w:ascii="Theinhardt Regular"/>
            <w:color w:val="231F20"/>
            <w:spacing w:val="1"/>
            <w:sz w:val="14"/>
          </w:rPr>
          <w:t>sauter@arento.ch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49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Solaranlagen/Speicher</w:t>
      </w:r>
      <w:r>
        <w:rPr>
          <w:rFonts w:ascii="Theinhardt Bold"/>
          <w:sz w:val="14"/>
        </w:rPr>
      </w:r>
    </w:p>
    <w:p>
      <w:pPr>
        <w:spacing w:line="207" w:lineRule="auto" w:before="5"/>
        <w:ind w:left="117" w:right="207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Windgate/Felix</w:t>
      </w:r>
      <w:r>
        <w:rPr>
          <w:rFonts w:ascii="Theinhardt Regular"/>
          <w:color w:val="231F20"/>
          <w:sz w:val="14"/>
        </w:rPr>
        <w:t> &amp; </w:t>
      </w:r>
      <w:r>
        <w:rPr>
          <w:rFonts w:ascii="Theinhardt Regular"/>
          <w:color w:val="231F20"/>
          <w:spacing w:val="1"/>
          <w:sz w:val="14"/>
        </w:rPr>
        <w:t>Co.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GmbH,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Luis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Garabito</w:t>
      </w:r>
      <w:r>
        <w:rPr>
          <w:rFonts w:ascii="Theinhardt Regular"/>
          <w:color w:val="231F20"/>
          <w:spacing w:val="42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Landstrasse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70,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5412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Gebenstorf</w:t>
      </w:r>
      <w:r>
        <w:rPr>
          <w:rFonts w:ascii="Theinhardt Regular"/>
          <w:sz w:val="14"/>
        </w:rPr>
      </w:r>
    </w:p>
    <w:p>
      <w:pPr>
        <w:spacing w:line="167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079</w:t>
      </w:r>
      <w:r>
        <w:rPr>
          <w:rFonts w:ascii="Theinhardt Regular"/>
          <w:color w:val="231F20"/>
          <w:sz w:val="14"/>
        </w:rPr>
        <w:t> 784 65 </w:t>
      </w:r>
      <w:r>
        <w:rPr>
          <w:rFonts w:ascii="Theinhardt Regular"/>
          <w:color w:val="231F20"/>
          <w:spacing w:val="-1"/>
          <w:sz w:val="14"/>
        </w:rPr>
        <w:t>4</w:t>
      </w:r>
      <w:hyperlink r:id="rId8">
        <w:r>
          <w:rPr>
            <w:rFonts w:ascii="Theinhardt Regular"/>
            <w:color w:val="231F20"/>
            <w:spacing w:val="-1"/>
            <w:sz w:val="14"/>
          </w:rPr>
          <w:t>2,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luis.garabito@felix.swiss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Elektroanlagen</w:t>
      </w:r>
      <w:r>
        <w:rPr>
          <w:rFonts w:ascii="Theinhardt Bold"/>
          <w:sz w:val="14"/>
        </w:rPr>
      </w:r>
    </w:p>
    <w:p>
      <w:pPr>
        <w:spacing w:line="207" w:lineRule="auto" w:before="5"/>
        <w:ind w:left="117" w:right="714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2"/>
          <w:sz w:val="14"/>
        </w:rPr>
        <w:t>Elektro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Möhl</w:t>
      </w:r>
      <w:r>
        <w:rPr>
          <w:rFonts w:ascii="Theinhardt Regular" w:hAnsi="Theinhardt Regular"/>
          <w:color w:val="231F20"/>
          <w:sz w:val="14"/>
        </w:rPr>
        <w:t> AG, </w:t>
      </w:r>
      <w:r>
        <w:rPr>
          <w:rFonts w:ascii="Theinhardt Regular" w:hAnsi="Theinhardt Regular"/>
          <w:color w:val="231F20"/>
          <w:spacing w:val="2"/>
          <w:sz w:val="14"/>
        </w:rPr>
        <w:t>Matthias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Möhl</w:t>
      </w:r>
      <w:r>
        <w:rPr>
          <w:rFonts w:ascii="Theinhardt Regular" w:hAnsi="Theinhardt Regular"/>
          <w:color w:val="231F20"/>
          <w:spacing w:val="26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Rickenstrasse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89,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8646</w:t>
      </w:r>
      <w:r>
        <w:rPr>
          <w:rFonts w:ascii="Theinhardt Regular" w:hAnsi="Theinhardt Regular"/>
          <w:color w:val="231F20"/>
          <w:sz w:val="14"/>
        </w:rPr>
        <w:t> Wagen</w:t>
      </w:r>
      <w:r>
        <w:rPr>
          <w:rFonts w:ascii="Theinhardt Regular" w:hAnsi="Theinhardt Regular"/>
          <w:sz w:val="14"/>
        </w:rPr>
      </w:r>
    </w:p>
    <w:p>
      <w:pPr>
        <w:spacing w:line="154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055 </w:t>
      </w:r>
      <w:r>
        <w:rPr>
          <w:rFonts w:ascii="Theinhardt Regular"/>
          <w:color w:val="231F20"/>
          <w:spacing w:val="-1"/>
          <w:sz w:val="14"/>
        </w:rPr>
        <w:t>225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48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88</w:t>
      </w:r>
      <w:r>
        <w:rPr>
          <w:rFonts w:ascii="Theinhardt Regular"/>
          <w:sz w:val="14"/>
        </w:rPr>
      </w:r>
    </w:p>
    <w:p>
      <w:pPr>
        <w:spacing w:line="172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hyperlink r:id="rId9">
        <w:r>
          <w:rPr>
            <w:rFonts w:ascii="Theinhardt Regular"/>
            <w:color w:val="231F20"/>
            <w:spacing w:val="2"/>
            <w:sz w:val="14"/>
          </w:rPr>
          <w:t>matthias.moehl@elektro-moehl.ch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Energiemanagement</w:t>
      </w:r>
      <w:r>
        <w:rPr>
          <w:rFonts w:ascii="Theinhardt Bold"/>
          <w:sz w:val="14"/>
        </w:rPr>
      </w:r>
    </w:p>
    <w:p>
      <w:pPr>
        <w:spacing w:line="207" w:lineRule="auto" w:before="5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Smart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Energy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Control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GmbH,</w:t>
      </w:r>
      <w:r>
        <w:rPr>
          <w:rFonts w:ascii="Theinhardt Regular"/>
          <w:color w:val="231F20"/>
          <w:sz w:val="14"/>
        </w:rPr>
        <w:t> Prof. </w:t>
      </w:r>
      <w:r>
        <w:rPr>
          <w:rFonts w:ascii="Theinhardt Regular"/>
          <w:color w:val="231F20"/>
          <w:spacing w:val="-2"/>
          <w:sz w:val="14"/>
        </w:rPr>
        <w:t>Dr.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David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Zogg</w:t>
      </w:r>
      <w:r>
        <w:rPr>
          <w:rFonts w:ascii="Theinhardt Regular"/>
          <w:color w:val="231F20"/>
          <w:spacing w:val="44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Badenerstrasse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13,</w:t>
      </w:r>
      <w:r>
        <w:rPr>
          <w:rFonts w:ascii="Theinhardt Regular"/>
          <w:color w:val="231F20"/>
          <w:sz w:val="14"/>
        </w:rPr>
        <w:t> 5200 </w:t>
      </w:r>
      <w:r>
        <w:rPr>
          <w:rFonts w:ascii="Theinhardt Regular"/>
          <w:color w:val="231F20"/>
          <w:spacing w:val="2"/>
          <w:sz w:val="14"/>
        </w:rPr>
        <w:t>Brugg</w:t>
      </w:r>
      <w:r>
        <w:rPr>
          <w:rFonts w:ascii="Theinhardt Regular"/>
          <w:sz w:val="14"/>
        </w:rPr>
      </w:r>
    </w:p>
    <w:p>
      <w:pPr>
        <w:spacing w:line="167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pict>
          <v:group style="position:absolute;margin-left:394.015808pt;margin-top:10.130398pt;width:167.25pt;height:.45pt;mso-position-horizontal-relative:page;mso-position-vertical-relative:paragraph;z-index:1072" coordorigin="7880,203" coordsize="3345,9">
            <v:group style="position:absolute;left:7902;top:207;width:3311;height:2" coordorigin="7902,207" coordsize="3311,2">
              <v:shape style="position:absolute;left:7902;top:207;width:3311;height:2" coordorigin="7902,207" coordsize="3311,0" path="m7902,207l11212,207e" filled="false" stroked="true" strokeweight=".425pt" strokecolor="#231f20">
                <v:path arrowok="t"/>
                <v:stroke dashstyle="dash"/>
              </v:shape>
            </v:group>
            <v:group style="position:absolute;left:7885;top:207;width:2;height:2" coordorigin="7885,207" coordsize="2,2">
              <v:shape style="position:absolute;left:7885;top:207;width:2;height:2" coordorigin="7885,207" coordsize="0,0" path="m7885,207l7885,207e" filled="false" stroked="true" strokeweight=".425pt" strokecolor="#231f20">
                <v:path arrowok="t"/>
              </v:shape>
            </v:group>
            <v:group style="position:absolute;left:11221;top:207;width:2;height:2" coordorigin="11221,207" coordsize="2,2">
              <v:shape style="position:absolute;left:11221;top:207;width:2;height:2" coordorigin="11221,207" coordsize="0,0" path="m11221,207l11221,207e" filled="false" stroked="true" strokeweight=".425pt" strokecolor="#231f20">
                <v:path arrowok="t"/>
              </v:shape>
            </v:group>
            <w10:wrap type="none"/>
          </v:group>
        </w:pic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079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707</w:t>
      </w:r>
      <w:r>
        <w:rPr>
          <w:rFonts w:ascii="Theinhardt Regular"/>
          <w:color w:val="231F20"/>
          <w:sz w:val="14"/>
        </w:rPr>
        <w:t> 02 </w:t>
      </w:r>
      <w:r>
        <w:rPr>
          <w:rFonts w:ascii="Theinhardt Regular"/>
          <w:color w:val="231F20"/>
          <w:spacing w:val="-1"/>
          <w:sz w:val="14"/>
        </w:rPr>
        <w:t>59</w:t>
      </w:r>
      <w:hyperlink r:id="rId10">
        <w:r>
          <w:rPr>
            <w:rFonts w:ascii="Theinhardt Regular"/>
            <w:color w:val="231F20"/>
            <w:spacing w:val="-1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2"/>
            <w:sz w:val="14"/>
          </w:rPr>
          <w:t>info@zogg-energy-control.ch</w:t>
        </w:r>
        <w:r>
          <w:rPr>
            <w:rFonts w:ascii="Theinhardt Regular"/>
            <w:sz w:val="14"/>
          </w:rPr>
        </w:r>
      </w:hyperlink>
    </w:p>
    <w:p>
      <w:pPr>
        <w:spacing w:after="0" w:line="167" w:lineRule="exact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2250" w:h="17180"/>
          <w:pgMar w:top="1000" w:bottom="280" w:left="620" w:right="900"/>
          <w:cols w:num="3" w:equalWidth="0">
            <w:col w:w="3473" w:space="98"/>
            <w:col w:w="3463" w:space="109"/>
            <w:col w:w="3587"/>
          </w:cols>
        </w:sect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7"/>
        <w:rPr>
          <w:rFonts w:ascii="Theinhardt Regular" w:hAnsi="Theinhardt Regular" w:cs="Theinhardt Regular" w:eastAsia="Theinhardt Regular"/>
          <w:sz w:val="27"/>
          <w:szCs w:val="27"/>
        </w:rPr>
      </w:pPr>
    </w:p>
    <w:p>
      <w:pPr>
        <w:spacing w:before="7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40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2018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2018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2250" w:h="17180"/>
          <w:pgMar w:top="1000" w:bottom="280" w:left="620" w:right="900"/>
        </w:sectPr>
      </w:pPr>
    </w:p>
    <w:p>
      <w:pPr>
        <w:spacing w:line="240" w:lineRule="auto" w:before="3"/>
        <w:rPr>
          <w:rFonts w:ascii="Theinhardt Regular" w:hAnsi="Theinhardt Regular" w:cs="Theinhardt Regular" w:eastAsia="Theinhardt Regular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6507612" cy="4344257"/>
            <wp:effectExtent l="0" t="0" r="0" b="0"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612" cy="434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line="240" w:lineRule="auto" w:before="4"/>
        <w:rPr>
          <w:rFonts w:ascii="Theinhardt Regular" w:hAnsi="Theinhardt Regular" w:cs="Theinhardt Regular" w:eastAsia="Theinhardt Regular"/>
          <w:sz w:val="9"/>
          <w:szCs w:val="9"/>
        </w:rPr>
      </w:pPr>
    </w:p>
    <w:p>
      <w:pPr>
        <w:spacing w:before="68"/>
        <w:ind w:left="113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spacing w:before="28"/>
        <w:ind w:left="10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/>
        <w:pict>
          <v:shape style="position:absolute;margin-left:384.095001pt;margin-top:116.781998pt;width:191.338pt;height:114.803pt;mso-position-horizontal-relative:page;mso-position-vertical-relative:paragraph;z-index:-6760" type="#_x0000_t75" stroked="false">
            <v:imagedata r:id="rId12" o:title=""/>
          </v:shape>
        </w:pict>
      </w:r>
      <w:r>
        <w:rPr/>
        <w:pict>
          <v:shape style="position:absolute;margin-left:384.095001pt;margin-top:1.238pt;width:191.338pt;height:103.496pt;mso-position-horizontal-relative:page;mso-position-vertical-relative:paragraph;z-index:-6736" type="#_x0000_t75" stroked="false">
            <v:imagedata r:id="rId13" o:title=""/>
          </v:shape>
        </w:pict>
      </w:r>
      <w:r>
        <w:rPr>
          <w:position w:val="-236"/>
        </w:rPr>
        <w:drawing>
          <wp:inline distT="0" distB="0" distL="0" distR="0">
            <wp:extent cx="4068000" cy="2920301"/>
            <wp:effectExtent l="0" t="0" r="0" b="0"/>
            <wp:docPr id="3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8000" cy="292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36"/>
        </w:rPr>
      </w:r>
      <w:r>
        <w:rPr>
          <w:rFonts w:ascii="Times New Roman"/>
          <w:sz w:val="20"/>
        </w:rPr>
        <w:t>     </w:t>
      </w:r>
      <w:r>
        <w:rPr>
          <w:rFonts w:ascii="Theinhardt Bold"/>
          <w:b/>
          <w:color w:val="231F20"/>
          <w:sz w:val="14"/>
        </w:rPr>
        <w:t>3</w:t>
      </w:r>
      <w:r>
        <w:rPr>
          <w:rFonts w:ascii="Theinhardt Bold"/>
          <w:sz w:val="14"/>
        </w:rPr>
      </w:r>
    </w:p>
    <w:p>
      <w:pPr>
        <w:tabs>
          <w:tab w:pos="6768" w:val="left" w:leader="none"/>
        </w:tabs>
        <w:spacing w:before="11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  <w:tab/>
      </w:r>
      <w:r>
        <w:rPr>
          <w:rFonts w:ascii="Theinhardt Bold"/>
          <w:b/>
          <w:color w:val="231F20"/>
          <w:position w:val="1"/>
          <w:sz w:val="14"/>
        </w:rPr>
        <w:t>4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20"/>
          <w:szCs w:val="20"/>
        </w:rPr>
        <w:sectPr>
          <w:pgSz w:w="12250" w:h="17180"/>
          <w:pgMar w:top="1020" w:bottom="280" w:left="920" w:right="620"/>
        </w:sectPr>
      </w:pPr>
    </w:p>
    <w:p>
      <w:pPr>
        <w:spacing w:line="240" w:lineRule="auto" w:before="12"/>
        <w:rPr>
          <w:rFonts w:ascii="Theinhardt Bold" w:hAnsi="Theinhardt Bold" w:cs="Theinhardt Bold" w:eastAsia="Theinhardt Bold"/>
          <w:b/>
          <w:bCs/>
          <w:sz w:val="16"/>
          <w:szCs w:val="16"/>
        </w:rPr>
      </w:pPr>
    </w:p>
    <w:p>
      <w:pPr>
        <w:numPr>
          <w:ilvl w:val="0"/>
          <w:numId w:val="1"/>
        </w:numPr>
        <w:tabs>
          <w:tab w:pos="328" w:val="left" w:leader="none"/>
        </w:tabs>
        <w:spacing w:line="160" w:lineRule="exact" w:before="0"/>
        <w:ind w:left="32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Die</w:t>
      </w:r>
      <w:r>
        <w:rPr>
          <w:rFonts w:ascii="Theinhardt Bold" w:hAnsi="Theinhardt Bold"/>
          <w:b/>
          <w:color w:val="231F20"/>
          <w:spacing w:val="-1"/>
          <w:sz w:val="14"/>
        </w:rPr>
        <w:t> monokristallinen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PV-Module </w:t>
      </w:r>
      <w:r>
        <w:rPr>
          <w:rFonts w:ascii="Theinhardt Bold" w:hAnsi="Theinhardt Bold"/>
          <w:b/>
          <w:color w:val="231F20"/>
          <w:sz w:val="14"/>
        </w:rPr>
        <w:t>sind ganzflä-</w:t>
      </w:r>
      <w:r>
        <w:rPr>
          <w:rFonts w:ascii="Theinhardt Bold" w:hAnsi="Theinhardt Bold"/>
          <w:b/>
          <w:color w:val="231F20"/>
          <w:spacing w:val="42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chig</w:t>
      </w:r>
      <w:r>
        <w:rPr>
          <w:rFonts w:ascii="Theinhardt Bold" w:hAnsi="Theinhardt Bold"/>
          <w:b/>
          <w:color w:val="231F20"/>
          <w:sz w:val="14"/>
        </w:rPr>
        <w:t> auf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Süd- und </w:t>
      </w:r>
      <w:r>
        <w:rPr>
          <w:rFonts w:ascii="Theinhardt Bold" w:hAnsi="Theinhardt Bold"/>
          <w:b/>
          <w:color w:val="231F20"/>
          <w:spacing w:val="-1"/>
          <w:sz w:val="14"/>
        </w:rPr>
        <w:t>Westfassade</w:t>
      </w:r>
      <w:r>
        <w:rPr>
          <w:rFonts w:ascii="Theinhardt Bold" w:hAnsi="Theinhardt Bold"/>
          <w:b/>
          <w:color w:val="231F20"/>
          <w:sz w:val="14"/>
        </w:rPr>
        <w:t> des PEB-</w:t>
      </w:r>
      <w:r>
        <w:rPr>
          <w:rFonts w:ascii="Theinhardt Bold" w:hAnsi="Theinhardt Bold"/>
          <w:b/>
          <w:color w:val="231F20"/>
          <w:spacing w:val="27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MFH SonnenparkPlus integriert.</w:t>
      </w:r>
      <w:r>
        <w:rPr>
          <w:rFonts w:ascii="Theinhardt Bold" w:hAnsi="Theinhardt Bold"/>
          <w:sz w:val="14"/>
        </w:rPr>
      </w:r>
    </w:p>
    <w:p>
      <w:pPr>
        <w:spacing w:line="240" w:lineRule="auto" w:before="12"/>
        <w:rPr>
          <w:rFonts w:ascii="Theinhardt Bold" w:hAnsi="Theinhardt Bold" w:cs="Theinhardt Bold" w:eastAsia="Theinhardt Bold"/>
          <w:b/>
          <w:bCs/>
          <w:sz w:val="16"/>
          <w:szCs w:val="16"/>
        </w:rPr>
      </w:pPr>
      <w:r>
        <w:rPr/>
        <w:br w:type="column"/>
      </w:r>
      <w:r>
        <w:rPr>
          <w:rFonts w:ascii="Theinhardt Bold"/>
          <w:b/>
          <w:sz w:val="16"/>
        </w:rPr>
      </w:r>
    </w:p>
    <w:p>
      <w:pPr>
        <w:numPr>
          <w:ilvl w:val="0"/>
          <w:numId w:val="1"/>
        </w:numPr>
        <w:tabs>
          <w:tab w:pos="328" w:val="left" w:leader="none"/>
        </w:tabs>
        <w:spacing w:line="160" w:lineRule="exact" w:before="0"/>
        <w:ind w:left="327" w:right="0" w:hanging="227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Die Dach- und </w:t>
      </w:r>
      <w:r>
        <w:rPr>
          <w:rFonts w:ascii="Theinhardt Bold"/>
          <w:b/>
          <w:color w:val="231F20"/>
          <w:spacing w:val="-1"/>
          <w:sz w:val="14"/>
        </w:rPr>
        <w:t>Fassadenanlage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-1"/>
          <w:sz w:val="14"/>
        </w:rPr>
        <w:t>erzeugt</w:t>
      </w:r>
      <w:r>
        <w:rPr>
          <w:rFonts w:ascii="Theinhardt Bold"/>
          <w:b/>
          <w:color w:val="231F20"/>
          <w:sz w:val="14"/>
        </w:rPr>
        <w:t> seit Juni</w:t>
      </w:r>
      <w:r>
        <w:rPr>
          <w:rFonts w:ascii="Theinhardt Bold"/>
          <w:b/>
          <w:color w:val="231F20"/>
          <w:spacing w:val="44"/>
          <w:sz w:val="14"/>
        </w:rPr>
        <w:t> </w:t>
      </w:r>
      <w:r>
        <w:rPr>
          <w:rFonts w:ascii="Theinhardt Bold"/>
          <w:b/>
          <w:color w:val="231F20"/>
          <w:sz w:val="14"/>
        </w:rPr>
        <w:t>2018 genug </w:t>
      </w:r>
      <w:r>
        <w:rPr>
          <w:rFonts w:ascii="Theinhardt Bold"/>
          <w:b/>
          <w:color w:val="231F20"/>
          <w:spacing w:val="-1"/>
          <w:sz w:val="14"/>
        </w:rPr>
        <w:t>Energie,</w:t>
      </w:r>
      <w:r>
        <w:rPr>
          <w:rFonts w:ascii="Theinhardt Bold"/>
          <w:b/>
          <w:color w:val="231F20"/>
          <w:spacing w:val="-6"/>
          <w:sz w:val="14"/>
        </w:rPr>
        <w:t> </w:t>
      </w:r>
      <w:r>
        <w:rPr>
          <w:rFonts w:ascii="Theinhardt Bold"/>
          <w:b/>
          <w:color w:val="231F20"/>
          <w:sz w:val="14"/>
        </w:rPr>
        <w:t>um </w:t>
      </w:r>
      <w:r>
        <w:rPr>
          <w:rFonts w:ascii="Theinhardt Bold"/>
          <w:b/>
          <w:color w:val="231F20"/>
          <w:spacing w:val="-1"/>
          <w:sz w:val="14"/>
        </w:rPr>
        <w:t>den</w:t>
      </w:r>
      <w:r>
        <w:rPr>
          <w:rFonts w:ascii="Theinhardt Bold"/>
          <w:b/>
          <w:color w:val="231F20"/>
          <w:sz w:val="14"/>
        </w:rPr>
        <w:t> Gesamtbedarf </w:t>
      </w:r>
      <w:r>
        <w:rPr>
          <w:rFonts w:ascii="Theinhardt Bold"/>
          <w:b/>
          <w:color w:val="231F20"/>
          <w:spacing w:val="-1"/>
          <w:sz w:val="14"/>
        </w:rPr>
        <w:t>der</w:t>
      </w:r>
      <w:r>
        <w:rPr>
          <w:rFonts w:ascii="Theinhardt Bold"/>
          <w:b/>
          <w:color w:val="231F20"/>
          <w:spacing w:val="36"/>
          <w:sz w:val="14"/>
        </w:rPr>
        <w:t> </w:t>
      </w:r>
      <w:r>
        <w:rPr>
          <w:rFonts w:ascii="Theinhardt Bold"/>
          <w:b/>
          <w:color w:val="231F20"/>
          <w:sz w:val="14"/>
        </w:rPr>
        <w:t>10 </w:t>
      </w:r>
      <w:r>
        <w:rPr>
          <w:rFonts w:ascii="Theinhardt Bold"/>
          <w:b/>
          <w:color w:val="231F20"/>
          <w:spacing w:val="-1"/>
          <w:sz w:val="14"/>
        </w:rPr>
        <w:t>Minergie-P/PEB-Wohnungen</w:t>
      </w:r>
      <w:r>
        <w:rPr>
          <w:rFonts w:ascii="Theinhardt Bold"/>
          <w:b/>
          <w:color w:val="231F20"/>
          <w:sz w:val="14"/>
        </w:rPr>
        <w:t> zu </w:t>
      </w:r>
      <w:r>
        <w:rPr>
          <w:rFonts w:ascii="Theinhardt Bold"/>
          <w:b/>
          <w:color w:val="231F20"/>
          <w:spacing w:val="-1"/>
          <w:sz w:val="14"/>
        </w:rPr>
        <w:t>decken.</w:t>
      </w:r>
      <w:r>
        <w:rPr>
          <w:rFonts w:ascii="Theinhardt Bold"/>
          <w:sz w:val="14"/>
        </w:rPr>
      </w:r>
    </w:p>
    <w:p>
      <w:pPr>
        <w:spacing w:line="240" w:lineRule="auto" w:before="4"/>
        <w:rPr>
          <w:rFonts w:ascii="Theinhardt Bold" w:hAnsi="Theinhardt Bold" w:cs="Theinhardt Bold" w:eastAsia="Theinhardt Bold"/>
          <w:b/>
          <w:bCs/>
          <w:sz w:val="16"/>
          <w:szCs w:val="16"/>
        </w:rPr>
      </w:pPr>
      <w:r>
        <w:rPr/>
        <w:br w:type="column"/>
      </w:r>
      <w:r>
        <w:rPr>
          <w:rFonts w:ascii="Theinhardt Bold"/>
          <w:b/>
          <w:sz w:val="16"/>
        </w:rPr>
      </w:r>
    </w:p>
    <w:p>
      <w:pPr>
        <w:numPr>
          <w:ilvl w:val="0"/>
          <w:numId w:val="1"/>
        </w:numPr>
        <w:tabs>
          <w:tab w:pos="328" w:val="left" w:leader="none"/>
        </w:tabs>
        <w:spacing w:line="172" w:lineRule="exact" w:before="0"/>
        <w:ind w:left="32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-1"/>
          <w:sz w:val="14"/>
        </w:rPr>
        <w:t>Nord-</w:t>
      </w:r>
      <w:r>
        <w:rPr>
          <w:rFonts w:ascii="Theinhardt Bold"/>
          <w:b/>
          <w:color w:val="231F20"/>
          <w:sz w:val="14"/>
        </w:rPr>
        <w:t> und Osfassade ohne </w:t>
      </w:r>
      <w:r>
        <w:rPr>
          <w:rFonts w:ascii="Theinhardt Bold"/>
          <w:b/>
          <w:color w:val="231F20"/>
          <w:spacing w:val="-1"/>
          <w:sz w:val="14"/>
        </w:rPr>
        <w:t>PV-Module</w:t>
      </w:r>
      <w:r>
        <w:rPr>
          <w:rFonts w:ascii="Theinhardt Bold"/>
          <w:sz w:val="14"/>
        </w:rPr>
      </w:r>
    </w:p>
    <w:p>
      <w:pPr>
        <w:numPr>
          <w:ilvl w:val="0"/>
          <w:numId w:val="1"/>
        </w:numPr>
        <w:tabs>
          <w:tab w:pos="328" w:val="left" w:leader="none"/>
        </w:tabs>
        <w:spacing w:line="172" w:lineRule="exact" w:before="0"/>
        <w:ind w:left="32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-1"/>
          <w:sz w:val="14"/>
        </w:rPr>
        <w:t>Transparente</w:t>
      </w:r>
      <w:r>
        <w:rPr>
          <w:rFonts w:ascii="Theinhardt Bold" w:hAnsi="Theinhardt Bold"/>
          <w:b/>
          <w:color w:val="231F20"/>
          <w:sz w:val="14"/>
        </w:rPr>
        <w:t> Module an </w:t>
      </w:r>
      <w:r>
        <w:rPr>
          <w:rFonts w:ascii="Theinhardt Bold" w:hAnsi="Theinhardt Bold"/>
          <w:b/>
          <w:color w:val="231F20"/>
          <w:spacing w:val="-1"/>
          <w:sz w:val="14"/>
        </w:rPr>
        <w:t>den</w:t>
      </w:r>
      <w:r>
        <w:rPr>
          <w:rFonts w:ascii="Theinhardt Bold" w:hAnsi="Theinhardt Bold"/>
          <w:b/>
          <w:color w:val="231F20"/>
          <w:sz w:val="14"/>
        </w:rPr>
        <w:t> Brüstungen</w:t>
      </w:r>
      <w:r>
        <w:rPr>
          <w:rFonts w:ascii="Theinhardt Bold" w:hAnsi="Theinhardt Bold"/>
          <w:sz w:val="14"/>
        </w:rPr>
      </w:r>
    </w:p>
    <w:p>
      <w:pPr>
        <w:spacing w:after="0" w:line="172" w:lineRule="exact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2250" w:h="17180"/>
          <w:pgMar w:top="1000" w:bottom="280" w:left="920" w:right="620"/>
          <w:cols w:num="3" w:equalWidth="0">
            <w:col w:w="3253" w:space="319"/>
            <w:col w:w="3382" w:space="190"/>
            <w:col w:w="3566"/>
          </w:cols>
        </w:sectPr>
      </w:pPr>
    </w:p>
    <w:p>
      <w:pPr>
        <w:spacing w:line="240" w:lineRule="auto" w:before="2"/>
        <w:rPr>
          <w:rFonts w:ascii="Theinhardt Bold" w:hAnsi="Theinhardt Bold" w:cs="Theinhardt Bold" w:eastAsia="Theinhardt Bold"/>
          <w:b/>
          <w:bCs/>
          <w:sz w:val="23"/>
          <w:szCs w:val="23"/>
        </w:rPr>
      </w:pPr>
    </w:p>
    <w:p>
      <w:pPr>
        <w:spacing w:before="70"/>
        <w:ind w:left="665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2018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2018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41</w:t>
      </w:r>
      <w:r>
        <w:rPr>
          <w:rFonts w:ascii="Theinhardt Heavy"/>
          <w:sz w:val="14"/>
        </w:rPr>
      </w:r>
    </w:p>
    <w:sectPr>
      <w:type w:val="continuous"/>
      <w:pgSz w:w="12250" w:h="17180"/>
      <w:pgMar w:top="1000" w:bottom="280" w:left="92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27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19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12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04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97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89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82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374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667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7"/>
    </w:pPr>
    <w:rPr>
      <w:rFonts w:ascii="Theinhardt Regular" w:hAnsi="Theinhardt Regular" w:eastAsia="Theinhardt Regular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mailto:schnider@arento.ch" TargetMode="External"/><Relationship Id="rId7" Type="http://schemas.openxmlformats.org/officeDocument/2006/relationships/hyperlink" Target="mailto:sauter@arento.ch" TargetMode="External"/><Relationship Id="rId8" Type="http://schemas.openxmlformats.org/officeDocument/2006/relationships/hyperlink" Target="mailto:luis.garabito@felix.swiss" TargetMode="External"/><Relationship Id="rId9" Type="http://schemas.openxmlformats.org/officeDocument/2006/relationships/hyperlink" Target="mailto:matthias.moehl@elektro-moehl.ch" TargetMode="External"/><Relationship Id="rId10" Type="http://schemas.openxmlformats.org/officeDocument/2006/relationships/hyperlink" Target="mailto:info@zogg-energy-control.ch" TargetMode="External"/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2018-10-02T09:55:55Z</dcterms:created>
  <dcterms:modified xsi:type="dcterms:W3CDTF">2018-10-02T09:55:55Z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2018-10-02T00:00:00Z</vt:filetime>
  </property>
  <property fmtid="{D5CDD505-2E9C-101B-9397-08002B2CF9AE}" pid="3" name="LastSaved">
    <vt:filetime>2018-10-02T00:00:00Z</vt:filetime>
  </property>
</Properties>
</file>