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2563" w:val="left" w:leader="none"/>
        </w:tabs>
        <w:spacing w:line="230" w:lineRule="exact" w:before="38"/>
        <w:ind w:left="124" w:right="0" w:firstLine="0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/>
        <w:pict>
          <v:shape style="position:absolute;margin-left:36.851002pt;margin-top:52.91077pt;width:82.2043pt;height:60.204pt;mso-position-horizontal-relative:page;mso-position-vertical-relative:paragraph;z-index:1096" type="#_x0000_t75" stroked="false">
            <v:imagedata r:id="rId5" o:title=""/>
          </v:shape>
        </w:pict>
      </w:r>
      <w:r>
        <w:rPr/>
        <w:pict>
          <v:group style="position:absolute;margin-left:37.417301pt;margin-top:14.14727pt;width:.1pt;height:.1pt;mso-position-horizontal-relative:page;mso-position-vertical-relative:paragraph;z-index:-6736" coordorigin="748,283" coordsize="2,2">
            <v:shape style="position:absolute;left:748;top:283;width:2;height:2" coordorigin="748,283" coordsize="0,0" path="m748,283l748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590302pt;margin-top:14.14727pt;width:.1pt;height:.1pt;mso-position-horizontal-relative:page;mso-position-vertical-relative:paragraph;z-index:1144" coordorigin="3192,283" coordsize="2,2">
            <v:shape style="position:absolute;left:3192;top:283;width:2;height:2" coordorigin="3192,283" coordsize="0,0" path="m3192,283l3192,28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37.417301pt;margin-top:25.64727pt;width:.1pt;height:.1pt;mso-position-horizontal-relative:page;mso-position-vertical-relative:paragraph;z-index:-6688" coordorigin="748,513" coordsize="2,2">
            <v:shape style="position:absolute;left:748;top:513;width:2;height:2" coordorigin="748,513" coordsize="0,0" path="m748,513l748,513e" filled="false" stroked="true" strokeweight=".425pt" strokecolor="#231f20">
              <v:path arrowok="t"/>
            </v:shape>
            <w10:wrap type="none"/>
          </v:group>
        </w:pict>
      </w:r>
      <w:r>
        <w:rPr/>
        <w:pict>
          <v:group style="position:absolute;margin-left:159.590302pt;margin-top:25.64727pt;width:.1pt;height:.1pt;mso-position-horizontal-relative:page;mso-position-vertical-relative:paragraph;z-index:1192" coordorigin="3192,513" coordsize="2,2">
            <v:shape style="position:absolute;left:3192;top:513;width:2;height:2" coordorigin="3192,513" coordsize="0,0" path="m3192,513l3192,513e" filled="false" stroked="true" strokeweight=".425pt" strokecolor="#231f20">
              <v:path arrowok="t"/>
            </v:shape>
            <w10:wrap type="none"/>
          </v:group>
        </w:pict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Kategorie</w:t>
      </w:r>
      <w:r>
        <w:rPr>
          <w:rFonts w:ascii="Theinhardt Black" w:hAnsi="Theinhardt Black"/>
          <w:b/>
          <w:color w:val="231F20"/>
          <w:spacing w:val="-1"/>
          <w:sz w:val="18"/>
          <w:u w:val="dotted" w:color="231F20"/>
        </w:rPr>
        <w:t> 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B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5"/>
          <w:sz w:val="18"/>
        </w:rPr>
        <w:t> </w:t>
      </w:r>
      <w:r>
        <w:rPr>
          <w:rFonts w:ascii="Theinhardt Black" w:hAnsi="Theinhardt Black"/>
          <w:b/>
          <w:color w:val="231F20"/>
          <w:spacing w:val="1"/>
          <w:sz w:val="18"/>
          <w:u w:val="dotted" w:color="231F20"/>
        </w:rPr>
        <w:t>PlusEnergieBauten</w:t>
      </w:r>
      <w:r>
        <w:rPr>
          <w:rFonts w:ascii="Theinhardt Black" w:hAnsi="Theinhardt Black"/>
          <w:b/>
          <w:color w:val="231F20"/>
          <w:sz w:val="18"/>
          <w:u w:val="dotted" w:color="231F20"/>
        </w:rPr>
        <w:t> </w:t>
        <w:tab/>
      </w:r>
      <w:r>
        <w:rPr>
          <w:rFonts w:ascii="Theinhardt Black" w:hAnsi="Theinhardt Black"/>
          <w:b/>
          <w:color w:val="231F20"/>
          <w:sz w:val="18"/>
        </w:rPr>
      </w:r>
      <w:r>
        <w:rPr>
          <w:rFonts w:ascii="Theinhardt Black" w:hAnsi="Theinhardt Black"/>
          <w:b/>
          <w:color w:val="231F20"/>
          <w:spacing w:val="22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-1"/>
          <w:sz w:val="18"/>
        </w:rPr>
        <w:t>-Solarpreis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38"/>
        <w:ind w:left="117" w:right="103" w:firstLine="0"/>
        <w:jc w:val="both"/>
        <w:rPr>
          <w:rFonts w:ascii="Theinhardt Bold" w:hAnsi="Theinhardt Bold" w:cs="Theinhardt Bold" w:eastAsia="Theinhardt Bold"/>
          <w:sz w:val="18"/>
          <w:szCs w:val="18"/>
        </w:rPr>
      </w:pPr>
      <w:r>
        <w:rPr/>
        <w:br w:type="column"/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Energiepark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Gams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zeichnet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sich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durch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perfekt</w:t>
      </w:r>
      <w:r>
        <w:rPr>
          <w:rFonts w:ascii="Theinhardt Bold" w:hAnsi="Theinhardt Bold" w:cs="Theinhardt Bold" w:eastAsia="Theinhardt Bold"/>
          <w:b/>
          <w:bCs/>
          <w:color w:val="231F20"/>
          <w:spacing w:val="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Dach-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2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Fassadenflächen</w:t>
      </w:r>
      <w:r>
        <w:rPr>
          <w:rFonts w:ascii="Theinhardt Bold" w:hAnsi="Theinhardt Bold" w:cs="Theinhardt Bold" w:eastAsia="Theinhardt Bold"/>
          <w:b/>
          <w:bCs/>
          <w:color w:val="231F20"/>
          <w:spacing w:val="8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integrierte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447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starke,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monokristalline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PV-Anlage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aus.</w:t>
      </w:r>
      <w:r>
        <w:rPr>
          <w:rFonts w:ascii="Theinhardt Bold" w:hAnsi="Theinhardt Bold" w:cs="Theinhardt Bold" w:eastAsia="Theinhardt Bold"/>
          <w:b/>
          <w:bCs/>
          <w:color w:val="231F20"/>
          <w:spacing w:val="-19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Sie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erzeugt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424’500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-1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deckt</w:t>
      </w:r>
      <w:r>
        <w:rPr>
          <w:rFonts w:ascii="Theinhardt Bold" w:hAnsi="Theinhardt Bold" w:cs="Theinhardt Bold" w:eastAsia="Theinhardt Bold"/>
          <w:b/>
          <w:bCs/>
          <w:color w:val="231F20"/>
          <w:spacing w:val="70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Gesamtenergiebedarf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76’300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dank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Eigenenergieversorgung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557%</w:t>
      </w:r>
      <w:r>
        <w:rPr>
          <w:rFonts w:ascii="Theinhardt Bold" w:hAnsi="Theinhardt Bold" w:cs="Theinhardt Bold" w:eastAsia="Theinhardt Bold"/>
          <w:b/>
          <w:bCs/>
          <w:color w:val="231F20"/>
          <w:spacing w:val="5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mehrfach. Beheizt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wird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dieses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Büro-, 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Lager-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Produktionsgebäude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mit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</w:t>
      </w:r>
      <w:r>
        <w:rPr>
          <w:rFonts w:ascii="Theinhardt Bold" w:hAnsi="Theinhardt Bold" w:cs="Theinhardt Bold" w:eastAsia="Theinhardt Bold"/>
          <w:b/>
          <w:bCs/>
          <w:color w:val="231F20"/>
          <w:spacing w:val="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solarbetriebe-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nen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Wärmepumpe.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gute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Wanddämmung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und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moderne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LED</w:t>
      </w:r>
      <w:r>
        <w:rPr>
          <w:rFonts w:ascii="Theinhardt Bold" w:hAnsi="Theinhardt Bold" w:cs="Theinhardt Bold" w:eastAsia="Theinhardt Bold"/>
          <w:b/>
          <w:bCs/>
          <w:color w:val="231F20"/>
          <w:spacing w:val="-6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2"/>
          <w:sz w:val="18"/>
          <w:szCs w:val="18"/>
        </w:rPr>
        <w:t>Technologie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minimieren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63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Energieverbrauch.</w:t>
      </w:r>
      <w:r>
        <w:rPr>
          <w:rFonts w:ascii="Theinhardt Bold" w:hAnsi="Theinhardt Bold" w:cs="Theinhardt Bold" w:eastAsia="Theinhardt Bold"/>
          <w:b/>
          <w:bCs/>
          <w:color w:val="231F20"/>
          <w:spacing w:val="-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12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Firmen nutzen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den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Gewerbebau mit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einer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Energiebezugsfläche</w:t>
      </w: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(EBF)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 von</w:t>
      </w:r>
      <w:r>
        <w:rPr>
          <w:rFonts w:ascii="Theinhardt Bold" w:hAnsi="Theinhardt Bold" w:cs="Theinhardt Bold" w:eastAsia="Theinhardt Bold"/>
          <w:b/>
          <w:bCs/>
          <w:color w:val="231F20"/>
          <w:spacing w:val="88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3’140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m</w:t>
      </w:r>
      <w:r>
        <w:rPr>
          <w:rFonts w:ascii="Theinhardt Bold" w:hAnsi="Theinhardt Bold" w:cs="Theinhardt Bold" w:eastAsia="Theinhardt Bold"/>
          <w:b/>
          <w:bCs/>
          <w:color w:val="231F20"/>
          <w:position w:val="6"/>
          <w:sz w:val="10"/>
          <w:szCs w:val="10"/>
        </w:rPr>
        <w:t>2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.</w:t>
      </w:r>
      <w:r>
        <w:rPr>
          <w:rFonts w:ascii="Theinhardt Bold" w:hAnsi="Theinhardt Bold" w:cs="Theinhardt Bold" w:eastAsia="Theinhardt Bold"/>
          <w:b/>
          <w:bCs/>
          <w:color w:val="231F20"/>
          <w:spacing w:val="14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Solarstrom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dient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Eigenverbrauchsgemeinschaft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zu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über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90%</w:t>
      </w:r>
      <w:r>
        <w:rPr>
          <w:rFonts w:ascii="Theinhardt Bold" w:hAnsi="Theinhardt Bold" w:cs="Theinhardt Bold" w:eastAsia="Theinhardt Bold"/>
          <w:b/>
          <w:bCs/>
          <w:color w:val="231F20"/>
          <w:spacing w:val="2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während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101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Hochtarifzeit!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Der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PlusEnergieBau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8"/>
          <w:szCs w:val="18"/>
        </w:rPr>
        <w:t>weist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einen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Stromüberschuss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von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348’200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oder</w:t>
      </w:r>
      <w:r>
        <w:rPr>
          <w:rFonts w:ascii="Theinhardt Bold" w:hAnsi="Theinhardt Bold" w:cs="Theinhardt Bold" w:eastAsia="Theinhardt Bold"/>
          <w:b/>
          <w:bCs/>
          <w:color w:val="231F20"/>
          <w:spacing w:val="7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8"/>
          <w:szCs w:val="18"/>
        </w:rPr>
        <w:t>457%</w:t>
      </w:r>
      <w:r>
        <w:rPr>
          <w:rFonts w:ascii="Theinhardt Bold" w:hAnsi="Theinhardt Bold" w:cs="Theinhardt Bold" w:eastAsia="Theinhardt Bold"/>
          <w:b/>
          <w:bCs/>
          <w:color w:val="231F20"/>
          <w:spacing w:val="42"/>
          <w:sz w:val="18"/>
          <w:szCs w:val="18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3"/>
          <w:sz w:val="18"/>
          <w:szCs w:val="18"/>
        </w:rPr>
        <w:t>auf.</w:t>
      </w:r>
      <w:r>
        <w:rPr>
          <w:rFonts w:ascii="Theinhardt Bold" w:hAnsi="Theinhardt Bold" w:cs="Theinhardt Bold" w:eastAsia="Theinhardt Bold"/>
          <w:sz w:val="18"/>
          <w:szCs w:val="18"/>
        </w:rPr>
      </w:r>
    </w:p>
    <w:p>
      <w:pPr>
        <w:spacing w:after="0" w:line="230" w:lineRule="exact"/>
        <w:jc w:val="both"/>
        <w:rPr>
          <w:rFonts w:ascii="Theinhardt Bold" w:hAnsi="Theinhardt Bold" w:cs="Theinhardt Bold" w:eastAsia="Theinhardt Bold"/>
          <w:sz w:val="18"/>
          <w:szCs w:val="18"/>
        </w:rPr>
        <w:sectPr>
          <w:type w:val="continuous"/>
          <w:pgSz w:w="12250" w:h="17180"/>
          <w:pgMar w:top="1000" w:bottom="280" w:left="620" w:right="900"/>
          <w:cols w:num="2" w:equalWidth="0">
            <w:col w:w="2564" w:space="115"/>
            <w:col w:w="8051"/>
          </w:cols>
        </w:sect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6"/>
          <w:szCs w:val="26"/>
        </w:rPr>
      </w:pPr>
    </w:p>
    <w:p>
      <w:pPr>
        <w:spacing w:before="5"/>
        <w:ind w:left="117" w:right="0" w:firstLine="0"/>
        <w:jc w:val="left"/>
        <w:rPr>
          <w:rFonts w:ascii="Theinhardt Black" w:hAnsi="Theinhardt Black" w:cs="Theinhardt Black" w:eastAsia="Theinhardt Black"/>
          <w:sz w:val="40"/>
          <w:szCs w:val="40"/>
        </w:rPr>
      </w:pPr>
      <w:r>
        <w:rPr>
          <w:rFonts w:ascii="Theinhardt Black"/>
          <w:b/>
          <w:color w:val="0067B1"/>
          <w:spacing w:val="-1"/>
          <w:sz w:val="40"/>
        </w:rPr>
        <w:t>557%-PlusEnergie-Gewerbebau,</w:t>
      </w:r>
      <w:r>
        <w:rPr>
          <w:rFonts w:ascii="Theinhardt Black"/>
          <w:b/>
          <w:color w:val="0067B1"/>
          <w:spacing w:val="-32"/>
          <w:sz w:val="40"/>
        </w:rPr>
        <w:t> </w:t>
      </w:r>
      <w:r>
        <w:rPr>
          <w:rFonts w:ascii="Theinhardt Black"/>
          <w:b/>
          <w:color w:val="0067B1"/>
          <w:spacing w:val="-3"/>
          <w:sz w:val="40"/>
        </w:rPr>
        <w:t>9473</w:t>
      </w:r>
      <w:r>
        <w:rPr>
          <w:rFonts w:ascii="Theinhardt Black"/>
          <w:b/>
          <w:color w:val="0067B1"/>
          <w:spacing w:val="-8"/>
          <w:sz w:val="40"/>
        </w:rPr>
        <w:t> </w:t>
      </w:r>
      <w:r>
        <w:rPr>
          <w:rFonts w:ascii="Theinhardt Black"/>
          <w:b/>
          <w:color w:val="0067B1"/>
          <w:sz w:val="40"/>
        </w:rPr>
        <w:t>Gams/SG</w:t>
      </w:r>
      <w:r>
        <w:rPr>
          <w:rFonts w:ascii="Theinhardt Black"/>
          <w:sz w:val="40"/>
        </w:rPr>
      </w:r>
    </w:p>
    <w:p>
      <w:pPr>
        <w:spacing w:line="240" w:lineRule="auto" w:before="11"/>
        <w:rPr>
          <w:rFonts w:ascii="Theinhardt Black" w:hAnsi="Theinhardt Black" w:cs="Theinhardt Black" w:eastAsia="Theinhardt Black"/>
          <w:b/>
          <w:bCs/>
          <w:sz w:val="23"/>
          <w:szCs w:val="23"/>
        </w:rPr>
      </w:pPr>
    </w:p>
    <w:p>
      <w:pPr>
        <w:spacing w:after="0" w:line="240" w:lineRule="auto"/>
        <w:rPr>
          <w:rFonts w:ascii="Theinhardt Black" w:hAnsi="Theinhardt Black" w:cs="Theinhardt Black" w:eastAsia="Theinhardt Black"/>
          <w:sz w:val="23"/>
          <w:szCs w:val="23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pStyle w:val="Heading1"/>
        <w:spacing w:line="230" w:lineRule="exact" w:before="52"/>
        <w:ind w:right="8" w:firstLine="0"/>
        <w:jc w:val="both"/>
      </w:pPr>
      <w:r>
        <w:rPr>
          <w:color w:val="231F20"/>
          <w:spacing w:val="-1"/>
        </w:rPr>
        <w:t>Die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PV-Dach-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PV-Fassadenanlagen</w:t>
      </w:r>
      <w:r>
        <w:rPr>
          <w:color w:val="231F20"/>
          <w:spacing w:val="-6"/>
        </w:rPr>
        <w:t> </w:t>
      </w:r>
      <w:r>
        <w:rPr>
          <w:color w:val="231F20"/>
        </w:rPr>
        <w:t>des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Energieparks</w:t>
      </w:r>
      <w:r>
        <w:rPr>
          <w:color w:val="231F20"/>
          <w:spacing w:val="48"/>
        </w:rPr>
        <w:t> </w:t>
      </w:r>
      <w:r>
        <w:rPr>
          <w:color w:val="231F20"/>
        </w:rPr>
        <w:t>in </w:t>
      </w:r>
      <w:r>
        <w:rPr>
          <w:color w:val="231F20"/>
          <w:spacing w:val="1"/>
        </w:rPr>
        <w:t>Gams/SG</w:t>
      </w:r>
      <w:r>
        <w:rPr>
          <w:color w:val="231F20"/>
        </w:rPr>
        <w:t> </w:t>
      </w:r>
      <w:r>
        <w:rPr>
          <w:color w:val="231F20"/>
          <w:spacing w:val="-1"/>
        </w:rPr>
        <w:t>liefern</w:t>
      </w:r>
      <w:r>
        <w:rPr>
          <w:color w:val="231F20"/>
        </w:rPr>
        <w:t> </w:t>
      </w:r>
      <w:r>
        <w:rPr>
          <w:color w:val="231F20"/>
          <w:spacing w:val="-1"/>
        </w:rPr>
        <w:t>zusam-</w:t>
      </w:r>
      <w:r>
        <w:rPr>
          <w:color w:val="231F20"/>
          <w:spacing w:val="38"/>
        </w:rPr>
        <w:t> </w:t>
      </w:r>
      <w:r>
        <w:rPr>
          <w:color w:val="231F20"/>
        </w:rPr>
        <w:t>men</w:t>
      </w:r>
      <w:r>
        <w:rPr>
          <w:color w:val="231F20"/>
          <w:spacing w:val="-5"/>
        </w:rPr>
        <w:t> </w:t>
      </w:r>
      <w:r>
        <w:rPr>
          <w:color w:val="231F20"/>
        </w:rPr>
        <w:t>424’500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kWh/a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genug</w:t>
      </w:r>
      <w:r>
        <w:rPr>
          <w:color w:val="231F20"/>
          <w:spacing w:val="-5"/>
        </w:rPr>
        <w:t> </w:t>
      </w:r>
      <w:r>
        <w:rPr>
          <w:color w:val="231F20"/>
        </w:rPr>
        <w:t>Sonnenener-</w:t>
      </w:r>
      <w:r>
        <w:rPr>
          <w:color w:val="231F20"/>
          <w:spacing w:val="25"/>
        </w:rPr>
        <w:t> </w:t>
      </w:r>
      <w:r>
        <w:rPr>
          <w:color w:val="231F20"/>
        </w:rPr>
        <w:t>gie</w:t>
      </w:r>
      <w:r>
        <w:rPr>
          <w:color w:val="231F20"/>
          <w:spacing w:val="4"/>
        </w:rPr>
        <w:t> </w:t>
      </w:r>
      <w:r>
        <w:rPr>
          <w:color w:val="231F20"/>
        </w:rPr>
        <w:t>um</w:t>
      </w:r>
      <w:r>
        <w:rPr>
          <w:color w:val="231F20"/>
          <w:spacing w:val="4"/>
        </w:rPr>
        <w:t> </w:t>
      </w:r>
      <w:r>
        <w:rPr>
          <w:color w:val="231F20"/>
        </w:rPr>
        <w:t>den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gesamten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Energiebedarf</w:t>
      </w:r>
      <w:r>
        <w:rPr>
          <w:color w:val="231F20"/>
          <w:spacing w:val="4"/>
        </w:rPr>
        <w:t> </w:t>
      </w:r>
      <w:r>
        <w:rPr>
          <w:color w:val="231F20"/>
        </w:rPr>
        <w:t>für</w:t>
      </w:r>
      <w:r>
        <w:rPr>
          <w:color w:val="231F20"/>
          <w:spacing w:val="37"/>
        </w:rPr>
        <w:t> </w:t>
      </w:r>
      <w:r>
        <w:rPr>
          <w:color w:val="231F20"/>
        </w:rPr>
        <w:t>Heizung,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Warmwasser</w:t>
      </w:r>
      <w:r>
        <w:rPr>
          <w:color w:val="231F20"/>
          <w:spacing w:val="3"/>
        </w:rPr>
        <w:t> </w:t>
      </w:r>
      <w:r>
        <w:rPr>
          <w:color w:val="231F20"/>
        </w:rPr>
        <w:t>und</w:t>
      </w:r>
      <w:r>
        <w:rPr>
          <w:color w:val="231F20"/>
          <w:spacing w:val="3"/>
        </w:rPr>
        <w:t> </w:t>
      </w:r>
      <w:r>
        <w:rPr>
          <w:color w:val="231F20"/>
        </w:rPr>
        <w:t>den</w:t>
      </w:r>
      <w:r>
        <w:rPr>
          <w:color w:val="231F20"/>
          <w:spacing w:val="3"/>
        </w:rPr>
        <w:t> </w:t>
      </w:r>
      <w:r>
        <w:rPr>
          <w:color w:val="231F20"/>
        </w:rPr>
        <w:t>Betriebs-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strombedarf</w:t>
      </w:r>
      <w:r>
        <w:rPr>
          <w:color w:val="231F20"/>
          <w:spacing w:val="9"/>
        </w:rPr>
        <w:t> </w:t>
      </w:r>
      <w:r>
        <w:rPr>
          <w:color w:val="231F20"/>
        </w:rPr>
        <w:t>inkl.</w:t>
      </w:r>
      <w:r>
        <w:rPr>
          <w:color w:val="231F20"/>
          <w:spacing w:val="-2"/>
        </w:rPr>
        <w:t> </w:t>
      </w:r>
      <w:r>
        <w:rPr>
          <w:color w:val="231F20"/>
        </w:rPr>
        <w:t>Beleuchtung</w:t>
      </w:r>
      <w:r>
        <w:rPr>
          <w:color w:val="231F20"/>
          <w:spacing w:val="9"/>
        </w:rPr>
        <w:t> </w:t>
      </w:r>
      <w:r>
        <w:rPr>
          <w:color w:val="231F20"/>
        </w:rPr>
        <w:t>und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Elektro-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fahrzeuge</w:t>
      </w:r>
      <w:r>
        <w:rPr>
          <w:color w:val="231F20"/>
          <w:spacing w:val="-2"/>
        </w:rPr>
        <w:t> </w:t>
      </w:r>
      <w:r>
        <w:rPr>
          <w:color w:val="231F20"/>
        </w:rPr>
        <w:t>zu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decken.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Die</w:t>
      </w:r>
      <w:r>
        <w:rPr>
          <w:color w:val="231F20"/>
          <w:spacing w:val="-2"/>
        </w:rPr>
        <w:t> </w:t>
      </w:r>
      <w:r>
        <w:rPr>
          <w:color w:val="231F20"/>
        </w:rPr>
        <w:t>ganzflächig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integ-</w:t>
      </w:r>
      <w:r>
        <w:rPr>
          <w:color w:val="231F20"/>
          <w:spacing w:val="36"/>
        </w:rPr>
        <w:t> </w:t>
      </w:r>
      <w:r>
        <w:rPr>
          <w:color w:val="231F20"/>
        </w:rPr>
        <w:t>rierte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PV-Südfassade</w:t>
      </w:r>
      <w:r>
        <w:rPr>
          <w:color w:val="231F20"/>
          <w:spacing w:val="41"/>
        </w:rPr>
        <w:t> </w:t>
      </w:r>
      <w:r>
        <w:rPr>
          <w:color w:val="231F20"/>
        </w:rPr>
        <w:t>ist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energieeffizient</w:t>
      </w:r>
      <w:r>
        <w:rPr>
          <w:color w:val="231F20"/>
          <w:spacing w:val="36"/>
        </w:rPr>
        <w:t> </w:t>
      </w:r>
      <w:r>
        <w:rPr>
          <w:color w:val="231F20"/>
        </w:rPr>
        <w:t>und </w:t>
      </w:r>
      <w:r>
        <w:rPr>
          <w:color w:val="231F20"/>
          <w:spacing w:val="-1"/>
        </w:rPr>
        <w:t>ästhetisch</w:t>
      </w:r>
      <w:r>
        <w:rPr>
          <w:color w:val="231F20"/>
        </w:rPr>
        <w:t> </w:t>
      </w:r>
      <w:r>
        <w:rPr>
          <w:color w:val="231F20"/>
          <w:spacing w:val="-1"/>
        </w:rPr>
        <w:t>sehr</w:t>
      </w:r>
      <w:r>
        <w:rPr>
          <w:color w:val="231F20"/>
        </w:rPr>
        <w:t> </w:t>
      </w:r>
      <w:r>
        <w:rPr>
          <w:color w:val="231F20"/>
          <w:spacing w:val="-1"/>
        </w:rPr>
        <w:t>ansprechend.</w:t>
      </w:r>
      <w:r>
        <w:rPr/>
      </w:r>
    </w:p>
    <w:p>
      <w:pPr>
        <w:spacing w:line="230" w:lineRule="exact" w:before="0"/>
        <w:ind w:left="117" w:right="0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/>
          <w:color w:val="231F20"/>
          <w:spacing w:val="1"/>
          <w:sz w:val="18"/>
        </w:rPr>
        <w:t>Das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LED-Beleuchtungssystem</w:t>
      </w:r>
      <w:r>
        <w:rPr>
          <w:rFonts w:ascii="Theinhardt Regular" w:hAnsi="Theinhardt Regular"/>
          <w:color w:val="231F20"/>
          <w:spacing w:val="-9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entspricht</w:t>
      </w:r>
      <w:r>
        <w:rPr>
          <w:rFonts w:ascii="Theinhardt Regular" w:hAnsi="Theinhardt Regular"/>
          <w:color w:val="231F20"/>
          <w:spacing w:val="5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neuesten</w:t>
      </w:r>
      <w:r>
        <w:rPr>
          <w:rFonts w:ascii="Theinhardt Regular" w:hAnsi="Theinhardt Regular"/>
          <w:color w:val="231F20"/>
          <w:spacing w:val="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Industrielichtgeneration.</w:t>
      </w:r>
      <w:r>
        <w:rPr>
          <w:rFonts w:ascii="Theinhardt Regular" w:hAnsi="Theinhardt Regular"/>
          <w:color w:val="231F20"/>
          <w:spacing w:val="-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Jede</w:t>
      </w:r>
      <w:r>
        <w:rPr>
          <w:rFonts w:ascii="Theinhardt Regular" w:hAnsi="Theinhardt Regular"/>
          <w:color w:val="231F20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Leuchte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ist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mit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einem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Sensor</w:t>
      </w:r>
      <w:r>
        <w:rPr>
          <w:rFonts w:ascii="Theinhardt Regular" w:hAnsi="Theinhardt Regular"/>
          <w:color w:val="231F20"/>
          <w:spacing w:val="2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ausgerüstet,</w:t>
      </w:r>
      <w:r>
        <w:rPr>
          <w:rFonts w:ascii="Theinhardt Regular" w:hAnsi="Theinhardt Regular"/>
          <w:color w:val="231F20"/>
          <w:spacing w:val="28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der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Bewegungen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3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das</w:t>
      </w:r>
      <w:r>
        <w:rPr>
          <w:rFonts w:ascii="Theinhardt Regular" w:hAnsi="Theinhardt Regular"/>
          <w:color w:val="231F20"/>
          <w:spacing w:val="36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Tageslicht</w:t>
      </w:r>
      <w:r>
        <w:rPr>
          <w:rFonts w:ascii="Theinhardt Regular" w:hAnsi="Theinhardt Regular"/>
          <w:color w:val="231F20"/>
          <w:spacing w:val="30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misst.</w:t>
      </w:r>
      <w:r>
        <w:rPr>
          <w:rFonts w:ascii="Theinhardt Regular" w:hAnsi="Theinhardt Regular"/>
          <w:color w:val="231F20"/>
          <w:spacing w:val="1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Automatisch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schalten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sich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die</w:t>
      </w:r>
      <w:r>
        <w:rPr>
          <w:rFonts w:ascii="Theinhardt Regular" w:hAnsi="Theinhardt Regular"/>
          <w:color w:val="231F20"/>
          <w:spacing w:val="2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Lam-</w:t>
      </w:r>
      <w:r>
        <w:rPr>
          <w:rFonts w:ascii="Theinhardt Regular" w:hAnsi="Theinhardt Regular"/>
          <w:color w:val="231F20"/>
          <w:spacing w:val="46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pen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an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und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aus.</w:t>
      </w:r>
      <w:r>
        <w:rPr>
          <w:rFonts w:ascii="Theinhardt Regular" w:hAnsi="Theinhardt Regular"/>
          <w:color w:val="231F20"/>
          <w:spacing w:val="-15"/>
          <w:sz w:val="18"/>
        </w:rPr>
        <w:t> </w:t>
      </w:r>
      <w:r>
        <w:rPr>
          <w:rFonts w:ascii="Theinhardt Regular" w:hAnsi="Theinhardt Regular"/>
          <w:color w:val="231F20"/>
          <w:sz w:val="18"/>
        </w:rPr>
        <w:t>Sie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passen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pacing w:val="-2"/>
          <w:sz w:val="18"/>
        </w:rPr>
        <w:t>ihre</w:t>
      </w:r>
      <w:r>
        <w:rPr>
          <w:rFonts w:ascii="Theinhardt Regular" w:hAnsi="Theinhardt Regular"/>
          <w:color w:val="231F20"/>
          <w:spacing w:val="-4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Leuchtkraft</w:t>
      </w:r>
      <w:r>
        <w:rPr>
          <w:rFonts w:ascii="Theinhardt Regular" w:hAnsi="Theinhardt Regular"/>
          <w:color w:val="231F20"/>
          <w:spacing w:val="33"/>
          <w:sz w:val="18"/>
        </w:rPr>
        <w:t> </w:t>
      </w:r>
      <w:r>
        <w:rPr>
          <w:rFonts w:ascii="Theinhardt Regular" w:hAnsi="Theinhardt Regular"/>
          <w:color w:val="231F20"/>
          <w:spacing w:val="-1"/>
          <w:sz w:val="18"/>
        </w:rPr>
        <w:t>an.</w:t>
      </w:r>
      <w:r>
        <w:rPr>
          <w:rFonts w:ascii="Theinhardt Regular" w:hAnsi="Theinhardt Regular"/>
          <w:sz w:val="18"/>
        </w:rPr>
      </w:r>
    </w:p>
    <w:p>
      <w:pPr>
        <w:spacing w:line="230" w:lineRule="exact" w:before="0"/>
        <w:ind w:left="117" w:right="8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4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solarbetriebenen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Wärmepumpen</w:t>
      </w:r>
      <w:r>
        <w:rPr>
          <w:rFonts w:ascii="Theinhardt Regular" w:hAnsi="Theinhardt Regular" w:cs="Theinhardt Regular" w:eastAsia="Theinhardt Regular"/>
          <w:color w:val="231F20"/>
          <w:spacing w:val="3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passen</w:t>
      </w:r>
      <w:r>
        <w:rPr>
          <w:rFonts w:ascii="Theinhardt Regular" w:hAnsi="Theinhardt Regular" w:cs="Theinhardt Regular" w:eastAsia="Theinhardt Regular"/>
          <w:color w:val="231F20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in</w:t>
      </w:r>
      <w:r>
        <w:rPr>
          <w:rFonts w:ascii="Theinhardt Regular" w:hAnsi="Theinhardt Regular" w:cs="Theinhardt Regular" w:eastAsia="Theinhardt Regular"/>
          <w:color w:val="231F20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jedem</w:t>
      </w:r>
      <w:r>
        <w:rPr>
          <w:rFonts w:ascii="Theinhardt Regular" w:hAnsi="Theinhardt Regular" w:cs="Theinhardt Regular" w:eastAsia="Theinhardt Regular"/>
          <w:color w:val="231F20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Hallenteil</w:t>
      </w:r>
      <w:r>
        <w:rPr>
          <w:rFonts w:ascii="Theinhardt Regular" w:hAnsi="Theinhardt Regular" w:cs="Theinhardt Regular" w:eastAsia="Theinhardt Regular"/>
          <w:color w:val="231F20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den</w:t>
      </w:r>
      <w:r>
        <w:rPr>
          <w:rFonts w:ascii="Theinhardt Regular" w:hAnsi="Theinhardt Regular" w:cs="Theinhardt Regular" w:eastAsia="Theinhardt Regular"/>
          <w:color w:val="231F20"/>
          <w:spacing w:val="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Gesamt-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energiebedarf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an.</w:t>
      </w:r>
      <w:r>
        <w:rPr>
          <w:rFonts w:ascii="Theinhardt Regular" w:hAnsi="Theinhardt Regular" w:cs="Theinhardt Regular" w:eastAsia="Theinhardt Regular"/>
          <w:color w:val="231F20"/>
          <w:spacing w:val="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Wände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und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Bo-</w:t>
      </w:r>
      <w:r>
        <w:rPr>
          <w:rFonts w:ascii="Theinhardt Regular" w:hAnsi="Theinhardt Regular" w:cs="Theinhardt Regular" w:eastAsia="Theinhardt Regular"/>
          <w:color w:val="231F20"/>
          <w:spacing w:val="3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den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sind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gut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gedämmt;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etwas</w:t>
      </w:r>
      <w:r>
        <w:rPr>
          <w:rFonts w:ascii="Theinhardt Regular" w:hAnsi="Theinhardt Regular" w:cs="Theinhardt Regular" w:eastAsia="Theinhardt Regular"/>
          <w:color w:val="231F20"/>
          <w:spacing w:val="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stärkerer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8"/>
          <w:szCs w:val="18"/>
        </w:rPr>
        <w:t>D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ämm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ung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hä</w:t>
      </w:r>
      <w:r>
        <w:rPr>
          <w:rFonts w:ascii="Theinhardt Regular" w:hAnsi="Theinhardt Regular" w:cs="Theinhardt Regular" w:eastAsia="Theinhardt Regular"/>
          <w:color w:val="231F20"/>
          <w:spacing w:val="5"/>
          <w:sz w:val="18"/>
          <w:szCs w:val="18"/>
        </w:rPr>
        <w:t>t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te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auch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das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8"/>
          <w:szCs w:val="18"/>
        </w:rPr>
        <w:t>D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c</w:t>
      </w:r>
      <w:r>
        <w:rPr>
          <w:rFonts w:ascii="Theinhardt Regular" w:hAnsi="Theinhardt Regular" w:cs="Theinhardt Regular" w:eastAsia="Theinhardt Regular"/>
          <w:color w:val="231F20"/>
          <w:spacing w:val="9"/>
          <w:sz w:val="18"/>
          <w:szCs w:val="18"/>
        </w:rPr>
        <w:t>h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/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Estrich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bessere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U-Werte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erreicht.</w:t>
      </w:r>
      <w:r>
        <w:rPr>
          <w:rFonts w:ascii="Theinhardt Regular" w:hAnsi="Theinhardt Regular" w:cs="Theinhardt Regular" w:eastAsia="Theinhardt Regular"/>
          <w:color w:val="231F20"/>
          <w:spacing w:val="-1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Ausgezeichnet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ist</w:t>
      </w:r>
      <w:r>
        <w:rPr>
          <w:rFonts w:ascii="Theinhardt Regular" w:hAnsi="Theinhardt Regular" w:cs="Theinhardt Regular" w:eastAsia="Theinhardt Regular"/>
          <w:color w:val="231F20"/>
          <w:spacing w:val="5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die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PV-Fassadenstromerzeugung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mit 133</w:t>
      </w:r>
      <w:r>
        <w:rPr>
          <w:rFonts w:ascii="Theinhardt Regular" w:hAnsi="Theinhardt Regular" w:cs="Theinhardt Regular" w:eastAsia="Theinhardt Regular"/>
          <w:color w:val="231F20"/>
          <w:spacing w:val="2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6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a!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Gesamtenergiebedarf</w:t>
      </w:r>
      <w:r>
        <w:rPr>
          <w:rFonts w:ascii="Theinhardt Regular" w:hAnsi="Theinhardt Regular" w:cs="Theinhardt Regular" w:eastAsia="Theinhardt Regular"/>
          <w:color w:val="231F20"/>
          <w:spacing w:val="27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be-</w:t>
      </w:r>
      <w:r>
        <w:rPr>
          <w:rFonts w:ascii="Theinhardt Regular" w:hAnsi="Theinhardt Regular" w:cs="Theinhardt Regular" w:eastAsia="Theinhardt Regular"/>
          <w:color w:val="231F20"/>
          <w:spacing w:val="4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trägt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rund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76’200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kWh/a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bei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einer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Energie-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bezugsfläche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von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3’140</w:t>
      </w:r>
      <w:r>
        <w:rPr>
          <w:rFonts w:ascii="Theinhardt Regular" w:hAnsi="Theinhardt Regular" w:cs="Theinhardt Regular" w:eastAsia="Theinhardt Regular"/>
          <w:color w:val="231F20"/>
          <w:spacing w:val="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</w:t>
      </w:r>
      <w:r>
        <w:rPr>
          <w:rFonts w:ascii="Theinhardt Regular" w:hAnsi="Theinhardt Regular" w:cs="Theinhardt Regular" w:eastAsia="Theinhardt Regular"/>
          <w:color w:val="231F20"/>
          <w:position w:val="6"/>
          <w:sz w:val="10"/>
          <w:szCs w:val="10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spacing w:line="230" w:lineRule="exact" w:before="0"/>
        <w:ind w:left="117" w:right="8" w:firstLine="226"/>
        <w:jc w:val="both"/>
        <w:rPr>
          <w:rFonts w:ascii="Theinhardt Regular" w:hAnsi="Theinhardt Regular" w:cs="Theinhardt Regular" w:eastAsia="Theinhardt Regular"/>
          <w:sz w:val="18"/>
          <w:szCs w:val="18"/>
        </w:rPr>
      </w:pP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Dieser</w:t>
      </w:r>
      <w:r>
        <w:rPr>
          <w:rFonts w:ascii="Theinhardt Regular" w:hAnsi="Theinhardt Regular" w:cs="Theinhardt Regular" w:eastAsia="Theinhardt Regular"/>
          <w:color w:val="231F20"/>
          <w:spacing w:val="4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vorbildliche 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PlusEnergie-Gewer-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bebau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verfügt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über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</w:t>
      </w:r>
      <w:r>
        <w:rPr>
          <w:rFonts w:ascii="Theinhardt Regular" w:hAnsi="Theinhardt Regular" w:cs="Theinhardt Regular" w:eastAsia="Theinhardt Regular"/>
          <w:color w:val="231F20"/>
          <w:spacing w:val="34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Eigenenergiever-</w:t>
      </w:r>
      <w:r>
        <w:rPr>
          <w:rFonts w:ascii="Theinhardt Regular" w:hAnsi="Theinhardt Regular" w:cs="Theinhardt Regular" w:eastAsia="Theinhardt Regular"/>
          <w:color w:val="231F20"/>
          <w:spacing w:val="29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sorgung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557%</w:t>
      </w:r>
      <w:r>
        <w:rPr>
          <w:rFonts w:ascii="Theinhardt Regular" w:hAnsi="Theinhardt Regular" w:cs="Theinhardt Regular" w:eastAsia="Theinhardt Regular"/>
          <w:color w:val="231F20"/>
          <w:spacing w:val="25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mit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einem</w:t>
      </w:r>
      <w:r>
        <w:rPr>
          <w:rFonts w:ascii="Theinhardt Regular" w:hAnsi="Theinhardt Regular" w:cs="Theinhardt Regular" w:eastAsia="Theinhardt Regular"/>
          <w:color w:val="231F20"/>
          <w:spacing w:val="26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Stromüber-</w:t>
      </w:r>
      <w:r>
        <w:rPr>
          <w:rFonts w:ascii="Theinhardt Regular" w:hAnsi="Theinhardt Regular" w:cs="Theinhardt Regular" w:eastAsia="Theinhardt Regular"/>
          <w:color w:val="231F20"/>
          <w:spacing w:val="2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schuss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von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348’230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kWh/a.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Dafür</w:t>
      </w:r>
      <w:r>
        <w:rPr>
          <w:rFonts w:ascii="Theinhardt Regular" w:hAnsi="Theinhardt Regular" w:cs="Theinhardt Regular" w:eastAsia="Theinhardt Regular"/>
          <w:color w:val="231F20"/>
          <w:spacing w:val="8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gewinnt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der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PlusEnergie-Gewerbebau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den</w:t>
      </w:r>
      <w:r>
        <w:rPr>
          <w:rFonts w:ascii="Theinhardt Regular" w:hAnsi="Theinhardt Regular" w:cs="Theinhardt Regular" w:eastAsia="Theinhardt Regular"/>
          <w:color w:val="231F20"/>
          <w:spacing w:val="13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8"/>
          <w:szCs w:val="18"/>
        </w:rPr>
        <w:t>PEB-So-</w:t>
      </w:r>
      <w:r>
        <w:rPr>
          <w:rFonts w:ascii="Theinhardt Regular" w:hAnsi="Theinhardt Regular" w:cs="Theinhardt Regular" w:eastAsia="Theinhardt Regular"/>
          <w:color w:val="231F20"/>
          <w:spacing w:val="21"/>
          <w:sz w:val="18"/>
          <w:szCs w:val="18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8"/>
          <w:szCs w:val="18"/>
        </w:rPr>
        <w:t>larpreis</w:t>
      </w:r>
      <w:r>
        <w:rPr>
          <w:rFonts w:ascii="Theinhardt Regular" w:hAnsi="Theinhardt Regular" w:cs="Theinhardt Regular" w:eastAsia="Theinhardt Regular"/>
          <w:color w:val="231F20"/>
          <w:sz w:val="18"/>
          <w:szCs w:val="18"/>
        </w:rPr>
        <w:t> 2018.</w:t>
      </w:r>
      <w:r>
        <w:rPr>
          <w:rFonts w:ascii="Theinhardt Regular" w:hAnsi="Theinhardt Regular" w:cs="Theinhardt Regular" w:eastAsia="Theinhardt Regular"/>
          <w:sz w:val="18"/>
          <w:szCs w:val="18"/>
        </w:rPr>
      </w:r>
    </w:p>
    <w:p>
      <w:pPr>
        <w:pStyle w:val="BodyText"/>
        <w:spacing w:line="230" w:lineRule="exact" w:before="52"/>
        <w:ind w:right="0" w:firstLine="0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2"/>
        </w:rPr>
        <w:t>Avec 424’500 </w:t>
      </w:r>
      <w:r>
        <w:rPr>
          <w:color w:val="231F20"/>
          <w:spacing w:val="-4"/>
        </w:rPr>
        <w:t>kWh/a,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l’installation </w:t>
      </w:r>
      <w:r>
        <w:rPr>
          <w:color w:val="231F20"/>
        </w:rPr>
        <w:t>PV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placée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sur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toit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27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façades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du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bâtiment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com-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mercial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Gams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(SG)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produit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assez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courant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solaire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pour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couvrir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besoins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énergie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du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Bâtiment</w:t>
      </w:r>
      <w:r>
        <w:rPr>
          <w:color w:val="231F20"/>
          <w:spacing w:val="24"/>
        </w:rPr>
        <w:t> </w:t>
      </w:r>
      <w:r>
        <w:rPr>
          <w:color w:val="231F20"/>
        </w:rPr>
        <w:t>à</w:t>
      </w:r>
      <w:r>
        <w:rPr>
          <w:color w:val="231F20"/>
          <w:spacing w:val="25"/>
        </w:rPr>
        <w:t> </w:t>
      </w:r>
      <w:r>
        <w:rPr>
          <w:color w:val="231F20"/>
          <w:spacing w:val="-3"/>
        </w:rPr>
        <w:t>Énergie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Positive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(BEP):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chauffa-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ge,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eau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chaude,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électricité,</w:t>
      </w:r>
      <w:r>
        <w:rPr>
          <w:color w:val="231F20"/>
          <w:spacing w:val="17"/>
        </w:rPr>
        <w:t> </w:t>
      </w:r>
      <w:r>
        <w:rPr>
          <w:color w:val="231F20"/>
        </w:rPr>
        <w:t>y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c.</w:t>
      </w:r>
      <w:r>
        <w:rPr>
          <w:color w:val="231F20"/>
          <w:spacing w:val="17"/>
        </w:rPr>
        <w:t> </w:t>
      </w:r>
      <w:r>
        <w:rPr>
          <w:color w:val="231F20"/>
          <w:spacing w:val="-3"/>
        </w:rPr>
        <w:t>éclairage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et</w:t>
      </w:r>
      <w:r>
        <w:rPr>
          <w:color w:val="231F20"/>
          <w:spacing w:val="29"/>
        </w:rPr>
        <w:t> </w:t>
      </w:r>
      <w:r>
        <w:rPr>
          <w:color w:val="231F20"/>
          <w:spacing w:val="-3"/>
        </w:rPr>
        <w:t>véhicules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électriques.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Bien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intégré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sur</w:t>
      </w:r>
      <w:r>
        <w:rPr>
          <w:color w:val="231F20"/>
          <w:spacing w:val="22"/>
        </w:rPr>
        <w:t> </w:t>
      </w:r>
      <w:r>
        <w:rPr>
          <w:color w:val="231F20"/>
          <w:spacing w:val="-3"/>
        </w:rPr>
        <w:t>toute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spacing w:val="-2"/>
        </w:rPr>
        <w:t>façade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sud,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41"/>
        </w:rPr>
        <w:t> </w:t>
      </w:r>
      <w:r>
        <w:rPr>
          <w:color w:val="231F20"/>
          <w:spacing w:val="-4"/>
        </w:rPr>
        <w:t>système</w:t>
      </w:r>
      <w:r>
        <w:rPr>
          <w:color w:val="231F20"/>
          <w:spacing w:val="41"/>
        </w:rPr>
        <w:t> </w:t>
      </w:r>
      <w:r>
        <w:rPr>
          <w:color w:val="231F20"/>
        </w:rPr>
        <w:t>PV</w:t>
      </w:r>
      <w:r>
        <w:rPr>
          <w:color w:val="231F20"/>
          <w:spacing w:val="40"/>
        </w:rPr>
        <w:t> </w:t>
      </w:r>
      <w:r>
        <w:rPr>
          <w:color w:val="231F20"/>
          <w:spacing w:val="-4"/>
        </w:rPr>
        <w:t>rend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celle-ci</w:t>
      </w:r>
      <w:r>
        <w:rPr>
          <w:color w:val="231F20"/>
          <w:spacing w:val="29"/>
        </w:rPr>
        <w:t> </w:t>
      </w:r>
      <w:r>
        <w:rPr>
          <w:color w:val="231F20"/>
          <w:spacing w:val="-4"/>
        </w:rPr>
        <w:t>énergétiquement</w:t>
      </w:r>
      <w:r>
        <w:rPr>
          <w:color w:val="231F20"/>
          <w:spacing w:val="24"/>
        </w:rPr>
        <w:t> </w:t>
      </w:r>
      <w:r>
        <w:rPr>
          <w:color w:val="231F20"/>
          <w:spacing w:val="-2"/>
        </w:rPr>
        <w:t>efficace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25"/>
        </w:rPr>
        <w:t> </w:t>
      </w:r>
      <w:r>
        <w:rPr>
          <w:color w:val="231F20"/>
          <w:spacing w:val="-4"/>
        </w:rPr>
        <w:t>esthétiquement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attrayante.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  <w:spacing w:val="-6"/>
        </w:rPr>
        <w:t>Le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système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LED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correspond</w:t>
      </w:r>
      <w:r>
        <w:rPr>
          <w:color w:val="231F20"/>
          <w:spacing w:val="-2"/>
        </w:rPr>
        <w:t> </w:t>
      </w:r>
      <w:r>
        <w:rPr>
          <w:color w:val="231F20"/>
        </w:rPr>
        <w:t>à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technolo-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gie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plus</w:t>
      </w:r>
      <w:r>
        <w:rPr>
          <w:color w:val="231F20"/>
          <w:spacing w:val="7"/>
        </w:rPr>
        <w:t> </w:t>
      </w:r>
      <w:r>
        <w:rPr>
          <w:color w:val="231F20"/>
          <w:spacing w:val="-4"/>
        </w:rPr>
        <w:t>récente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matière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d’éclairage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in-</w:t>
      </w:r>
      <w:r>
        <w:rPr>
          <w:color w:val="231F20"/>
          <w:spacing w:val="31"/>
        </w:rPr>
        <w:t> </w:t>
      </w:r>
      <w:r>
        <w:rPr>
          <w:color w:val="231F20"/>
          <w:spacing w:val="-2"/>
        </w:rPr>
        <w:t>dustriel.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Les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lampes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sont</w:t>
      </w:r>
      <w:r>
        <w:rPr>
          <w:color w:val="231F20"/>
          <w:spacing w:val="-4"/>
        </w:rPr>
        <w:t> dotées </w:t>
      </w:r>
      <w:r>
        <w:rPr>
          <w:color w:val="231F20"/>
          <w:spacing w:val="-2"/>
        </w:rPr>
        <w:t>d’un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capteur</w:t>
      </w:r>
      <w:r>
        <w:rPr>
          <w:color w:val="231F20"/>
          <w:spacing w:val="25"/>
        </w:rPr>
        <w:t> </w:t>
      </w:r>
      <w:r>
        <w:rPr>
          <w:color w:val="231F20"/>
          <w:spacing w:val="-2"/>
        </w:rPr>
        <w:t>qui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mesure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les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mouvements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9"/>
        </w:rPr>
        <w:t> </w:t>
      </w:r>
      <w:r>
        <w:rPr>
          <w:color w:val="231F20"/>
          <w:spacing w:val="-3"/>
        </w:rPr>
        <w:t>lumière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du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jour;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elles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s’allument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5"/>
        </w:rPr>
        <w:t> </w:t>
      </w:r>
      <w:r>
        <w:rPr>
          <w:color w:val="231F20"/>
          <w:spacing w:val="-4"/>
        </w:rPr>
        <w:t>s’éteignent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automati-</w:t>
      </w:r>
      <w:r>
        <w:rPr>
          <w:color w:val="231F20"/>
          <w:spacing w:val="41"/>
        </w:rPr>
        <w:t> </w:t>
      </w:r>
      <w:r>
        <w:rPr>
          <w:color w:val="231F20"/>
          <w:spacing w:val="-3"/>
        </w:rPr>
        <w:t>quement,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ajustant ainsi </w:t>
      </w:r>
      <w:r>
        <w:rPr>
          <w:color w:val="231F20"/>
          <w:spacing w:val="-1"/>
        </w:rPr>
        <w:t>la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puissance</w:t>
      </w:r>
      <w:r>
        <w:rPr>
          <w:color w:val="231F20"/>
          <w:spacing w:val="-2"/>
        </w:rPr>
        <w:t> lumineu-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aux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conditions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ambiantes.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  <w:spacing w:val="-5"/>
        </w:rPr>
        <w:t>Les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pompes</w:t>
      </w:r>
      <w:r>
        <w:rPr>
          <w:color w:val="231F20"/>
          <w:spacing w:val="12"/>
        </w:rPr>
        <w:t> </w:t>
      </w:r>
      <w:r>
        <w:rPr>
          <w:color w:val="231F20"/>
        </w:rPr>
        <w:t>à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chaleur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solaires</w:t>
      </w:r>
      <w:r>
        <w:rPr>
          <w:color w:val="231F20"/>
          <w:spacing w:val="12"/>
        </w:rPr>
        <w:t> </w:t>
      </w:r>
      <w:r>
        <w:rPr>
          <w:color w:val="231F20"/>
          <w:spacing w:val="-3"/>
        </w:rPr>
        <w:t>s’adaptent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aux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besoins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énergétiques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chaque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partie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du</w:t>
      </w:r>
      <w:r>
        <w:rPr>
          <w:color w:val="231F20"/>
          <w:spacing w:val="25"/>
        </w:rPr>
        <w:t> </w:t>
      </w:r>
      <w:r>
        <w:rPr>
          <w:color w:val="231F20"/>
          <w:spacing w:val="-9"/>
        </w:rPr>
        <w:t>BEP.</w:t>
      </w:r>
      <w:r>
        <w:rPr>
          <w:color w:val="231F20"/>
        </w:rPr>
        <w:t> </w:t>
      </w:r>
      <w:r>
        <w:rPr>
          <w:color w:val="231F20"/>
          <w:spacing w:val="-5"/>
        </w:rPr>
        <w:t>Les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murs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sol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sont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bien</w:t>
      </w:r>
      <w:r>
        <w:rPr>
          <w:color w:val="231F20"/>
          <w:spacing w:val="7"/>
        </w:rPr>
        <w:t> </w:t>
      </w:r>
      <w:r>
        <w:rPr>
          <w:color w:val="231F20"/>
          <w:spacing w:val="-2"/>
        </w:rPr>
        <w:t>isolés;</w:t>
      </w:r>
      <w:r>
        <w:rPr>
          <w:color w:val="231F20"/>
          <w:spacing w:val="7"/>
        </w:rPr>
        <w:t> </w:t>
      </w:r>
      <w:r>
        <w:rPr>
          <w:color w:val="231F20"/>
          <w:spacing w:val="-3"/>
        </w:rPr>
        <w:t>une</w:t>
      </w:r>
      <w:r>
        <w:rPr>
          <w:color w:val="231F20"/>
          <w:spacing w:val="23"/>
        </w:rPr>
        <w:t> </w:t>
      </w:r>
      <w:r>
        <w:rPr>
          <w:color w:val="231F20"/>
          <w:spacing w:val="-2"/>
        </w:rPr>
        <w:t>isolation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peu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plus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épaisse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sur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toit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chape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aurait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permis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garantir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-4"/>
        </w:rPr>
        <w:t> meilleures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valeurs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U.</w:t>
      </w:r>
      <w:r>
        <w:rPr>
          <w:color w:val="231F20"/>
          <w:spacing w:val="6"/>
        </w:rPr>
        <w:t> </w:t>
      </w:r>
      <w:r>
        <w:rPr>
          <w:color w:val="231F20"/>
          <w:spacing w:val="-3"/>
        </w:rPr>
        <w:t>Avec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133</w:t>
      </w:r>
      <w:r>
        <w:rPr>
          <w:color w:val="231F20"/>
          <w:spacing w:val="13"/>
        </w:rPr>
        <w:t> </w:t>
      </w:r>
      <w:r>
        <w:rPr>
          <w:color w:val="231F20"/>
          <w:spacing w:val="-3"/>
        </w:rPr>
        <w:t>kWh/m</w:t>
      </w:r>
      <w:r>
        <w:rPr>
          <w:color w:val="231F20"/>
          <w:spacing w:val="-3"/>
          <w:position w:val="6"/>
          <w:sz w:val="10"/>
          <w:szCs w:val="10"/>
        </w:rPr>
        <w:t>2</w:t>
      </w:r>
      <w:r>
        <w:rPr>
          <w:color w:val="231F20"/>
          <w:spacing w:val="-3"/>
        </w:rPr>
        <w:t>a,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production</w:t>
      </w:r>
      <w:r>
        <w:rPr>
          <w:color w:val="231F20"/>
          <w:spacing w:val="3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courant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solaire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des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façades</w:t>
      </w:r>
      <w:r>
        <w:rPr>
          <w:color w:val="231F20"/>
          <w:spacing w:val="2"/>
        </w:rPr>
        <w:t> </w:t>
      </w:r>
      <w:r>
        <w:rPr>
          <w:color w:val="231F20"/>
        </w:rPr>
        <w:t>PV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est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remar-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quable!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Les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besoins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énergie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sont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d’environ</w:t>
      </w:r>
      <w:r>
        <w:rPr>
          <w:color w:val="231F20"/>
          <w:spacing w:val="27"/>
        </w:rPr>
        <w:t> </w:t>
      </w:r>
      <w:r>
        <w:rPr>
          <w:color w:val="231F20"/>
          <w:spacing w:val="-2"/>
        </w:rPr>
        <w:t>76’200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kWh/a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surface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référence</w:t>
      </w:r>
      <w:r>
        <w:rPr>
          <w:color w:val="231F20"/>
          <w:spacing w:val="28"/>
        </w:rPr>
        <w:t> </w:t>
      </w:r>
      <w:r>
        <w:rPr>
          <w:color w:val="231F20"/>
          <w:spacing w:val="-4"/>
        </w:rPr>
        <w:t>énergétique </w:t>
      </w:r>
      <w:r>
        <w:rPr>
          <w:color w:val="231F20"/>
          <w:spacing w:val="-3"/>
        </w:rPr>
        <w:t>de </w:t>
      </w:r>
      <w:r>
        <w:rPr>
          <w:color w:val="231F20"/>
          <w:spacing w:val="-2"/>
        </w:rPr>
        <w:t>3’140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</w:t>
      </w:r>
      <w:r>
        <w:rPr>
          <w:color w:val="231F20"/>
          <w:spacing w:val="-2"/>
          <w:position w:val="6"/>
          <w:sz w:val="10"/>
          <w:szCs w:val="10"/>
        </w:rPr>
        <w:t>2</w:t>
      </w:r>
      <w:r>
        <w:rPr>
          <w:color w:val="231F20"/>
          <w:spacing w:val="-2"/>
        </w:rPr>
        <w:t>.</w:t>
      </w:r>
      <w:r>
        <w:rPr>
          <w:i w:val="0"/>
        </w:rPr>
      </w:r>
    </w:p>
    <w:p>
      <w:pPr>
        <w:pStyle w:val="BodyText"/>
        <w:spacing w:line="230" w:lineRule="exact"/>
        <w:ind w:right="0"/>
        <w:jc w:val="both"/>
        <w:rPr>
          <w:i w:val="0"/>
        </w:rPr>
      </w:pPr>
      <w:r>
        <w:rPr>
          <w:color w:val="231F20"/>
          <w:spacing w:val="-1"/>
        </w:rPr>
        <w:t>Ce</w:t>
      </w:r>
      <w:r>
        <w:rPr>
          <w:color w:val="231F20"/>
          <w:spacing w:val="-22"/>
        </w:rPr>
        <w:t> </w:t>
      </w:r>
      <w:r>
        <w:rPr>
          <w:color w:val="231F20"/>
          <w:spacing w:val="-2"/>
        </w:rPr>
        <w:t>BEP</w:t>
      </w:r>
      <w:r>
        <w:rPr>
          <w:color w:val="231F20"/>
          <w:spacing w:val="-22"/>
        </w:rPr>
        <w:t> </w:t>
      </w:r>
      <w:r>
        <w:rPr>
          <w:color w:val="231F20"/>
          <w:spacing w:val="-4"/>
        </w:rPr>
        <w:t>exemplaire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assure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une</w:t>
      </w:r>
      <w:r>
        <w:rPr>
          <w:color w:val="231F20"/>
          <w:spacing w:val="-22"/>
        </w:rPr>
        <w:t> </w:t>
      </w:r>
      <w:r>
        <w:rPr>
          <w:color w:val="231F20"/>
          <w:spacing w:val="-3"/>
        </w:rPr>
        <w:t>autoproduc-</w:t>
      </w:r>
      <w:r>
        <w:rPr>
          <w:color w:val="231F20"/>
          <w:spacing w:val="39"/>
        </w:rPr>
        <w:t> </w:t>
      </w:r>
      <w:r>
        <w:rPr>
          <w:color w:val="231F20"/>
          <w:spacing w:val="-3"/>
        </w:rPr>
        <w:t>tion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557%</w:t>
      </w:r>
      <w:r>
        <w:rPr>
          <w:color w:val="231F20"/>
          <w:spacing w:val="2"/>
        </w:rPr>
        <w:t> </w:t>
      </w:r>
      <w:r>
        <w:rPr>
          <w:color w:val="231F20"/>
          <w:spacing w:val="-4"/>
        </w:rPr>
        <w:t>avec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un</w:t>
      </w:r>
      <w:r>
        <w:rPr>
          <w:color w:val="231F20"/>
          <w:spacing w:val="2"/>
        </w:rPr>
        <w:t> </w:t>
      </w:r>
      <w:r>
        <w:rPr>
          <w:color w:val="231F20"/>
          <w:spacing w:val="-5"/>
        </w:rPr>
        <w:t>excédent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de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348’230</w:t>
      </w:r>
      <w:r>
        <w:rPr>
          <w:color w:val="231F20"/>
          <w:spacing w:val="31"/>
        </w:rPr>
        <w:t> </w:t>
      </w:r>
      <w:r>
        <w:rPr>
          <w:color w:val="231F20"/>
          <w:spacing w:val="-4"/>
        </w:rPr>
        <w:t>kWh/a.</w:t>
      </w:r>
      <w:r>
        <w:rPr>
          <w:color w:val="231F20"/>
          <w:spacing w:val="9"/>
        </w:rPr>
        <w:t> </w:t>
      </w:r>
      <w:r>
        <w:rPr>
          <w:color w:val="231F20"/>
          <w:spacing w:val="-6"/>
        </w:rPr>
        <w:t>Le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bâtiment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commercial</w:t>
      </w:r>
      <w:r>
        <w:rPr>
          <w:color w:val="231F20"/>
          <w:spacing w:val="16"/>
        </w:rPr>
        <w:t> </w:t>
      </w:r>
      <w:r>
        <w:rPr>
          <w:color w:val="231F20"/>
          <w:spacing w:val="-2"/>
        </w:rPr>
        <w:t>remporte</w:t>
      </w:r>
      <w:r>
        <w:rPr>
          <w:color w:val="231F20"/>
          <w:spacing w:val="16"/>
        </w:rPr>
        <w:t> </w:t>
      </w:r>
      <w:r>
        <w:rPr>
          <w:color w:val="231F20"/>
          <w:spacing w:val="-3"/>
        </w:rPr>
        <w:t>le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Prix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Solaire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BEP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2018.</w:t>
      </w:r>
      <w:r>
        <w:rPr>
          <w:i w:val="0"/>
        </w:rPr>
      </w:r>
    </w:p>
    <w:p>
      <w:pPr>
        <w:spacing w:before="87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/>
        <w:br w:type="column"/>
      </w:r>
      <w:r>
        <w:rPr>
          <w:rFonts w:ascii="Theinhardt Black"/>
          <w:b/>
          <w:color w:val="231F20"/>
          <w:sz w:val="14"/>
        </w:rPr>
        <w:t>Technische </w:t>
      </w:r>
      <w:r>
        <w:rPr>
          <w:rFonts w:ascii="Theinhardt Black"/>
          <w:b/>
          <w:color w:val="231F20"/>
          <w:spacing w:val="1"/>
          <w:sz w:val="14"/>
        </w:rPr>
        <w:t>Daten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  <w:r>
        <w:rPr>
          <w:rFonts w:ascii="Theinhardt Bold" w:hAnsi="Theinhardt Bold"/>
          <w:sz w:val="14"/>
        </w:rPr>
      </w:r>
    </w:p>
    <w:p>
      <w:pPr>
        <w:tabs>
          <w:tab w:pos="1208" w:val="left" w:leader="none"/>
          <w:tab w:pos="1964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Wand:</w:t>
        <w:tab/>
        <w:t>36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0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216" w:val="left" w:leader="none"/>
          <w:tab w:pos="1964" w:val="left" w:leader="none"/>
        </w:tabs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Dach:</w:t>
        <w:tab/>
      </w:r>
      <w:r>
        <w:rPr>
          <w:rFonts w:ascii="Theinhardt Regular"/>
          <w:color w:val="231F20"/>
          <w:spacing w:val="-4"/>
          <w:sz w:val="14"/>
        </w:rPr>
        <w:t>14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</w:r>
      <w:r>
        <w:rPr>
          <w:rFonts w:ascii="Theinhardt Regular"/>
          <w:color w:val="231F20"/>
          <w:sz w:val="14"/>
        </w:rPr>
        <w:t>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5"/>
          <w:sz w:val="14"/>
        </w:rPr>
        <w:t>0.15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tabs>
          <w:tab w:pos="1091" w:val="left" w:leader="none"/>
          <w:tab w:pos="1217" w:val="left" w:leader="none"/>
          <w:tab w:pos="1964" w:val="left" w:leader="none"/>
        </w:tabs>
        <w:spacing w:line="207" w:lineRule="auto" w:before="5"/>
        <w:ind w:left="117" w:right="28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Boden:</w:t>
        <w:tab/>
        <w:tab/>
      </w:r>
      <w:r>
        <w:rPr>
          <w:rFonts w:ascii="Theinhardt Regular"/>
          <w:color w:val="231F20"/>
          <w:spacing w:val="-5"/>
          <w:sz w:val="14"/>
        </w:rPr>
        <w:t>41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cm</w:t>
        <w:tab/>
        <w:t>U-Wert: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32"/>
          <w:sz w:val="14"/>
        </w:rPr>
        <w:t> </w:t>
      </w:r>
      <w:r>
        <w:rPr>
          <w:rFonts w:ascii="Theinhardt Regular"/>
          <w:color w:val="231F20"/>
          <w:sz w:val="14"/>
        </w:rPr>
        <w:t>0.20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color w:val="231F20"/>
          <w:spacing w:val="24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Fenster:</w:t>
        <w:tab/>
        <w:t>dreifach</w:t>
        <w:tab/>
        <w:t>U-Wert:</w:t>
      </w:r>
      <w:r>
        <w:rPr>
          <w:rFonts w:ascii="Theinhardt Regular"/>
          <w:color w:val="231F20"/>
          <w:sz w:val="14"/>
        </w:rPr>
        <w:t>    </w:t>
      </w:r>
      <w:r>
        <w:rPr>
          <w:rFonts w:ascii="Theinhardt Regular"/>
          <w:color w:val="231F20"/>
          <w:spacing w:val="1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1.0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W/m</w:t>
      </w:r>
      <w:r>
        <w:rPr>
          <w:rFonts w:ascii="Theinhardt Regular"/>
          <w:color w:val="231F20"/>
          <w:spacing w:val="-2"/>
          <w:position w:val="5"/>
          <w:sz w:val="8"/>
        </w:rPr>
        <w:t>2</w:t>
      </w:r>
      <w:r>
        <w:rPr>
          <w:rFonts w:ascii="Theinhardt Regular"/>
          <w:color w:val="231F20"/>
          <w:spacing w:val="-2"/>
          <w:sz w:val="14"/>
        </w:rPr>
        <w:t>K</w:t>
      </w:r>
      <w:r>
        <w:rPr>
          <w:rFonts w:ascii="Theinhardt Regular"/>
          <w:sz w:val="14"/>
        </w:rPr>
      </w:r>
    </w:p>
    <w:p>
      <w:pPr>
        <w:spacing w:before="3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3"/>
          <w:sz w:val="14"/>
        </w:rPr>
        <w:t>E</w:t>
      </w:r>
      <w:r>
        <w:rPr>
          <w:rFonts w:ascii="Theinhardt Bold"/>
          <w:b/>
          <w:color w:val="231F20"/>
          <w:spacing w:val="2"/>
          <w:sz w:val="14"/>
        </w:rPr>
        <w:t>ner</w:t>
      </w:r>
      <w:r>
        <w:rPr>
          <w:rFonts w:ascii="Theinhardt Bold"/>
          <w:b/>
          <w:color w:val="231F20"/>
          <w:spacing w:val="1"/>
          <w:sz w:val="14"/>
        </w:rPr>
        <w:t>g</w:t>
      </w:r>
      <w:r>
        <w:rPr>
          <w:rFonts w:ascii="Theinhardt Bold"/>
          <w:b/>
          <w:color w:val="231F20"/>
          <w:spacing w:val="2"/>
          <w:sz w:val="14"/>
        </w:rPr>
        <w:t>iebeda</w:t>
      </w:r>
      <w:r>
        <w:rPr>
          <w:rFonts w:ascii="Theinhardt Bold"/>
          <w:b/>
          <w:color w:val="231F20"/>
          <w:spacing w:val="4"/>
          <w:sz w:val="14"/>
        </w:rPr>
        <w:t>r</w:t>
      </w:r>
      <w:r>
        <w:rPr>
          <w:rFonts w:ascii="Theinhardt Bold"/>
          <w:b/>
          <w:color w:val="231F20"/>
          <w:sz w:val="14"/>
        </w:rPr>
        <w:t>f</w:t>
      </w:r>
      <w:r>
        <w:rPr>
          <w:rFonts w:ascii="Theinhardt Bold"/>
          <w:sz w:val="14"/>
        </w:rPr>
      </w:r>
    </w:p>
    <w:p>
      <w:pPr>
        <w:spacing w:line="240" w:lineRule="auto" w:before="1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tbl>
      <w:tblPr>
        <w:tblW w:w="0" w:type="auto"/>
        <w:jc w:val="left"/>
        <w:tblInd w:w="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9"/>
        <w:gridCol w:w="763"/>
        <w:gridCol w:w="493"/>
        <w:gridCol w:w="645"/>
      </w:tblGrid>
      <w:tr>
        <w:trPr>
          <w:trHeight w:val="128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8"/>
                <w:szCs w:val="8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1"/>
                <w:sz w:val="14"/>
                <w:szCs w:val="14"/>
              </w:rPr>
              <w:t>EBF: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3’140</w:t>
            </w:r>
            <w:r>
              <w:rPr>
                <w:rFonts w:ascii="Theinhardt Regular" w:hAnsi="Theinhardt Regular" w:cs="Theinhardt Regular" w:eastAsia="Theinhardt Regular"/>
                <w:color w:val="231F20"/>
                <w:sz w:val="14"/>
                <w:szCs w:val="14"/>
              </w:rPr>
              <w:t> 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m</w:t>
            </w: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position w:val="5"/>
                <w:sz w:val="8"/>
                <w:szCs w:val="8"/>
              </w:rPr>
              <w:t>2</w:t>
            </w:r>
            <w:r>
              <w:rPr>
                <w:rFonts w:ascii="Theinhardt Regular" w:hAnsi="Theinhardt Regular" w:cs="Theinhardt Regular" w:eastAsia="Theinhardt Regular"/>
                <w:sz w:val="8"/>
                <w:szCs w:val="8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79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kWh/m</w:t>
            </w:r>
            <w:r>
              <w:rPr>
                <w:rFonts w:ascii="Theinhardt Regular"/>
                <w:color w:val="231F20"/>
                <w:position w:val="5"/>
                <w:sz w:val="8"/>
              </w:rPr>
              <w:t>2</w:t>
            </w:r>
            <w:r>
              <w:rPr>
                <w:rFonts w:ascii="Theinhardt Regular"/>
                <w:color w:val="231F20"/>
                <w:sz w:val="14"/>
              </w:rPr>
              <w:t>a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23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28" w:lineRule="exact"/>
              <w:ind w:left="18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</w:t>
            </w:r>
            <w:r>
              <w:rPr>
                <w:rFonts w:ascii="Theinhardt Regular" w:hAnsi="Theinhardt Regular"/>
                <w:color w:val="231F20"/>
                <w:sz w:val="14"/>
              </w:rPr>
              <w:t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WP: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377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5"/>
                <w:sz w:val="14"/>
              </w:rPr>
              <w:t>14.7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6</w:t>
            </w:r>
            <w:r>
              <w:rPr>
                <w:rFonts w:ascii="Theinhardt Regular"/>
                <w:color w:val="231F20"/>
                <w:sz w:val="14"/>
              </w:rPr>
              <w:t>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5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3"/>
                <w:sz w:val="14"/>
                <w:szCs w:val="14"/>
              </w:rPr>
              <w:t>46’132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160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Elektrizität: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44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9.6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9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1"/>
                <w:sz w:val="14"/>
              </w:rPr>
              <w:t>40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4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1"/>
                <w:sz w:val="14"/>
                <w:szCs w:val="14"/>
              </w:rPr>
              <w:t>30’144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344" w:hRule="exact"/>
        </w:trPr>
        <w:tc>
          <w:tcPr>
            <w:tcW w:w="13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2"/>
                <w:sz w:val="14"/>
              </w:rPr>
              <w:t>Gesamt-EB:</w:t>
            </w:r>
            <w:r>
              <w:rPr>
                <w:rFonts w:ascii="Theinhardt Bold"/>
                <w:sz w:val="14"/>
              </w:rPr>
            </w:r>
          </w:p>
          <w:p>
            <w:pPr>
              <w:pStyle w:val="TableParagraph"/>
              <w:spacing w:line="148" w:lineRule="exact" w:before="32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Energieversorgung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7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348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24.3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4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16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129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76’276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tabs>
          <w:tab w:pos="975" w:val="left" w:leader="none"/>
          <w:tab w:pos="1974" w:val="left" w:leader="none"/>
          <w:tab w:pos="2448" w:val="left" w:leader="none"/>
          <w:tab w:pos="2889" w:val="left" w:leader="none"/>
        </w:tabs>
        <w:spacing w:line="160" w:lineRule="exact" w:before="20"/>
        <w:ind w:left="117" w:right="28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Eigen-EV: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m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     </w:t>
      </w:r>
      <w:r>
        <w:rPr>
          <w:rFonts w:ascii="Theinhardt Regular" w:hAnsi="Theinhardt Regular" w:cs="Theinhardt Regular" w:eastAsia="Theinhardt Regular"/>
          <w:color w:val="231F20"/>
          <w:spacing w:val="2"/>
          <w:position w:val="5"/>
          <w:sz w:val="8"/>
          <w:szCs w:val="8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kWp </w:t>
      </w:r>
      <w:r>
        <w:rPr>
          <w:rFonts w:ascii="Theinhardt Regular" w:hAnsi="Theinhardt Regular" w:cs="Theinhardt Regular" w:eastAsia="Theinhardt Regular"/>
          <w:color w:val="231F20"/>
          <w:spacing w:val="37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kWh/m</w:t>
      </w:r>
      <w:r>
        <w:rPr>
          <w:rFonts w:ascii="Theinhardt Regular" w:hAnsi="Theinhardt Regular" w:cs="Theinhardt Regular" w:eastAsia="Theinhardt Regular"/>
          <w:color w:val="231F20"/>
          <w:position w:val="5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a</w:t>
        <w:tab/>
        <w:t>%</w:t>
        <w:tab/>
        <w:t>kWh/a</w:t>
      </w:r>
      <w:r>
        <w:rPr>
          <w:rFonts w:ascii="Theinhardt Regular" w:hAnsi="Theinhardt Regular" w:cs="Theinhardt Regular" w:eastAsia="Theinhardt Regular"/>
          <w:color w:val="231F20"/>
          <w:spacing w:val="38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Dach: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2’403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391</w:t>
        <w:tab/>
        <w:t>158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33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499   </w:t>
      </w:r>
      <w:r>
        <w:rPr>
          <w:rFonts w:ascii="Theinhardt Regular" w:hAnsi="Theinhardt Regular" w:cs="Theinhardt Regular" w:eastAsia="Theinhardt Regular"/>
          <w:color w:val="231F20"/>
          <w:spacing w:val="32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380’326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889" w:val="left" w:leader="none"/>
          <w:tab w:pos="1371" w:val="left" w:leader="none"/>
          <w:tab w:pos="1975" w:val="left" w:leader="none"/>
          <w:tab w:pos="2853" w:val="left" w:leader="none"/>
        </w:tabs>
        <w:spacing w:line="165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PV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Fass.: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332</w:t>
        <w:tab/>
      </w:r>
      <w:r>
        <w:rPr>
          <w:rFonts w:ascii="Theinhardt Regular" w:hAnsi="Theinhardt Regular" w:cs="Theinhardt Regular" w:eastAsia="Theinhardt Regular"/>
          <w:color w:val="231F20"/>
          <w:w w:val="95"/>
          <w:sz w:val="14"/>
          <w:szCs w:val="14"/>
        </w:rPr>
        <w:t>56</w:t>
        <w:tab/>
      </w:r>
      <w:r>
        <w:rPr>
          <w:rFonts w:ascii="Theinhardt Regular" w:hAnsi="Theinhardt Regular" w:cs="Theinhardt Regular" w:eastAsia="Theinhardt Regular"/>
          <w:color w:val="231F20"/>
          <w:spacing w:val="-3"/>
          <w:sz w:val="14"/>
          <w:szCs w:val="14"/>
        </w:rPr>
        <w:t>133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 </w:t>
      </w:r>
      <w:r>
        <w:rPr>
          <w:rFonts w:ascii="Theinhardt Regular" w:hAnsi="Theinhardt Regular" w:cs="Theinhardt Regular" w:eastAsia="Theinhardt Regular"/>
          <w:color w:val="231F20"/>
          <w:spacing w:val="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58</w:t>
        <w:tab/>
      </w:r>
      <w:r>
        <w:rPr>
          <w:rFonts w:ascii="Theinhardt Regular" w:hAnsi="Theinhardt Regular" w:cs="Theinhardt Regular" w:eastAsia="Theinhardt Regular"/>
          <w:color w:val="231F20"/>
          <w:spacing w:val="-2"/>
          <w:sz w:val="14"/>
          <w:szCs w:val="14"/>
        </w:rPr>
        <w:t>44’180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tabs>
          <w:tab w:pos="2336" w:val="left" w:leader="none"/>
        </w:tabs>
        <w:spacing w:line="172" w:lineRule="exact" w:before="0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PV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gesamt:</w:t>
        <w:tab/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557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  </w:t>
      </w:r>
      <w:r>
        <w:rPr>
          <w:rFonts w:ascii="Theinhardt Regular" w:hAnsi="Theinhardt Regular" w:cs="Theinhardt Regular" w:eastAsia="Theinhardt Regular"/>
          <w:color w:val="231F20"/>
          <w:spacing w:val="2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424’506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spacing w:line="240" w:lineRule="auto" w:before="10"/>
        <w:rPr>
          <w:rFonts w:ascii="Theinhardt Bold" w:hAnsi="Theinhardt Bold" w:cs="Theinhardt Bold" w:eastAsia="Theinhardt Bold"/>
          <w:b/>
          <w:bCs/>
          <w:sz w:val="7"/>
          <w:szCs w:val="7"/>
        </w:rPr>
      </w:pPr>
    </w:p>
    <w:tbl>
      <w:tblPr>
        <w:tblW w:w="0" w:type="auto"/>
        <w:jc w:val="left"/>
        <w:tblInd w:w="6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3"/>
        <w:gridCol w:w="546"/>
        <w:gridCol w:w="697"/>
      </w:tblGrid>
      <w:tr>
        <w:trPr>
          <w:trHeight w:val="112" w:hRule="exact"/>
        </w:trPr>
        <w:tc>
          <w:tcPr>
            <w:tcW w:w="2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2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Energiebilanz</w:t>
            </w:r>
            <w:r>
              <w:rPr>
                <w:rFonts w:ascii="Theinhardt Bold"/>
                <w:b/>
                <w:color w:val="231F20"/>
                <w:sz w:val="14"/>
              </w:rPr>
              <w:t> </w:t>
            </w:r>
            <w:r>
              <w:rPr>
                <w:rFonts w:ascii="Theinhardt Bold"/>
                <w:b/>
                <w:color w:val="231F20"/>
                <w:spacing w:val="1"/>
                <w:sz w:val="14"/>
              </w:rPr>
              <w:t>(Endenergie)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2" w:lineRule="exact"/>
              <w:ind w:left="33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%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2" w:lineRule="exact"/>
              <w:ind w:left="233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kWh/a</w:t>
            </w:r>
            <w:r>
              <w:rPr>
                <w:rFonts w:ascii="Theinhardt Regular"/>
                <w:sz w:val="14"/>
              </w:rPr>
            </w:r>
          </w:p>
        </w:tc>
      </w:tr>
      <w:tr>
        <w:trPr>
          <w:trHeight w:val="159" w:hRule="exact"/>
        </w:trPr>
        <w:tc>
          <w:tcPr>
            <w:tcW w:w="2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5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Eigenenergieversorgung: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13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557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95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z w:val="14"/>
                <w:szCs w:val="14"/>
              </w:rPr>
              <w:t>424’506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  <w:tr>
        <w:trPr>
          <w:trHeight w:val="159" w:hRule="exact"/>
        </w:trPr>
        <w:tc>
          <w:tcPr>
            <w:tcW w:w="2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214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  <w:r>
              <w:rPr>
                <w:rFonts w:ascii="Theinhardt Regular"/>
                <w:sz w:val="14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9" w:lineRule="exact"/>
              <w:ind w:left="190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 w:cs="Theinhardt Regular" w:eastAsia="Theinhardt Regular"/>
                <w:color w:val="231F20"/>
                <w:spacing w:val="-2"/>
                <w:sz w:val="14"/>
                <w:szCs w:val="14"/>
              </w:rPr>
              <w:t>76’276</w:t>
            </w:r>
            <w:r>
              <w:rPr>
                <w:rFonts w:ascii="Theinhardt Regular" w:hAnsi="Theinhardt Regular" w:cs="Theinhardt Regular" w:eastAsia="Theinhardt Regular"/>
                <w:sz w:val="14"/>
                <w:szCs w:val="14"/>
              </w:rPr>
            </w:r>
          </w:p>
        </w:tc>
      </w:tr>
      <w:tr>
        <w:trPr>
          <w:trHeight w:val="252" w:hRule="exact"/>
        </w:trPr>
        <w:tc>
          <w:tcPr>
            <w:tcW w:w="20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55" w:right="0"/>
              <w:jc w:val="left"/>
              <w:rPr>
                <w:rFonts w:ascii="Theinhardt Regular" w:hAnsi="Theinhardt Regular" w:cs="Theinhardt Regular" w:eastAsia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Solarstromüberschuss:</w:t>
            </w:r>
            <w:r>
              <w:rPr>
                <w:rFonts w:ascii="Theinhardt Regular" w:hAnsi="Theinhardt Regular"/>
                <w:sz w:val="14"/>
              </w:rPr>
            </w:r>
          </w:p>
        </w:tc>
        <w:tc>
          <w:tcPr>
            <w:tcW w:w="5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211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z w:val="14"/>
              </w:rPr>
              <w:t>457</w:t>
            </w:r>
            <w:r>
              <w:rPr>
                <w:rFonts w:ascii="Theinhardt Bold"/>
                <w:sz w:val="14"/>
              </w:rPr>
            </w:r>
          </w:p>
        </w:tc>
        <w:tc>
          <w:tcPr>
            <w:tcW w:w="69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5" w:lineRule="exact"/>
              <w:ind w:left="84" w:right="0"/>
              <w:jc w:val="left"/>
              <w:rPr>
                <w:rFonts w:ascii="Theinhardt Bold" w:hAnsi="Theinhardt Bold" w:cs="Theinhardt Bold" w:eastAsia="Theinhardt Bold"/>
                <w:sz w:val="14"/>
                <w:szCs w:val="14"/>
              </w:rPr>
            </w:pPr>
            <w:r>
              <w:rPr>
                <w:rFonts w:ascii="Theinhardt Bold" w:hAnsi="Theinhardt Bold" w:cs="Theinhardt Bold" w:eastAsia="Theinhardt Bold"/>
                <w:b/>
                <w:bCs/>
                <w:color w:val="231F20"/>
                <w:spacing w:val="1"/>
                <w:sz w:val="14"/>
                <w:szCs w:val="14"/>
              </w:rPr>
              <w:t>348’230</w:t>
            </w:r>
            <w:r>
              <w:rPr>
                <w:rFonts w:ascii="Theinhardt Bold" w:hAnsi="Theinhardt Bold" w:cs="Theinhardt Bold" w:eastAsia="Theinhardt Bold"/>
                <w:sz w:val="14"/>
                <w:szCs w:val="14"/>
              </w:rPr>
            </w:r>
          </w:p>
        </w:tc>
      </w:tr>
    </w:tbl>
    <w:p>
      <w:pPr>
        <w:spacing w:line="172" w:lineRule="exact" w:before="48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Bestätigt von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Elektra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Gams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Genossenschaft</w:t>
      </w:r>
      <w:r>
        <w:rPr>
          <w:rFonts w:ascii="Theinhardt Bold" w:hAnsi="Theinhardt Bold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>am </w:t>
      </w:r>
      <w:r>
        <w:rPr>
          <w:rFonts w:ascii="Theinhardt Regular"/>
          <w:color w:val="231F20"/>
          <w:spacing w:val="-1"/>
          <w:sz w:val="14"/>
        </w:rPr>
        <w:t>06.07.2018,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Heinz</w:t>
      </w:r>
      <w:r>
        <w:rPr>
          <w:rFonts w:ascii="Theinhardt Regular"/>
          <w:color w:val="231F20"/>
          <w:sz w:val="14"/>
        </w:rPr>
        <w:t> Kolb, Tel.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750 39 20</w:t>
      </w:r>
      <w:r>
        <w:rPr>
          <w:rFonts w:ascii="Theinhardt Regular"/>
          <w:sz w:val="14"/>
        </w:rPr>
      </w:r>
    </w:p>
    <w:p>
      <w:pPr>
        <w:spacing w:line="207" w:lineRule="auto" w:before="5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pacing w:val="1"/>
          <w:sz w:val="14"/>
          <w:szCs w:val="14"/>
        </w:rPr>
        <w:t>249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2"/>
          <w:sz w:val="14"/>
          <w:szCs w:val="14"/>
        </w:rPr>
        <w:t>Elektrofahrzeuge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können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mit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dem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Solarstrom-</w:t>
      </w:r>
      <w:r>
        <w:rPr>
          <w:rFonts w:ascii="Theinhardt Regular" w:hAnsi="Theinhardt Regular" w:cs="Theinhardt Regular" w:eastAsia="Theinhardt Regular"/>
          <w:color w:val="231F20"/>
          <w:spacing w:val="24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überschuss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jährlich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1"/>
          <w:sz w:val="14"/>
          <w:szCs w:val="14"/>
        </w:rPr>
        <w:t>je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12’000 </w:t>
      </w:r>
      <w:r>
        <w:rPr>
          <w:rFonts w:ascii="Theinhardt Regular" w:hAnsi="Theinhardt Regular" w:cs="Theinhardt Regular" w:eastAsia="Theinhardt Regular"/>
          <w:color w:val="231F20"/>
          <w:spacing w:val="2"/>
          <w:sz w:val="14"/>
          <w:szCs w:val="14"/>
        </w:rPr>
        <w:t>km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CO</w:t>
      </w:r>
      <w:r>
        <w:rPr>
          <w:rFonts w:ascii="Theinhardt Regular" w:hAnsi="Theinhardt Regular" w:cs="Theinhardt Regular" w:eastAsia="Theinhardt Regular"/>
          <w:color w:val="231F20"/>
          <w:spacing w:val="-1"/>
          <w:position w:val="-4"/>
          <w:sz w:val="8"/>
          <w:szCs w:val="8"/>
        </w:rPr>
        <w:t>2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-frei</w:t>
      </w:r>
      <w:r>
        <w:rPr>
          <w:rFonts w:ascii="Theinhardt Regular" w:hAnsi="Theinhardt Regular" w:cs="Theinhardt Regular" w:eastAsia="Theinhardt Regular"/>
          <w:color w:val="231F20"/>
          <w:sz w:val="14"/>
          <w:szCs w:val="14"/>
        </w:rPr>
        <w:t> </w:t>
      </w:r>
      <w:r>
        <w:rPr>
          <w:rFonts w:ascii="Theinhardt Regular" w:hAnsi="Theinhardt Regular" w:cs="Theinhardt Regular" w:eastAsia="Theinhardt Regular"/>
          <w:color w:val="231F20"/>
          <w:spacing w:val="-1"/>
          <w:sz w:val="14"/>
          <w:szCs w:val="14"/>
        </w:rPr>
        <w:t>fahren.</w:t>
      </w:r>
      <w:r>
        <w:rPr>
          <w:rFonts w:ascii="Theinhardt Regular" w:hAnsi="Theinhardt Regular" w:cs="Theinhardt Regular" w:eastAsia="Theinhardt Regular"/>
          <w:sz w:val="14"/>
          <w:szCs w:val="14"/>
        </w:rPr>
      </w:r>
    </w:p>
    <w:p>
      <w:pPr>
        <w:spacing w:before="116"/>
        <w:ind w:left="117" w:right="0" w:firstLine="0"/>
        <w:jc w:val="left"/>
        <w:rPr>
          <w:rFonts w:ascii="Theinhardt Black" w:hAnsi="Theinhardt Black" w:cs="Theinhardt Black" w:eastAsia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> Personen</w:t>
      </w:r>
      <w:r>
        <w:rPr>
          <w:rFonts w:ascii="Theinhardt Black"/>
          <w:sz w:val="14"/>
        </w:rPr>
      </w:r>
    </w:p>
    <w:p>
      <w:pPr>
        <w:spacing w:line="240" w:lineRule="auto" w:before="10"/>
        <w:rPr>
          <w:rFonts w:ascii="Theinhardt Black" w:hAnsi="Theinhardt Black" w:cs="Theinhardt Black" w:eastAsia="Theinhardt Black"/>
          <w:b/>
          <w:bCs/>
          <w:sz w:val="2"/>
          <w:szCs w:val="2"/>
        </w:rPr>
      </w:pPr>
    </w:p>
    <w:p>
      <w:pPr>
        <w:spacing w:line="20" w:lineRule="atLeast"/>
        <w:ind w:left="117" w:right="0" w:firstLine="0"/>
        <w:rPr>
          <w:rFonts w:ascii="Theinhardt Black" w:hAnsi="Theinhardt Black" w:cs="Theinhardt Black" w:eastAsia="Theinhardt Black"/>
          <w:sz w:val="2"/>
          <w:szCs w:val="2"/>
        </w:rPr>
      </w:pPr>
      <w:r>
        <w:rPr>
          <w:rFonts w:ascii="Theinhardt Black" w:hAnsi="Theinhardt Black" w:cs="Theinhardt Black" w:eastAsia="Theinhardt Black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Black" w:hAnsi="Theinhardt Black" w:cs="Theinhardt Black" w:eastAsia="Theinhardt Black"/>
          <w:sz w:val="2"/>
          <w:szCs w:val="2"/>
        </w:rPr>
      </w:r>
    </w:p>
    <w:p>
      <w:pPr>
        <w:spacing w:line="172" w:lineRule="exact" w:before="66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Bauherrschaft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und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  <w:r>
        <w:rPr>
          <w:rFonts w:ascii="Theinhardt Bold" w:hAnsi="Theinhardt Bold"/>
          <w:sz w:val="14"/>
        </w:rPr>
      </w:r>
    </w:p>
    <w:p>
      <w:pPr>
        <w:spacing w:line="207" w:lineRule="auto" w:before="5"/>
        <w:ind w:left="117" w:right="1143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GLB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Bau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Heizplan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Felsbachriet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2/4,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9473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Gams</w:t>
      </w:r>
      <w:r>
        <w:rPr>
          <w:rFonts w:ascii="Theinhardt Regular"/>
          <w:sz w:val="14"/>
        </w:rPr>
      </w:r>
    </w:p>
    <w:p>
      <w:pPr>
        <w:spacing w:line="154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740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61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3"/>
          <w:sz w:val="14"/>
        </w:rPr>
        <w:t>41/081</w:t>
      </w:r>
      <w:r>
        <w:rPr>
          <w:rFonts w:ascii="Theinhardt Regular"/>
          <w:color w:val="231F20"/>
          <w:sz w:val="14"/>
        </w:rPr>
        <w:t> 750 34 </w:t>
      </w:r>
      <w:r>
        <w:rPr>
          <w:rFonts w:ascii="Theinhardt Regular"/>
          <w:color w:val="231F20"/>
          <w:spacing w:val="1"/>
          <w:sz w:val="14"/>
        </w:rPr>
        <w:t>50</w:t>
      </w:r>
      <w:r>
        <w:rPr>
          <w:rFonts w:ascii="Theinhardt Regular"/>
          <w:sz w:val="14"/>
        </w:rPr>
      </w:r>
    </w:p>
    <w:p>
      <w:pPr>
        <w:spacing w:line="172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peter.wenk@glb-gams.ch/kontakt@heizplan.ch</w:t>
      </w:r>
      <w:r>
        <w:rPr>
          <w:rFonts w:ascii="Theinhardt Regular"/>
          <w:sz w:val="14"/>
        </w:rPr>
      </w:r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Bauberatung</w:t>
      </w:r>
      <w:r>
        <w:rPr>
          <w:rFonts w:ascii="Theinhardt Bold"/>
          <w:sz w:val="14"/>
        </w:rPr>
      </w:r>
    </w:p>
    <w:p>
      <w:pPr>
        <w:spacing w:line="207" w:lineRule="auto" w:before="5"/>
        <w:ind w:left="117" w:right="1759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1"/>
          <w:sz w:val="14"/>
        </w:rPr>
        <w:t>Energie</w:t>
      </w:r>
      <w:r>
        <w:rPr>
          <w:rFonts w:ascii="Theinhardt Regular" w:hAnsi="Theinhardt Regular"/>
          <w:color w:val="231F20"/>
          <w:sz w:val="14"/>
        </w:rPr>
        <w:t> u. </w:t>
      </w:r>
      <w:r>
        <w:rPr>
          <w:rFonts w:ascii="Theinhardt Regular" w:hAnsi="Theinhardt Regular"/>
          <w:color w:val="231F20"/>
          <w:spacing w:val="1"/>
          <w:sz w:val="14"/>
        </w:rPr>
        <w:t>Bauberatung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Beat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Rüegsegger</w:t>
      </w:r>
      <w:r>
        <w:rPr>
          <w:rFonts w:ascii="Theinhardt Regular" w:hAnsi="Theinhardt Regular"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Felsbachriet</w:t>
      </w:r>
      <w:r>
        <w:rPr>
          <w:rFonts w:ascii="Theinhardt Regular" w:hAnsi="Theinhardt Regular"/>
          <w:color w:val="231F20"/>
          <w:sz w:val="14"/>
        </w:rPr>
        <w:t> 2, </w:t>
      </w:r>
      <w:r>
        <w:rPr>
          <w:rFonts w:ascii="Theinhardt Regular" w:hAnsi="Theinhardt Regular"/>
          <w:color w:val="231F20"/>
          <w:spacing w:val="-2"/>
          <w:sz w:val="14"/>
        </w:rPr>
        <w:t>9473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Gams</w:t>
      </w:r>
      <w:r>
        <w:rPr>
          <w:rFonts w:ascii="Theinhardt Regular" w:hAns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2"/>
          <w:sz w:val="14"/>
        </w:rPr>
        <w:t>740</w:t>
      </w:r>
      <w:r>
        <w:rPr>
          <w:rFonts w:ascii="Theinhardt Regular"/>
          <w:color w:val="231F20"/>
          <w:sz w:val="14"/>
        </w:rPr>
        <w:t> 39 80</w:t>
      </w:r>
      <w:hyperlink r:id="rId6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1"/>
            <w:sz w:val="14"/>
          </w:rPr>
          <w:t>info@energie-bauberatung.ch</w:t>
        </w:r>
        <w:r>
          <w:rPr>
            <w:rFonts w:ascii="Theinhardt Regular"/>
            <w:sz w:val="14"/>
          </w:rPr>
        </w:r>
      </w:hyperlink>
    </w:p>
    <w:p>
      <w:pPr>
        <w:spacing w:line="160" w:lineRule="exact" w:before="39"/>
        <w:ind w:left="117" w:right="170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Architektur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Hallenbau</w:t>
      </w:r>
      <w:r>
        <w:rPr>
          <w:rFonts w:ascii="Theinhardt Bold" w:hAnsi="Theinhardt Bold"/>
          <w:b/>
          <w:color w:val="231F20"/>
          <w:spacing w:val="28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Gebrüder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Schöb</w:t>
      </w:r>
      <w:r>
        <w:rPr>
          <w:rFonts w:ascii="Theinhardt Regular" w:hAnsi="Theinhardt Regular"/>
          <w:color w:val="231F20"/>
          <w:sz w:val="14"/>
        </w:rPr>
        <w:t> AG</w:t>
      </w:r>
      <w:r>
        <w:rPr>
          <w:rFonts w:ascii="Theinhardt Regular" w:hAnsi="Theinhardt Regular"/>
          <w:color w:val="231F20"/>
          <w:spacing w:val="22"/>
          <w:sz w:val="14"/>
        </w:rPr>
        <w:t> </w:t>
      </w:r>
      <w:r>
        <w:rPr>
          <w:rFonts w:ascii="Theinhardt Regular" w:hAnsi="Theinhardt Regular"/>
          <w:color w:val="231F20"/>
          <w:spacing w:val="2"/>
          <w:sz w:val="14"/>
        </w:rPr>
        <w:t>Karmaad</w:t>
      </w:r>
      <w:r>
        <w:rPr>
          <w:rFonts w:ascii="Theinhardt Regular" w:hAnsi="Theinhardt Regular"/>
          <w:color w:val="231F20"/>
          <w:sz w:val="14"/>
        </w:rPr>
        <w:t> 28, </w:t>
      </w:r>
      <w:r>
        <w:rPr>
          <w:rFonts w:ascii="Theinhardt Regular" w:hAnsi="Theinhardt Regular"/>
          <w:color w:val="231F20"/>
          <w:spacing w:val="-2"/>
          <w:sz w:val="14"/>
        </w:rPr>
        <w:t>9473</w:t>
      </w:r>
      <w:r>
        <w:rPr>
          <w:rFonts w:ascii="Theinhardt Regular" w:hAnsi="Theinhardt Regular"/>
          <w:color w:val="231F20"/>
          <w:sz w:val="14"/>
        </w:rPr>
        <w:t> </w:t>
      </w:r>
      <w:r>
        <w:rPr>
          <w:rFonts w:ascii="Theinhardt Regular" w:hAnsi="Theinhardt Regular"/>
          <w:color w:val="231F20"/>
          <w:spacing w:val="1"/>
          <w:sz w:val="14"/>
        </w:rPr>
        <w:t>Gams</w:t>
      </w:r>
      <w:r>
        <w:rPr>
          <w:rFonts w:ascii="Theinhardt Regular" w:hAnsi="Theinhardt Regular"/>
          <w:sz w:val="14"/>
        </w:rPr>
      </w:r>
    </w:p>
    <w:p>
      <w:pPr>
        <w:spacing w:line="17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772</w:t>
      </w:r>
      <w:r>
        <w:rPr>
          <w:rFonts w:ascii="Theinhardt Regular"/>
          <w:color w:val="231F20"/>
          <w:sz w:val="14"/>
        </w:rPr>
        <w:t> 02 </w:t>
      </w:r>
      <w:r>
        <w:rPr>
          <w:rFonts w:ascii="Theinhardt Regular"/>
          <w:color w:val="231F20"/>
          <w:spacing w:val="1"/>
          <w:sz w:val="14"/>
        </w:rPr>
        <w:t>08</w:t>
      </w:r>
      <w:hyperlink r:id="rId7">
        <w:r>
          <w:rPr>
            <w:rFonts w:ascii="Theinhardt Regular"/>
            <w:color w:val="231F20"/>
            <w:spacing w:val="1"/>
            <w:sz w:val="14"/>
          </w:rPr>
          <w:t>,</w:t>
        </w:r>
        <w:r>
          <w:rPr>
            <w:rFonts w:ascii="Theinhardt Regular"/>
            <w:color w:val="231F20"/>
            <w:sz w:val="14"/>
          </w:rPr>
          <w:t> </w:t>
        </w:r>
        <w:r>
          <w:rPr>
            <w:rFonts w:ascii="Theinhardt Regular"/>
            <w:color w:val="231F20"/>
            <w:spacing w:val="1"/>
            <w:sz w:val="14"/>
          </w:rPr>
          <w:t>r.schoeb@schoeb-holzbau.ch</w:t>
        </w:r>
        <w:r>
          <w:rPr>
            <w:rFonts w:ascii="Theinhardt Regular"/>
            <w:sz w:val="14"/>
          </w:rPr>
        </w:r>
      </w:hyperlink>
    </w:p>
    <w:p>
      <w:pPr>
        <w:spacing w:line="172" w:lineRule="exact" w:before="32"/>
        <w:ind w:left="117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PV-Anlagen,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Wärmepumpen,</w:t>
      </w:r>
      <w:r>
        <w:rPr>
          <w:rFonts w:ascii="Theinhardt Bold" w:hAnsi="Theinhardt Bold"/>
          <w:b/>
          <w:color w:val="231F20"/>
          <w:sz w:val="14"/>
        </w:rPr>
        <w:t> </w:t>
      </w:r>
      <w:r>
        <w:rPr>
          <w:rFonts w:ascii="Theinhardt Bold" w:hAnsi="Theinhardt Bold"/>
          <w:b/>
          <w:color w:val="231F20"/>
          <w:spacing w:val="1"/>
          <w:sz w:val="14"/>
        </w:rPr>
        <w:t>LED</w:t>
      </w:r>
      <w:r>
        <w:rPr>
          <w:rFonts w:ascii="Theinhardt Bold" w:hAnsi="Theinhardt Bold"/>
          <w:sz w:val="14"/>
        </w:rPr>
      </w:r>
    </w:p>
    <w:p>
      <w:pPr>
        <w:spacing w:line="160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Heizplan</w:t>
      </w:r>
      <w:r>
        <w:rPr>
          <w:rFonts w:ascii="Theinhardt Regular"/>
          <w:color w:val="231F20"/>
          <w:sz w:val="14"/>
        </w:rPr>
        <w:t> AG</w:t>
      </w:r>
      <w:r>
        <w:rPr>
          <w:rFonts w:ascii="Theinhardt Regular"/>
          <w:sz w:val="14"/>
        </w:rPr>
      </w:r>
    </w:p>
    <w:p>
      <w:pPr>
        <w:spacing w:line="207" w:lineRule="auto" w:before="5"/>
        <w:ind w:left="117" w:right="1707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Peter</w:t>
      </w:r>
      <w:r>
        <w:rPr>
          <w:rFonts w:ascii="Theinhardt Regular"/>
          <w:color w:val="231F20"/>
          <w:sz w:val="14"/>
        </w:rPr>
        <w:t> u. </w:t>
      </w:r>
      <w:r>
        <w:rPr>
          <w:rFonts w:ascii="Theinhardt Regular"/>
          <w:color w:val="231F20"/>
          <w:spacing w:val="1"/>
          <w:sz w:val="14"/>
        </w:rPr>
        <w:t>Raphael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Schibli</w:t>
      </w:r>
      <w:r>
        <w:rPr>
          <w:rFonts w:ascii="Theinhardt Regular"/>
          <w:color w:val="231F20"/>
          <w:spacing w:val="29"/>
          <w:sz w:val="14"/>
        </w:rPr>
        <w:t> </w:t>
      </w:r>
      <w:r>
        <w:rPr>
          <w:rFonts w:ascii="Theinhardt Regular"/>
          <w:color w:val="231F20"/>
          <w:spacing w:val="2"/>
          <w:sz w:val="14"/>
        </w:rPr>
        <w:t>Karmaad</w:t>
      </w:r>
      <w:r>
        <w:rPr>
          <w:rFonts w:ascii="Theinhardt Regular"/>
          <w:color w:val="231F20"/>
          <w:sz w:val="14"/>
        </w:rPr>
        <w:t> 38, </w:t>
      </w:r>
      <w:r>
        <w:rPr>
          <w:rFonts w:ascii="Theinhardt Regular"/>
          <w:color w:val="231F20"/>
          <w:spacing w:val="-2"/>
          <w:sz w:val="14"/>
        </w:rPr>
        <w:t>9473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1"/>
          <w:sz w:val="14"/>
        </w:rPr>
        <w:t>Gams</w:t>
      </w:r>
      <w:r>
        <w:rPr>
          <w:rFonts w:ascii="Theinhardt Regular"/>
          <w:sz w:val="14"/>
        </w:rPr>
      </w:r>
    </w:p>
    <w:p>
      <w:pPr>
        <w:spacing w:line="167" w:lineRule="exact" w:before="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081</w:t>
      </w:r>
      <w:r>
        <w:rPr>
          <w:rFonts w:ascii="Theinhardt Regular"/>
          <w:color w:val="231F20"/>
          <w:sz w:val="14"/>
        </w:rPr>
        <w:t> 750 34 50</w:t>
      </w:r>
      <w:hyperlink r:id="rId8">
        <w:r>
          <w:rPr>
            <w:rFonts w:ascii="Theinhardt Regular"/>
            <w:color w:val="231F20"/>
            <w:sz w:val="14"/>
          </w:rPr>
          <w:t>, </w:t>
        </w:r>
        <w:r>
          <w:rPr>
            <w:rFonts w:ascii="Theinhardt Regular"/>
            <w:color w:val="231F20"/>
            <w:spacing w:val="2"/>
            <w:sz w:val="14"/>
          </w:rPr>
          <w:t>kontakt@heizplan.ch</w:t>
        </w:r>
        <w:r>
          <w:rPr>
            <w:rFonts w:ascii="Theinhardt Regular"/>
            <w:sz w:val="14"/>
          </w:rPr>
        </w:r>
      </w:hyperlink>
    </w:p>
    <w:p>
      <w:pPr>
        <w:spacing w:after="0" w:line="167" w:lineRule="exact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  <w:cols w:num="3" w:equalWidth="0">
            <w:col w:w="3473" w:space="99"/>
            <w:col w:w="3463" w:space="109"/>
            <w:col w:w="3586"/>
          </w:cols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2"/>
          <w:szCs w:val="2"/>
        </w:rPr>
      </w:pPr>
    </w:p>
    <w:p>
      <w:pPr>
        <w:spacing w:line="20" w:lineRule="atLeast"/>
        <w:ind w:left="7260" w:right="0" w:firstLine="0"/>
        <w:rPr>
          <w:rFonts w:ascii="Theinhardt Regular" w:hAnsi="Theinhardt Regular" w:cs="Theinhardt Regular" w:eastAsia="Theinhardt Regular"/>
          <w:sz w:val="2"/>
          <w:szCs w:val="2"/>
        </w:rPr>
      </w:pPr>
      <w:r>
        <w:rPr>
          <w:rFonts w:ascii="Theinhardt Regular" w:hAnsi="Theinhardt Regular" w:cs="Theinhardt Regular" w:eastAsia="Theinhardt Regular"/>
          <w:sz w:val="2"/>
          <w:szCs w:val="2"/>
        </w:rPr>
        <w:pict>
          <v:group style="width:167.25pt;height:.45pt;mso-position-horizontal-relative:char;mso-position-vertical-relative:line" coordorigin="0,0" coordsize="3345,9">
            <v:group style="position:absolute;left:21;top:4;width:3311;height:2" coordorigin="21,4" coordsize="3311,2">
              <v:shape style="position:absolute;left:21;top:4;width:3311;height:2" coordorigin="21,4" coordsize="3311,0" path="m21,4l3332,4e" filled="false" stroked="true" strokeweight=".425pt" strokecolor="#231f20">
                <v:path arrowok="t"/>
                <v:stroke dashstyle="dash"/>
              </v:shape>
            </v:group>
            <v:group style="position:absolute;left:4;top:4;width:2;height:2" coordorigin="4,4" coordsize="2,2">
              <v:shape style="position:absolute;left:4;top:4;width:2;height:2" coordorigin="4,4" coordsize="0,0" path="m4,4l4,4e" filled="false" stroked="true" strokeweight=".425pt" strokecolor="#231f20">
                <v:path arrowok="t"/>
              </v:shape>
            </v:group>
            <v:group style="position:absolute;left:3341;top:4;width:2;height:2" coordorigin="3341,4" coordsize="2,2">
              <v:shape style="position:absolute;left:3341;top:4;width:2;height:2" coordorigin="3341,4" coordsize="0,0" path="m3341,4l3341,4e" filled="false" stroked="true" strokeweight=".425pt" strokecolor="#231f20">
                <v:path arrowok="t"/>
              </v:shape>
            </v:group>
          </v:group>
        </w:pict>
      </w:r>
      <w:r>
        <w:rPr>
          <w:rFonts w:ascii="Theinhardt Regular" w:hAnsi="Theinhardt Regular" w:cs="Theinhardt Regular" w:eastAsia="Theinhardt Regular"/>
          <w:sz w:val="2"/>
          <w:szCs w:val="2"/>
        </w:rPr>
      </w: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0"/>
        <w:rPr>
          <w:rFonts w:ascii="Theinhardt Regular" w:hAnsi="Theinhardt Regular" w:cs="Theinhardt Regular" w:eastAsia="Theinhardt Regular"/>
          <w:sz w:val="20"/>
          <w:szCs w:val="20"/>
        </w:rPr>
      </w:pPr>
    </w:p>
    <w:p>
      <w:pPr>
        <w:spacing w:line="240" w:lineRule="auto" w:before="6"/>
        <w:rPr>
          <w:rFonts w:ascii="Theinhardt Regular" w:hAnsi="Theinhardt Regular" w:cs="Theinhardt Regular" w:eastAsia="Theinhardt Regular"/>
          <w:sz w:val="21"/>
          <w:szCs w:val="21"/>
        </w:rPr>
      </w:pPr>
    </w:p>
    <w:p>
      <w:pPr>
        <w:spacing w:before="70"/>
        <w:ind w:left="117" w:right="0" w:firstLine="0"/>
        <w:jc w:val="left"/>
        <w:rPr>
          <w:rFonts w:ascii="Theinhardt Regular" w:hAnsi="Theinhardt Regular" w:cs="Theinhardt Regular" w:eastAsia="Theinhardt Regular"/>
          <w:sz w:val="14"/>
          <w:szCs w:val="14"/>
        </w:rPr>
      </w:pPr>
      <w:r>
        <w:rPr>
          <w:rFonts w:ascii="Theinhardt Heavy"/>
          <w:b/>
          <w:color w:val="231F20"/>
          <w:sz w:val="14"/>
        </w:rPr>
        <w:t>36    </w:t>
      </w:r>
      <w:r>
        <w:rPr>
          <w:rFonts w:ascii="Theinhardt Heavy"/>
          <w:b/>
          <w:color w:val="231F20"/>
          <w:spacing w:val="7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</w:t>
      </w:r>
      <w:r>
        <w:rPr>
          <w:rFonts w:ascii="Theinhardt Regular"/>
          <w:sz w:val="14"/>
        </w:rPr>
      </w:r>
    </w:p>
    <w:p>
      <w:pPr>
        <w:spacing w:after="0"/>
        <w:jc w:val="left"/>
        <w:rPr>
          <w:rFonts w:ascii="Theinhardt Regular" w:hAnsi="Theinhardt Regular" w:cs="Theinhardt Regular" w:eastAsia="Theinhardt Regular"/>
          <w:sz w:val="14"/>
          <w:szCs w:val="14"/>
        </w:rPr>
        <w:sectPr>
          <w:type w:val="continuous"/>
          <w:pgSz w:w="12250" w:h="17180"/>
          <w:pgMar w:top="1000" w:bottom="280" w:left="620" w:right="900"/>
        </w:sectPr>
      </w:pPr>
    </w:p>
    <w:p>
      <w:pPr>
        <w:spacing w:line="240" w:lineRule="auto" w:before="10"/>
        <w:rPr>
          <w:rFonts w:ascii="Theinhardt Regular" w:hAnsi="Theinhardt Regular" w:cs="Theinhardt Regular" w:eastAsia="Theinhardt Regular"/>
          <w:sz w:val="6"/>
          <w:szCs w:val="6"/>
        </w:rPr>
      </w:pPr>
    </w:p>
    <w:p>
      <w:pPr>
        <w:spacing w:line="200" w:lineRule="atLeast"/>
        <w:ind w:left="124" w:right="0" w:firstLine="0"/>
        <w:rPr>
          <w:rFonts w:ascii="Theinhardt Regular" w:hAnsi="Theinhardt Regular" w:cs="Theinhardt Regular" w:eastAsia="Theinhardt Regular"/>
          <w:sz w:val="20"/>
          <w:szCs w:val="20"/>
        </w:rPr>
      </w:pPr>
      <w:r>
        <w:rPr>
          <w:rFonts w:ascii="Theinhardt Regular" w:hAnsi="Theinhardt Regular" w:cs="Theinhardt Regular" w:eastAsia="Theinhardt Regular"/>
          <w:sz w:val="20"/>
          <w:szCs w:val="20"/>
        </w:rPr>
        <w:drawing>
          <wp:inline distT="0" distB="0" distL="0" distR="0">
            <wp:extent cx="6657702" cy="2529840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702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Regular" w:hAnsi="Theinhardt Regular" w:cs="Theinhardt Regular" w:eastAsia="Theinhardt Regular"/>
          <w:sz w:val="20"/>
          <w:szCs w:val="20"/>
        </w:rPr>
      </w:r>
    </w:p>
    <w:p>
      <w:pPr>
        <w:spacing w:before="8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spacing w:line="200" w:lineRule="atLeast"/>
        <w:ind w:left="12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 w:hAnsi="Theinhardt Bold" w:cs="Theinhardt Bold" w:eastAsia="Theinhardt Bold"/>
          <w:sz w:val="20"/>
          <w:szCs w:val="20"/>
        </w:rPr>
        <w:drawing>
          <wp:inline distT="0" distB="0" distL="0" distR="0">
            <wp:extent cx="6662727" cy="2846831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727" cy="284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 w:hAnsi="Theinhardt Bold" w:cs="Theinhardt Bold" w:eastAsia="Theinhardt Bold"/>
          <w:sz w:val="20"/>
          <w:szCs w:val="20"/>
        </w:rPr>
      </w:r>
    </w:p>
    <w:p>
      <w:pPr>
        <w:spacing w:before="25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"/>
          <w:szCs w:val="2"/>
        </w:rPr>
      </w:pPr>
    </w:p>
    <w:p>
      <w:pPr>
        <w:tabs>
          <w:tab w:pos="2799" w:val="left" w:leader="none"/>
        </w:tabs>
        <w:spacing w:line="200" w:lineRule="atLeast"/>
        <w:ind w:left="120" w:right="0" w:firstLine="0"/>
        <w:rPr>
          <w:rFonts w:ascii="Theinhardt Bold" w:hAnsi="Theinhardt Bold" w:cs="Theinhardt Bold" w:eastAsia="Theinhardt Bold"/>
          <w:sz w:val="20"/>
          <w:szCs w:val="20"/>
        </w:rPr>
      </w:pPr>
      <w:r>
        <w:rPr>
          <w:rFonts w:ascii="Theinhardt Bold"/>
          <w:sz w:val="20"/>
        </w:rPr>
        <w:drawing>
          <wp:inline distT="0" distB="0" distL="0" distR="0">
            <wp:extent cx="1560007" cy="2301240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007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  <w:r>
        <w:rPr>
          <w:rFonts w:ascii="Theinhardt Bold"/>
          <w:sz w:val="20"/>
        </w:rPr>
        <w:tab/>
      </w:r>
      <w:r>
        <w:rPr>
          <w:rFonts w:ascii="Theinhardt Bold"/>
          <w:sz w:val="20"/>
        </w:rPr>
        <w:drawing>
          <wp:inline distT="0" distB="0" distL="0" distR="0">
            <wp:extent cx="4958333" cy="2298192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8333" cy="22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</w:r>
    </w:p>
    <w:p>
      <w:pPr>
        <w:tabs>
          <w:tab w:pos="2811" w:val="left" w:leader="none"/>
        </w:tabs>
        <w:spacing w:before="10"/>
        <w:ind w:left="118" w:right="0" w:firstLine="0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position w:val="1"/>
          <w:sz w:val="14"/>
        </w:rPr>
        <w:t>3</w:t>
        <w:tab/>
      </w:r>
      <w:r>
        <w:rPr>
          <w:rFonts w:ascii="Theinhardt Bold"/>
          <w:b/>
          <w:color w:val="231F20"/>
          <w:sz w:val="14"/>
        </w:rPr>
        <w:t>4</w:t>
      </w:r>
      <w:r>
        <w:rPr>
          <w:rFonts w:ascii="Theinhardt Bold"/>
          <w:sz w:val="14"/>
        </w:rPr>
      </w: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Theinhardt Bold" w:hAnsi="Theinhardt Bold" w:cs="Theinhardt Bold" w:eastAsia="Theinhardt Bold"/>
          <w:b/>
          <w:bCs/>
          <w:sz w:val="20"/>
          <w:szCs w:val="20"/>
        </w:rPr>
      </w:pP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25"/>
          <w:szCs w:val="25"/>
        </w:rPr>
      </w:pPr>
    </w:p>
    <w:p>
      <w:pPr>
        <w:spacing w:after="0" w:line="240" w:lineRule="auto"/>
        <w:rPr>
          <w:rFonts w:ascii="Theinhardt Bold" w:hAnsi="Theinhardt Bold" w:cs="Theinhardt Bold" w:eastAsia="Theinhardt Bold"/>
          <w:sz w:val="25"/>
          <w:szCs w:val="25"/>
        </w:rPr>
        <w:sectPr>
          <w:pgSz w:w="12250" w:h="17180"/>
          <w:pgMar w:top="1020" w:bottom="280" w:left="900" w:right="620"/>
        </w:sectPr>
      </w:pP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Der Gewerbebau in Gams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dient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als Büro-,</w:t>
      </w:r>
      <w:r>
        <w:rPr>
          <w:rFonts w:ascii="Theinhardt Bold" w:hAnsi="Theinhardt Bold" w:cs="Theinhardt Bold" w:eastAsia="Theinhardt Bold"/>
          <w:b/>
          <w:bCs/>
          <w:color w:val="231F20"/>
          <w:spacing w:val="28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Lager- und Produktionsgebäude.</w:t>
      </w:r>
      <w:r>
        <w:rPr>
          <w:rFonts w:ascii="Theinhardt Bold" w:hAnsi="Theinhardt Bold" w:cs="Theinhardt Bold" w:eastAsia="Theinhardt Bold"/>
          <w:b/>
          <w:bCs/>
          <w:color w:val="231F20"/>
          <w:spacing w:val="29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PV-Dach-</w:t>
      </w:r>
      <w:r>
        <w:rPr>
          <w:rFonts w:ascii="Theinhardt Bold" w:hAnsi="Theinhardt Bold" w:cs="Theinhardt Bold" w:eastAsia="Theinhardt Bold"/>
          <w:b/>
          <w:bCs/>
          <w:color w:val="231F20"/>
          <w:spacing w:val="22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anlage produziert rund 380’300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72" w:lineRule="exact" w:before="68"/>
        <w:ind w:left="347" w:right="0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</w:r>
      <w:r>
        <w:rPr>
          <w:rFonts w:ascii="Theinhardt Bold"/>
          <w:b/>
          <w:color w:val="231F20"/>
          <w:spacing w:val="1"/>
          <w:sz w:val="14"/>
        </w:rPr>
        <w:t>Der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PEB</w:t>
      </w:r>
      <w:r>
        <w:rPr>
          <w:rFonts w:ascii="Theinhardt Bold"/>
          <w:b/>
          <w:color w:val="231F20"/>
          <w:sz w:val="14"/>
        </w:rPr>
        <w:t> wird mit solarbetriebenen WP beheizt.</w:t>
      </w:r>
      <w:r>
        <w:rPr>
          <w:rFonts w:ascii="Theinhardt Bold"/>
          <w:sz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207" w:lineRule="auto" w:before="5"/>
        <w:ind w:left="347" w:right="57" w:hanging="227"/>
        <w:jc w:val="both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Die 56 kW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starke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PV-Anlage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ist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optimal in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die</w:t>
      </w:r>
      <w:r>
        <w:rPr>
          <w:rFonts w:ascii="Theinhardt Bold" w:hAnsi="Theinhardt Bold" w:cs="Theinhardt Bold" w:eastAsia="Theinhardt Bold"/>
          <w:b/>
          <w:bCs/>
          <w:color w:val="231F20"/>
          <w:spacing w:val="26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Fassade</w:t>
      </w:r>
      <w:r>
        <w:rPr>
          <w:rFonts w:ascii="Theinhardt Bold" w:hAnsi="Theinhardt Bold" w:cs="Theinhardt Bold" w:eastAsia="Theinhardt Bold"/>
          <w:b/>
          <w:bCs/>
          <w:color w:val="231F20"/>
          <w:sz w:val="14"/>
          <w:szCs w:val="14"/>
        </w:rPr>
        <w:t> integriert und produziert rund 44’200</w:t>
      </w:r>
      <w:r>
        <w:rPr>
          <w:rFonts w:ascii="Theinhardt Bold" w:hAnsi="Theinhardt Bold" w:cs="Theinhardt Bold" w:eastAsia="Theinhardt Bold"/>
          <w:b/>
          <w:bCs/>
          <w:color w:val="231F20"/>
          <w:spacing w:val="24"/>
          <w:sz w:val="14"/>
          <w:szCs w:val="14"/>
        </w:rPr>
        <w:t> </w:t>
      </w:r>
      <w:r>
        <w:rPr>
          <w:rFonts w:ascii="Theinhardt Bold" w:hAnsi="Theinhardt Bold" w:cs="Theinhardt Bold" w:eastAsia="Theinhardt Bold"/>
          <w:b/>
          <w:bCs/>
          <w:color w:val="231F20"/>
          <w:spacing w:val="-1"/>
          <w:sz w:val="14"/>
          <w:szCs w:val="14"/>
        </w:rPr>
        <w:t>kWh/a.</w:t>
      </w:r>
      <w:r>
        <w:rPr>
          <w:rFonts w:ascii="Theinhardt Bold" w:hAnsi="Theinhardt Bold" w:cs="Theinhardt Bold" w:eastAsia="Theinhardt Bold"/>
          <w:sz w:val="14"/>
          <w:szCs w:val="14"/>
        </w:rPr>
      </w:r>
    </w:p>
    <w:p>
      <w:pPr>
        <w:numPr>
          <w:ilvl w:val="0"/>
          <w:numId w:val="1"/>
        </w:numPr>
        <w:tabs>
          <w:tab w:pos="348" w:val="left" w:leader="none"/>
        </w:tabs>
        <w:spacing w:line="160" w:lineRule="exact" w:before="76"/>
        <w:ind w:left="347" w:right="233" w:hanging="227"/>
        <w:jc w:val="left"/>
        <w:rPr>
          <w:rFonts w:ascii="Theinhardt Bold" w:hAnsi="Theinhardt Bold" w:cs="Theinhardt Bold" w:eastAsia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br w:type="column"/>
      </w:r>
      <w:r>
        <w:rPr>
          <w:rFonts w:ascii="Theinhardt Bold"/>
          <w:b/>
          <w:color w:val="231F20"/>
          <w:spacing w:val="1"/>
          <w:sz w:val="14"/>
        </w:rPr>
        <w:t>Der</w:t>
      </w:r>
      <w:r>
        <w:rPr>
          <w:rFonts w:ascii="Theinhardt Bold"/>
          <w:b/>
          <w:color w:val="231F20"/>
          <w:sz w:val="14"/>
        </w:rPr>
        <w:t> produzierte </w:t>
      </w:r>
      <w:r>
        <w:rPr>
          <w:rFonts w:ascii="Theinhardt Bold"/>
          <w:b/>
          <w:color w:val="231F20"/>
          <w:spacing w:val="-1"/>
          <w:sz w:val="14"/>
        </w:rPr>
        <w:t>Solarstrom</w:t>
      </w:r>
      <w:r>
        <w:rPr>
          <w:rFonts w:ascii="Theinhardt Bold"/>
          <w:b/>
          <w:color w:val="231F20"/>
          <w:sz w:val="14"/>
        </w:rPr>
        <w:t> wird vor </w:t>
      </w:r>
      <w:r>
        <w:rPr>
          <w:rFonts w:ascii="Theinhardt Bold"/>
          <w:b/>
          <w:color w:val="231F20"/>
          <w:spacing w:val="-1"/>
          <w:sz w:val="14"/>
        </w:rPr>
        <w:t>allem</w:t>
      </w:r>
      <w:r>
        <w:rPr>
          <w:rFonts w:ascii="Theinhardt Bold"/>
          <w:b/>
          <w:color w:val="231F20"/>
          <w:sz w:val="14"/>
        </w:rPr>
        <w:t> von</w:t>
      </w:r>
      <w:r>
        <w:rPr>
          <w:rFonts w:ascii="Theinhardt Bold"/>
          <w:b/>
          <w:color w:val="231F20"/>
          <w:spacing w:val="3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Eigenverbrauchsgemeinschaft</w:t>
      </w:r>
      <w:r>
        <w:rPr>
          <w:rFonts w:ascii="Theinhardt Bold"/>
          <w:b/>
          <w:color w:val="231F20"/>
          <w:sz w:val="14"/>
        </w:rPr>
        <w:t> </w:t>
      </w:r>
      <w:r>
        <w:rPr>
          <w:rFonts w:ascii="Theinhardt Bold"/>
          <w:b/>
          <w:color w:val="231F20"/>
          <w:spacing w:val="1"/>
          <w:sz w:val="14"/>
        </w:rPr>
        <w:t>genutzt,</w:t>
      </w:r>
      <w:r>
        <w:rPr>
          <w:rFonts w:ascii="Theinhardt Bold"/>
          <w:b/>
          <w:color w:val="231F20"/>
          <w:spacing w:val="-6"/>
          <w:sz w:val="14"/>
        </w:rPr>
        <w:t> </w:t>
      </w:r>
      <w:r>
        <w:rPr>
          <w:rFonts w:ascii="Theinhardt Bold"/>
          <w:b/>
          <w:color w:val="231F20"/>
          <w:spacing w:val="-1"/>
          <w:sz w:val="14"/>
        </w:rPr>
        <w:t>die</w:t>
      </w:r>
      <w:r>
        <w:rPr>
          <w:rFonts w:ascii="Theinhardt Bold"/>
          <w:b/>
          <w:color w:val="231F20"/>
          <w:spacing w:val="54"/>
          <w:sz w:val="14"/>
        </w:rPr>
        <w:t> </w:t>
      </w:r>
      <w:r>
        <w:rPr>
          <w:rFonts w:ascii="Theinhardt Bold"/>
          <w:b/>
          <w:color w:val="231F20"/>
          <w:sz w:val="14"/>
        </w:rPr>
        <w:t>12 Firmen umfasst.</w:t>
      </w:r>
      <w:r>
        <w:rPr>
          <w:rFonts w:ascii="Theinhardt Bold"/>
          <w:sz w:val="14"/>
        </w:rPr>
      </w:r>
    </w:p>
    <w:p>
      <w:pPr>
        <w:spacing w:after="0" w:line="160" w:lineRule="exact"/>
        <w:jc w:val="left"/>
        <w:rPr>
          <w:rFonts w:ascii="Theinhardt Bold" w:hAnsi="Theinhardt Bold" w:cs="Theinhardt Bold" w:eastAsia="Theinhardt Bold"/>
          <w:sz w:val="14"/>
          <w:szCs w:val="14"/>
        </w:rPr>
        <w:sectPr>
          <w:type w:val="continuous"/>
          <w:pgSz w:w="12250" w:h="17180"/>
          <w:pgMar w:top="1000" w:bottom="280" w:left="900" w:right="620"/>
          <w:cols w:num="3" w:equalWidth="0">
            <w:col w:w="3373" w:space="199"/>
            <w:col w:w="3378" w:space="194"/>
            <w:col w:w="3586"/>
          </w:cols>
        </w:sectPr>
      </w:pPr>
    </w:p>
    <w:p>
      <w:pPr>
        <w:spacing w:line="240" w:lineRule="auto" w:before="5"/>
        <w:rPr>
          <w:rFonts w:ascii="Theinhardt Bold" w:hAnsi="Theinhardt Bold" w:cs="Theinhardt Bold" w:eastAsia="Theinhardt Bold"/>
          <w:b/>
          <w:bCs/>
          <w:sz w:val="22"/>
          <w:szCs w:val="22"/>
        </w:rPr>
      </w:pPr>
    </w:p>
    <w:p>
      <w:pPr>
        <w:spacing w:before="70"/>
        <w:ind w:left="6676" w:right="0" w:firstLine="0"/>
        <w:jc w:val="left"/>
        <w:rPr>
          <w:rFonts w:ascii="Theinhardt Heavy" w:hAnsi="Theinhardt Heavy" w:cs="Theinhardt Heavy" w:eastAsia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> 2018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> 2018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Regular"/>
          <w:color w:val="231F20"/>
          <w:sz w:val="14"/>
        </w:rPr>
        <w:t>|   </w:t>
      </w:r>
      <w:r>
        <w:rPr>
          <w:rFonts w:ascii="Theinhardt Regular"/>
          <w:color w:val="231F20"/>
          <w:spacing w:val="14"/>
          <w:sz w:val="14"/>
        </w:rPr>
        <w:t> </w:t>
      </w:r>
      <w:r>
        <w:rPr>
          <w:rFonts w:ascii="Theinhardt Heavy"/>
          <w:b/>
          <w:color w:val="231F20"/>
          <w:sz w:val="14"/>
        </w:rPr>
        <w:t>37</w:t>
      </w:r>
      <w:r>
        <w:rPr>
          <w:rFonts w:ascii="Theinhardt Heavy"/>
          <w:sz w:val="14"/>
        </w:rPr>
      </w:r>
    </w:p>
    <w:sectPr>
      <w:type w:val="continuous"/>
      <w:pgSz w:w="12250" w:h="17180"/>
      <w:pgMar w:top="1000" w:bottom="280" w:left="90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heinhardt Heavy">
    <w:altName w:val="Theinhardt Heavy"/>
    <w:charset w:val="0"/>
    <w:family w:val="swiss"/>
    <w:pitch w:val="variable"/>
  </w:font>
  <w:font w:name="Theinhardt Regular">
    <w:altName w:val="Theinhardt Regular"/>
    <w:charset w:val="0"/>
    <w:family w:val="swiss"/>
    <w:pitch w:val="variable"/>
  </w:font>
  <w:font w:name="Theinhardt Regular Italic">
    <w:altName w:val="Theinhardt Regular Italic"/>
    <w:charset w:val="0"/>
    <w:family w:val="swiss"/>
    <w:pitch w:val="variable"/>
  </w:font>
  <w:font w:name="Theinhardt Bold">
    <w:altName w:val="Theinhardt Bold"/>
    <w:charset w:val="0"/>
    <w:family w:val="swiss"/>
    <w:pitch w:val="variable"/>
  </w:font>
  <w:font w:name="Theinhardt Black">
    <w:altName w:val="Theinhardt Black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347" w:hanging="227"/>
        <w:jc w:val="left"/>
      </w:pPr>
      <w:rPr>
        <w:rFonts w:hint="default" w:ascii="Theinhardt Bold" w:hAnsi="Theinhardt Bold" w:eastAsia="Theinhardt Bold"/>
        <w:b/>
        <w:bCs/>
        <w:color w:val="231F20"/>
        <w:sz w:val="14"/>
        <w:szCs w:val="14"/>
      </w:rPr>
    </w:lvl>
    <w:lvl w:ilvl="1">
      <w:start w:val="1"/>
      <w:numFmt w:val="bullet"/>
      <w:lvlText w:val="•"/>
      <w:lvlJc w:val="left"/>
      <w:pPr>
        <w:ind w:left="649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5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54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7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859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62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64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67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7" w:firstLine="226"/>
    </w:pPr>
    <w:rPr>
      <w:rFonts w:ascii="Theinhardt Regular Italic" w:hAnsi="Theinhardt Regular Italic" w:eastAsia="Theinhardt Regular Italic"/>
      <w:i/>
      <w:sz w:val="18"/>
      <w:szCs w:val="18"/>
    </w:rPr>
  </w:style>
  <w:style w:styleId="Heading1" w:type="paragraph">
    <w:name w:val="Heading 1"/>
    <w:basedOn w:val="Normal"/>
    <w:uiPriority w:val="1"/>
    <w:qFormat/>
    <w:pPr>
      <w:ind w:left="117" w:firstLine="226"/>
      <w:outlineLvl w:val="1"/>
    </w:pPr>
    <w:rPr>
      <w:rFonts w:ascii="Theinhardt Regular" w:hAnsi="Theinhardt Regular" w:eastAsia="Theinhardt Regular"/>
      <w:sz w:val="18"/>
      <w:szCs w:val="1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mailto:info@energie-bauberatung.ch" TargetMode="External"/><Relationship Id="rId7" Type="http://schemas.openxmlformats.org/officeDocument/2006/relationships/hyperlink" Target="mailto:r.schoeb@schoeb-holzbau.ch" TargetMode="External"/><Relationship Id="rId8" Type="http://schemas.openxmlformats.org/officeDocument/2006/relationships/hyperlink" Target="mailto:kontakt@heizplan.ch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2018-10-02T09:54:07Z</dcterms:created>
  <dcterms:modified xsi:type="dcterms:W3CDTF">2018-10-02T09:54:07Z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2018-10-02T00:00:00Z</vt:filetime>
  </property>
  <property fmtid="{D5CDD505-2E9C-101B-9397-08002B2CF9AE}" pid="3" name="LastSaved">
    <vt:filetime>2018-10-02T00:00:00Z</vt:filetime>
  </property>
</Properties>
</file>