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F7F893" w14:textId="77777777" w:rsidR="00244B64" w:rsidRDefault="00181077">
      <w:pPr>
        <w:pStyle w:val="berschrift2"/>
        <w:tabs>
          <w:tab w:val="left" w:pos="2613"/>
        </w:tabs>
        <w:spacing w:line="230" w:lineRule="exact"/>
        <w:ind w:left="174"/>
        <w:jc w:val="both"/>
        <w:rPr>
          <w:rFonts w:ascii="Theinhardt Regular" w:eastAsia="Theinhardt Regular" w:hAnsi="Theinhardt Regular" w:cs="Theinhardt Regular"/>
          <w:b w:val="0"/>
          <w:bCs w:val="0"/>
        </w:rPr>
      </w:pPr>
      <w:r>
        <w:pict w14:anchorId="698376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0" type="#_x0000_t75" style="position:absolute;left:0;text-align:left;margin-left:28.35pt;margin-top:53.85pt;width:82.2pt;height:60.2pt;z-index:1144;mso-position-horizontal-relative:page">
            <v:imagedata r:id="rId5" o:title=""/>
            <w10:wrap anchorx="page"/>
          </v:shape>
        </w:pict>
      </w:r>
      <w:r>
        <w:pict w14:anchorId="736797CC">
          <v:group id="_x0000_s1098" style="position:absolute;left:0;text-align:left;margin-left:28.9pt;margin-top:13.65pt;width:.1pt;height:.1pt;z-index:-9016;mso-position-horizontal-relative:page" coordorigin="578,273" coordsize="2,2">
            <v:shape id="_x0000_s1099" style="position:absolute;left:578;top:273;width:2;height:2" coordorigin="578,273" coordsize="0,0" path="m578,273r,e" filled="f" strokecolor="#231f20" strokeweight=".14994mm">
              <v:path arrowok="t"/>
            </v:shape>
            <w10:wrap anchorx="page"/>
          </v:group>
        </w:pict>
      </w:r>
      <w:r>
        <w:pict w14:anchorId="68375D20">
          <v:group id="_x0000_s1096" style="position:absolute;left:0;text-align:left;margin-left:151.1pt;margin-top:13.65pt;width:.1pt;height:.1pt;z-index:1192;mso-position-horizontal-relative:page" coordorigin="3022,273" coordsize="2,2">
            <v:shape id="_x0000_s1097" style="position:absolute;left:3022;top:273;width:2;height:2" coordorigin="3022,273" coordsize="0,0" path="m3022,273r,e" filled="f" strokecolor="#231f20" strokeweight=".14994mm">
              <v:path arrowok="t"/>
            </v:shape>
            <w10:wrap anchorx="page"/>
          </v:group>
        </w:pict>
      </w:r>
      <w:r>
        <w:pict w14:anchorId="2EFC83BF">
          <v:group id="_x0000_s1094" style="position:absolute;left:0;text-align:left;margin-left:28.9pt;margin-top:25.15pt;width:.1pt;height:.1pt;z-index:-8968;mso-position-horizontal-relative:page" coordorigin="578,503" coordsize="2,2">
            <v:shape id="_x0000_s1095" style="position:absolute;left:578;top:503;width:2;height:2" coordorigin="578,503" coordsize="0,0" path="m578,503r,e" filled="f" strokecolor="#231f20" strokeweight=".14994mm">
              <v:path arrowok="t"/>
            </v:shape>
            <w10:wrap anchorx="page"/>
          </v:group>
        </w:pict>
      </w:r>
      <w:r>
        <w:pict w14:anchorId="2856F82D">
          <v:group id="_x0000_s1092" style="position:absolute;left:0;text-align:left;margin-left:151.1pt;margin-top:25.15pt;width:.1pt;height:.1pt;z-index:1240;mso-position-horizontal-relative:page" coordorigin="3022,503" coordsize="2,2">
            <v:shape id="_x0000_s1093" style="position:absolute;left:3022;top:503;width:2;height:2" coordorigin="3022,503" coordsize="0,0" path="m3022,503r,e" filled="f" strokecolor="#231f20" strokeweight=".14994mm">
              <v:path arrowok="t"/>
            </v:shape>
            <w10:wrap anchorx="page"/>
          </v:group>
        </w:pict>
      </w:r>
      <w:r>
        <w:rPr>
          <w:rFonts w:ascii="Theinhardt Black" w:hAnsi="Theinhardt Black"/>
          <w:color w:val="231F20"/>
          <w:spacing w:val="2"/>
          <w:u w:val="dotted" w:color="231F20"/>
        </w:rPr>
        <w:t>Catégorie</w:t>
      </w:r>
      <w:r>
        <w:rPr>
          <w:rFonts w:ascii="Theinhardt Black" w:hAnsi="Theinhardt Black"/>
          <w:color w:val="231F20"/>
          <w:u w:val="dotted" w:color="231F20"/>
        </w:rPr>
        <w:t xml:space="preserve">                         </w:t>
      </w:r>
      <w:r>
        <w:rPr>
          <w:rFonts w:ascii="Theinhardt Black" w:hAnsi="Theinhardt Black"/>
          <w:color w:val="231F20"/>
          <w:spacing w:val="17"/>
          <w:u w:val="dotted" w:color="231F20"/>
        </w:rPr>
        <w:t xml:space="preserve"> </w:t>
      </w:r>
      <w:r>
        <w:rPr>
          <w:rFonts w:ascii="Theinhardt Black" w:hAnsi="Theinhardt Black"/>
          <w:color w:val="231F20"/>
          <w:u w:val="dotted" w:color="231F20"/>
        </w:rPr>
        <w:t xml:space="preserve">B </w:t>
      </w:r>
      <w:r>
        <w:rPr>
          <w:rFonts w:ascii="Theinhardt Black" w:hAnsi="Theinhardt Black"/>
          <w:color w:val="231F20"/>
          <w:u w:val="dotted" w:color="231F20"/>
        </w:rPr>
        <w:tab/>
      </w:r>
      <w:r>
        <w:rPr>
          <w:rFonts w:ascii="Theinhardt Black" w:hAnsi="Theinhardt Black"/>
          <w:color w:val="231F20"/>
          <w:spacing w:val="21"/>
        </w:rPr>
        <w:t xml:space="preserve"> </w:t>
      </w:r>
      <w:r>
        <w:rPr>
          <w:rFonts w:ascii="Theinhardt Black" w:hAnsi="Theinhardt Black"/>
          <w:color w:val="231F20"/>
          <w:spacing w:val="3"/>
          <w:u w:val="dotted" w:color="231F20"/>
        </w:rPr>
        <w:t>Bât.</w:t>
      </w:r>
      <w:r>
        <w:rPr>
          <w:rFonts w:ascii="Theinhardt Black" w:hAnsi="Theinhardt Black"/>
          <w:color w:val="231F20"/>
          <w:spacing w:val="-11"/>
          <w:u w:val="dotted" w:color="231F20"/>
        </w:rPr>
        <w:t xml:space="preserve"> </w:t>
      </w:r>
      <w:r>
        <w:rPr>
          <w:rFonts w:ascii="Theinhardt Black" w:hAnsi="Theinhardt Black"/>
          <w:color w:val="231F20"/>
          <w:u w:val="dotted" w:color="231F20"/>
        </w:rPr>
        <w:t xml:space="preserve">à Énergie </w:t>
      </w:r>
      <w:r>
        <w:rPr>
          <w:rFonts w:ascii="Theinhardt Black" w:hAnsi="Theinhardt Black"/>
          <w:color w:val="231F20"/>
          <w:spacing w:val="1"/>
          <w:u w:val="dotted" w:color="231F20"/>
        </w:rPr>
        <w:t>Positive</w:t>
      </w:r>
      <w:r>
        <w:rPr>
          <w:rFonts w:ascii="Theinhardt Black" w:hAnsi="Theinhardt Black"/>
          <w:color w:val="231F20"/>
          <w:u w:val="dotted" w:color="231F20"/>
        </w:rPr>
        <w:t xml:space="preserve">          </w:t>
      </w:r>
      <w:r>
        <w:rPr>
          <w:rFonts w:ascii="Theinhardt Black" w:hAnsi="Theinhardt Black"/>
          <w:color w:val="231F20"/>
          <w:spacing w:val="10"/>
          <w:u w:val="dotted" w:color="231F20"/>
        </w:rPr>
        <w:t xml:space="preserve"> </w:t>
      </w:r>
      <w:r>
        <w:rPr>
          <w:rFonts w:ascii="Theinhardt Black" w:hAnsi="Theinhardt Black"/>
          <w:color w:val="231F20"/>
          <w:spacing w:val="34"/>
        </w:rPr>
        <w:t xml:space="preserve"> </w:t>
      </w:r>
      <w:r>
        <w:rPr>
          <w:rFonts w:ascii="Theinhardt Regular" w:hAnsi="Theinhardt Regular"/>
          <w:b w:val="0"/>
          <w:color w:val="231F20"/>
          <w:spacing w:val="-1"/>
        </w:rPr>
        <w:t>Diplôme</w:t>
      </w:r>
      <w:r>
        <w:rPr>
          <w:rFonts w:ascii="Theinhardt Regular" w:hAnsi="Theinhardt Regular"/>
          <w:b w:val="0"/>
          <w:color w:val="231F20"/>
          <w:spacing w:val="1"/>
        </w:rPr>
        <w:t xml:space="preserve"> </w:t>
      </w:r>
      <w:r>
        <w:rPr>
          <w:rFonts w:ascii="Theinhardt Regular" w:hAnsi="Theinhardt Regular"/>
          <w:b w:val="0"/>
          <w:color w:val="231F20"/>
          <w:spacing w:val="-1"/>
        </w:rPr>
        <w:t>BEP</w:t>
      </w:r>
      <w:r>
        <w:rPr>
          <w:rFonts w:ascii="Theinhardt Regular" w:hAnsi="Theinhardt Regular"/>
          <w:b w:val="0"/>
          <w:color w:val="231F20"/>
          <w:spacing w:val="-1"/>
          <w:position w:val="6"/>
          <w:sz w:val="10"/>
        </w:rPr>
        <w:t>®</w:t>
      </w:r>
      <w:r>
        <w:rPr>
          <w:rFonts w:ascii="Theinhardt Regular" w:hAnsi="Theinhardt Regular"/>
          <w:b w:val="0"/>
          <w:color w:val="231F20"/>
          <w:spacing w:val="23"/>
          <w:position w:val="6"/>
          <w:sz w:val="10"/>
        </w:rPr>
        <w:t xml:space="preserve"> </w:t>
      </w:r>
      <w:r>
        <w:rPr>
          <w:rFonts w:ascii="Theinhardt Regular" w:hAnsi="Theinhardt Regular"/>
          <w:b w:val="0"/>
          <w:color w:val="231F20"/>
        </w:rPr>
        <w:t>2020</w:t>
      </w:r>
    </w:p>
    <w:p w14:paraId="690812F1" w14:textId="77777777" w:rsidR="00244B64" w:rsidRDefault="00181077">
      <w:pPr>
        <w:spacing w:before="38" w:line="230" w:lineRule="exact"/>
        <w:ind w:left="166" w:right="127"/>
        <w:jc w:val="both"/>
        <w:rPr>
          <w:rFonts w:ascii="Theinhardt Bold" w:eastAsia="Theinhardt Bold" w:hAnsi="Theinhardt Bold" w:cs="Theinhardt Bold"/>
          <w:sz w:val="18"/>
          <w:szCs w:val="18"/>
        </w:rPr>
      </w:pPr>
      <w:r>
        <w:br w:type="column"/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Homsphere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réalise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à</w:t>
      </w:r>
      <w:r>
        <w:rPr>
          <w:rFonts w:ascii="Theinhardt Bold" w:eastAsia="Theinhardt Bold" w:hAnsi="Theinhardt Bold" w:cs="Theinhardt Bold"/>
          <w:b/>
          <w:bCs/>
          <w:color w:val="231F20"/>
          <w:spacing w:val="-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Thônex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(GE)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un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écoquartier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composé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six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villas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Minergie-P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contiguës</w:t>
      </w:r>
      <w:r>
        <w:rPr>
          <w:rFonts w:ascii="Theinhardt Bold" w:eastAsia="Theinhardt Bold" w:hAnsi="Theinhardt Bold" w:cs="Theinhardt Bold"/>
          <w:b/>
          <w:bCs/>
          <w:color w:val="231F20"/>
          <w:spacing w:val="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et</w:t>
      </w:r>
      <w:r>
        <w:rPr>
          <w:rFonts w:ascii="Theinhardt Bold" w:eastAsia="Theinhardt Bold" w:hAnsi="Theinhardt Bold" w:cs="Theinhardt Bold"/>
          <w:b/>
          <w:bCs/>
          <w:color w:val="231F20"/>
          <w:spacing w:val="7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bien</w:t>
      </w:r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isolées.</w:t>
      </w:r>
      <w:r>
        <w:rPr>
          <w:rFonts w:ascii="Theinhardt Bold" w:eastAsia="Theinhardt Bold" w:hAnsi="Theinhardt Bold" w:cs="Theinhardt Bold"/>
          <w:b/>
          <w:bCs/>
          <w:color w:val="231F20"/>
          <w:spacing w:val="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L’infrastructure</w:t>
      </w:r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8"/>
          <w:szCs w:val="18"/>
        </w:rPr>
        <w:t>PV</w:t>
      </w:r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d’une</w:t>
      </w:r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puissance</w:t>
      </w:r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63,6</w:t>
      </w:r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kW</w:t>
      </w:r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placée</w:t>
      </w:r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sur</w:t>
      </w:r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les</w:t>
      </w:r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toits</w:t>
      </w:r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plats</w:t>
      </w:r>
      <w:r>
        <w:rPr>
          <w:rFonts w:ascii="Theinhardt Bold" w:eastAsia="Theinhardt Bold" w:hAnsi="Theinhardt Bold" w:cs="Theinhardt Bold"/>
          <w:b/>
          <w:bCs/>
          <w:color w:val="231F20"/>
          <w:spacing w:val="1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génère</w:t>
      </w:r>
      <w:r>
        <w:rPr>
          <w:rFonts w:ascii="Theinhardt Bold" w:eastAsia="Theinhardt Bold" w:hAnsi="Theinhardt Bold" w:cs="Theinhardt Bold"/>
          <w:b/>
          <w:bCs/>
          <w:color w:val="231F20"/>
          <w:spacing w:val="44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54’800</w:t>
      </w:r>
      <w:r>
        <w:rPr>
          <w:rFonts w:ascii="Theinhardt Bold" w:eastAsia="Theinhardt Bold" w:hAnsi="Theinhardt Bold" w:cs="Theinhardt Bold"/>
          <w:b/>
          <w:bCs/>
          <w:color w:val="231F20"/>
          <w:spacing w:val="-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kWh/a,</w:t>
      </w:r>
      <w:r>
        <w:rPr>
          <w:rFonts w:ascii="Theinhardt Bold" w:eastAsia="Theinhardt Bold" w:hAnsi="Theinhardt Bold" w:cs="Theinhardt Bold"/>
          <w:b/>
          <w:bCs/>
          <w:color w:val="231F20"/>
          <w:spacing w:val="-1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dont</w:t>
      </w:r>
      <w:r>
        <w:rPr>
          <w:rFonts w:ascii="Theinhardt Bold" w:eastAsia="Theinhardt Bold" w:hAnsi="Theinhardt Bold" w:cs="Theinhardt Bold"/>
          <w:b/>
          <w:bCs/>
          <w:color w:val="231F20"/>
          <w:spacing w:val="-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36’200</w:t>
      </w:r>
      <w:r>
        <w:rPr>
          <w:rFonts w:ascii="Theinhardt Bold" w:eastAsia="Theinhardt Bold" w:hAnsi="Theinhardt Bold" w:cs="Theinhardt Bold"/>
          <w:b/>
          <w:bCs/>
          <w:color w:val="231F20"/>
          <w:spacing w:val="-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kWh/a</w:t>
      </w:r>
      <w:r>
        <w:rPr>
          <w:rFonts w:ascii="Theinhardt Bold" w:eastAsia="Theinhardt Bold" w:hAnsi="Theinhardt Bold" w:cs="Theinhardt Bold"/>
          <w:b/>
          <w:bCs/>
          <w:color w:val="231F20"/>
          <w:spacing w:val="-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alimentent</w:t>
      </w:r>
      <w:r>
        <w:rPr>
          <w:rFonts w:ascii="Theinhardt Bold" w:eastAsia="Theinhardt Bold" w:hAnsi="Theinhardt Bold" w:cs="Theinhardt Bold"/>
          <w:b/>
          <w:bCs/>
          <w:color w:val="231F20"/>
          <w:spacing w:val="-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le</w:t>
      </w:r>
      <w:r>
        <w:rPr>
          <w:rFonts w:ascii="Theinhardt Bold" w:eastAsia="Theinhardt Bold" w:hAnsi="Theinhardt Bold" w:cs="Theinhardt Bold"/>
          <w:b/>
          <w:bCs/>
          <w:color w:val="231F20"/>
          <w:spacing w:val="-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lotissement,</w:t>
      </w:r>
      <w:r>
        <w:rPr>
          <w:rFonts w:ascii="Theinhardt Bold" w:eastAsia="Theinhardt Bold" w:hAnsi="Theinhardt Bold" w:cs="Theinhardt Bold"/>
          <w:b/>
          <w:bCs/>
          <w:color w:val="231F20"/>
          <w:spacing w:val="-1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soit</w:t>
      </w:r>
      <w:r>
        <w:rPr>
          <w:rFonts w:ascii="Theinhardt Bold" w:eastAsia="Theinhardt Bold" w:hAnsi="Theinhardt Bold" w:cs="Theinhardt Bold"/>
          <w:b/>
          <w:bCs/>
          <w:color w:val="231F20"/>
          <w:spacing w:val="-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un</w:t>
      </w:r>
      <w:r>
        <w:rPr>
          <w:rFonts w:ascii="Theinhardt Bold" w:eastAsia="Theinhardt Bold" w:hAnsi="Theinhardt Bold" w:cs="Theinhardt Bold"/>
          <w:b/>
          <w:bCs/>
          <w:color w:val="231F20"/>
          <w:spacing w:val="-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excédent</w:t>
      </w:r>
      <w:r>
        <w:rPr>
          <w:rFonts w:ascii="Theinhardt Bold" w:eastAsia="Theinhardt Bold" w:hAnsi="Theinhardt Bold" w:cs="Theinhardt Bold"/>
          <w:b/>
          <w:bCs/>
          <w:color w:val="231F20"/>
          <w:spacing w:val="-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solaire</w:t>
      </w:r>
      <w:r>
        <w:rPr>
          <w:rFonts w:ascii="Theinhardt Bold" w:eastAsia="Theinhardt Bold" w:hAnsi="Theinhardt Bold" w:cs="Theinhardt Bold"/>
          <w:b/>
          <w:bCs/>
          <w:color w:val="231F20"/>
          <w:spacing w:val="-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pacing w:val="-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18’600</w:t>
      </w:r>
      <w:r>
        <w:rPr>
          <w:rFonts w:ascii="Theinhardt Bold" w:eastAsia="Theinhardt Bold" w:hAnsi="Theinhardt Bold" w:cs="Theinhardt Bold"/>
          <w:b/>
          <w:bCs/>
          <w:color w:val="231F20"/>
          <w:spacing w:val="5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2"/>
          <w:sz w:val="18"/>
          <w:szCs w:val="18"/>
        </w:rPr>
        <w:t>kWh/a.</w:t>
      </w:r>
      <w:r>
        <w:rPr>
          <w:rFonts w:ascii="Theinhardt Bold" w:eastAsia="Theinhardt Bold" w:hAnsi="Theinhardt Bold" w:cs="Theinhardt Bold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Le</w:t>
      </w:r>
      <w:r>
        <w:rPr>
          <w:rFonts w:ascii="Theinhardt Bold" w:eastAsia="Theinhardt Bold" w:hAnsi="Theinhardt Bold" w:cs="Theinhardt Bold"/>
          <w:b/>
          <w:bCs/>
          <w:color w:val="231F20"/>
          <w:spacing w:val="-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lotissement</w:t>
      </w:r>
      <w:r>
        <w:rPr>
          <w:rFonts w:ascii="Theinhardt Bold" w:eastAsia="Theinhardt Bold" w:hAnsi="Theinhardt Bold" w:cs="Theinhardt Bold"/>
          <w:b/>
          <w:bCs/>
          <w:color w:val="231F20"/>
          <w:spacing w:val="-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Bâtiments</w:t>
      </w:r>
      <w:r>
        <w:rPr>
          <w:rFonts w:ascii="Theinhardt Bold" w:eastAsia="Theinhardt Bold" w:hAnsi="Theinhardt Bold" w:cs="Theinhardt Bold"/>
          <w:b/>
          <w:bCs/>
          <w:color w:val="231F20"/>
          <w:spacing w:val="-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à</w:t>
      </w:r>
      <w:r>
        <w:rPr>
          <w:rFonts w:ascii="Theinhardt Bold" w:eastAsia="Theinhardt Bold" w:hAnsi="Theinhardt Bold" w:cs="Theinhardt Bold"/>
          <w:b/>
          <w:bCs/>
          <w:color w:val="231F20"/>
          <w:spacing w:val="-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Énergie</w:t>
      </w:r>
      <w:r>
        <w:rPr>
          <w:rFonts w:ascii="Theinhardt Bold" w:eastAsia="Theinhardt Bold" w:hAnsi="Theinhardt Bold" w:cs="Theinhardt Bold"/>
          <w:b/>
          <w:bCs/>
          <w:color w:val="231F20"/>
          <w:spacing w:val="-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Positive</w:t>
      </w:r>
      <w:r>
        <w:rPr>
          <w:rFonts w:ascii="Theinhardt Bold" w:eastAsia="Theinhardt Bold" w:hAnsi="Theinhardt Bold" w:cs="Theinhardt Bold"/>
          <w:b/>
          <w:bCs/>
          <w:color w:val="231F20"/>
          <w:spacing w:val="-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(BEP)</w:t>
      </w:r>
      <w:r>
        <w:rPr>
          <w:rFonts w:ascii="Theinhardt Bold" w:eastAsia="Theinhardt Bold" w:hAnsi="Theinhardt Bold" w:cs="Theinhardt Bold"/>
          <w:b/>
          <w:bCs/>
          <w:color w:val="231F20"/>
          <w:spacing w:val="-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situé</w:t>
      </w:r>
      <w:r>
        <w:rPr>
          <w:rFonts w:ascii="Theinhardt Bold" w:eastAsia="Theinhardt Bold" w:hAnsi="Theinhardt Bold" w:cs="Theinhardt Bold"/>
          <w:b/>
          <w:bCs/>
          <w:color w:val="231F20"/>
          <w:spacing w:val="-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à</w:t>
      </w:r>
      <w:r>
        <w:rPr>
          <w:rFonts w:ascii="Theinhardt Bold" w:eastAsia="Theinhardt Bold" w:hAnsi="Theinhardt Bold" w:cs="Theinhardt Bold"/>
          <w:b/>
          <w:bCs/>
          <w:color w:val="231F20"/>
          <w:spacing w:val="-20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Thônex</w:t>
      </w:r>
      <w:r>
        <w:rPr>
          <w:rFonts w:ascii="Theinhardt Bold" w:eastAsia="Theinhardt Bold" w:hAnsi="Theinhardt Bold" w:cs="Theinhardt Bold"/>
          <w:b/>
          <w:bCs/>
          <w:color w:val="231F20"/>
          <w:spacing w:val="-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est</w:t>
      </w:r>
      <w:r>
        <w:rPr>
          <w:rFonts w:ascii="Theinhardt Bold" w:eastAsia="Theinhardt Bold" w:hAnsi="Theinhardt Bold" w:cs="Theinhardt Bold"/>
          <w:b/>
          <w:bCs/>
          <w:color w:val="231F20"/>
          <w:spacing w:val="-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le</w:t>
      </w:r>
      <w:r>
        <w:rPr>
          <w:rFonts w:ascii="Theinhardt Bold" w:eastAsia="Theinhardt Bold" w:hAnsi="Theinhardt Bold" w:cs="Theinhardt Bold"/>
          <w:b/>
          <w:bCs/>
          <w:color w:val="231F20"/>
          <w:spacing w:val="-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premier</w:t>
      </w:r>
      <w:r>
        <w:rPr>
          <w:rFonts w:ascii="Theinhardt Bold" w:eastAsia="Theinhardt Bold" w:hAnsi="Theinhardt Bold" w:cs="Theinhardt Bold"/>
          <w:b/>
          <w:bCs/>
          <w:color w:val="231F20"/>
          <w:spacing w:val="-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pacing w:val="-13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Suisse</w:t>
      </w:r>
      <w:r>
        <w:rPr>
          <w:rFonts w:ascii="Theinhardt Bold" w:eastAsia="Theinhardt Bold" w:hAnsi="Theinhardt Bold" w:cs="Theinhardt Bold"/>
          <w:b/>
          <w:bCs/>
          <w:color w:val="231F20"/>
          <w:spacing w:val="9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romande</w:t>
      </w:r>
      <w:r>
        <w:rPr>
          <w:rFonts w:ascii="Theinhardt Bold" w:eastAsia="Theinhardt Bold" w:hAnsi="Theinhardt Bold" w:cs="Theinhardt Bold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et</w:t>
      </w:r>
      <w:r>
        <w:rPr>
          <w:rFonts w:ascii="Theinhardt Bold" w:eastAsia="Theinhardt Bold" w:hAnsi="Theinhardt Bold" w:cs="Theinhardt Bold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il</w:t>
      </w:r>
      <w:r>
        <w:rPr>
          <w:rFonts w:ascii="Theinhardt Bold" w:eastAsia="Theinhardt Bold" w:hAnsi="Theinhardt Bold" w:cs="Theinhardt Bold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surpasse</w:t>
      </w:r>
      <w:r>
        <w:rPr>
          <w:rFonts w:ascii="Theinhardt Bold" w:eastAsia="Theinhardt Bold" w:hAnsi="Theinhardt Bold" w:cs="Theinhardt Bold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tous</w:t>
      </w:r>
      <w:r>
        <w:rPr>
          <w:rFonts w:ascii="Theinhardt Bold" w:eastAsia="Theinhardt Bold" w:hAnsi="Theinhardt Bold" w:cs="Theinhardt Bold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les</w:t>
      </w:r>
      <w:r>
        <w:rPr>
          <w:rFonts w:ascii="Theinhardt Bold" w:eastAsia="Theinhardt Bold" w:hAnsi="Theinhardt Bold" w:cs="Theinhardt Bold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autres</w:t>
      </w:r>
      <w:r>
        <w:rPr>
          <w:rFonts w:ascii="Theinhardt Bold" w:eastAsia="Theinhardt Bold" w:hAnsi="Theinhardt Bold" w:cs="Theinhardt Bold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grâce</w:t>
      </w:r>
      <w:r>
        <w:rPr>
          <w:rFonts w:ascii="Theinhardt Bold" w:eastAsia="Theinhardt Bold" w:hAnsi="Theinhardt Bold" w:cs="Theinhardt Bold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à</w:t>
      </w:r>
      <w:r>
        <w:rPr>
          <w:rFonts w:ascii="Theinhardt Bold" w:eastAsia="Theinhardt Bold" w:hAnsi="Theinhardt Bold" w:cs="Theinhardt Bold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ses</w:t>
      </w:r>
      <w:r>
        <w:rPr>
          <w:rFonts w:ascii="Theinhardt Bold" w:eastAsia="Theinhardt Bold" w:hAnsi="Theinhardt Bold" w:cs="Theinhardt Bold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excellentes</w:t>
      </w:r>
      <w:r>
        <w:rPr>
          <w:rFonts w:ascii="Theinhardt Bold" w:eastAsia="Theinhardt Bold" w:hAnsi="Theinhardt Bold" w:cs="Theinhardt Bold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valeurs</w:t>
      </w:r>
      <w:r>
        <w:rPr>
          <w:rFonts w:ascii="Theinhardt Bold" w:eastAsia="Theinhardt Bold" w:hAnsi="Theinhardt Bold" w:cs="Theinhardt Bold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d’isolation.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Chaque</w:t>
      </w:r>
      <w:r>
        <w:rPr>
          <w:rFonts w:ascii="Theinhardt Bold" w:eastAsia="Theinhardt Bold" w:hAnsi="Theinhardt Bold" w:cs="Theinhardt Bold"/>
          <w:b/>
          <w:bCs/>
          <w:color w:val="231F20"/>
          <w:spacing w:val="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BEP</w:t>
      </w:r>
      <w:r>
        <w:rPr>
          <w:rFonts w:ascii="Theinhardt Bold" w:eastAsia="Theinhardt Bold" w:hAnsi="Theinhardt Bold" w:cs="Theinhardt Bold"/>
          <w:b/>
          <w:bCs/>
          <w:color w:val="231F20"/>
          <w:spacing w:val="5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possède</w:t>
      </w:r>
      <w:r>
        <w:rPr>
          <w:rFonts w:ascii="Theinhardt Bold" w:eastAsia="Theinhardt Bold" w:hAnsi="Theinhardt Bold" w:cs="Theinhardt Bold"/>
          <w:b/>
          <w:bCs/>
          <w:color w:val="231F20"/>
          <w:spacing w:val="-1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son</w:t>
      </w:r>
      <w:r>
        <w:rPr>
          <w:rFonts w:ascii="Theinhardt Bold" w:eastAsia="Theinhardt Bold" w:hAnsi="Theinhardt Bold" w:cs="Theinhardt Bold"/>
          <w:b/>
          <w:bCs/>
          <w:color w:val="231F20"/>
          <w:spacing w:val="-1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système</w:t>
      </w:r>
      <w:r>
        <w:rPr>
          <w:rFonts w:ascii="Theinhardt Bold" w:eastAsia="Theinhardt Bold" w:hAnsi="Theinhardt Bold" w:cs="Theinhardt Bold"/>
          <w:b/>
          <w:bCs/>
          <w:color w:val="231F20"/>
          <w:spacing w:val="-1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d’accumulateur</w:t>
      </w:r>
      <w:r>
        <w:rPr>
          <w:rFonts w:ascii="Theinhardt Bold" w:eastAsia="Theinhardt Bold" w:hAnsi="Theinhardt Bold" w:cs="Theinhardt Bold"/>
          <w:b/>
          <w:bCs/>
          <w:color w:val="231F20"/>
          <w:spacing w:val="-1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pacing w:val="-1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10</w:t>
      </w:r>
      <w:r>
        <w:rPr>
          <w:rFonts w:ascii="Theinhardt Bold" w:eastAsia="Theinhardt Bold" w:hAnsi="Theinhardt Bold" w:cs="Theinhardt Bold"/>
          <w:b/>
          <w:bCs/>
          <w:color w:val="231F20"/>
          <w:spacing w:val="-1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kWh</w:t>
      </w:r>
      <w:r>
        <w:rPr>
          <w:rFonts w:ascii="Theinhardt Bold" w:eastAsia="Theinhardt Bold" w:hAnsi="Theinhardt Bold" w:cs="Theinhardt Bold"/>
          <w:b/>
          <w:bCs/>
          <w:color w:val="231F20"/>
          <w:spacing w:val="-1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et</w:t>
      </w:r>
      <w:r>
        <w:rPr>
          <w:rFonts w:ascii="Theinhardt Bold" w:eastAsia="Theinhardt Bold" w:hAnsi="Theinhardt Bold" w:cs="Theinhardt Bold"/>
          <w:b/>
          <w:bCs/>
          <w:color w:val="231F20"/>
          <w:spacing w:val="-1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la</w:t>
      </w:r>
      <w:r>
        <w:rPr>
          <w:rFonts w:ascii="Theinhardt Bold" w:eastAsia="Theinhardt Bold" w:hAnsi="Theinhardt Bold" w:cs="Theinhardt Bold"/>
          <w:b/>
          <w:bCs/>
          <w:color w:val="231F20"/>
          <w:spacing w:val="-1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gestion</w:t>
      </w:r>
      <w:r>
        <w:rPr>
          <w:rFonts w:ascii="Theinhardt Bold" w:eastAsia="Theinhardt Bold" w:hAnsi="Theinhardt Bold" w:cs="Theinhardt Bold"/>
          <w:b/>
          <w:bCs/>
          <w:color w:val="231F20"/>
          <w:spacing w:val="-1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pacing w:val="-1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l’énergie</w:t>
      </w:r>
      <w:r>
        <w:rPr>
          <w:rFonts w:ascii="Theinhardt Bold" w:eastAsia="Theinhardt Bold" w:hAnsi="Theinhardt Bold" w:cs="Theinhardt Bold"/>
          <w:b/>
          <w:bCs/>
          <w:color w:val="231F20"/>
          <w:spacing w:val="-1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est</w:t>
      </w:r>
      <w:r>
        <w:rPr>
          <w:rFonts w:ascii="Theinhardt Bold" w:eastAsia="Theinhardt Bold" w:hAnsi="Theinhardt Bold" w:cs="Theinhardt Bold"/>
          <w:b/>
          <w:bCs/>
          <w:color w:val="231F20"/>
          <w:spacing w:val="-12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automatisée.</w:t>
      </w:r>
      <w:r>
        <w:rPr>
          <w:rFonts w:ascii="Theinhardt Bold" w:eastAsia="Theinhardt Bold" w:hAnsi="Theinhardt Bold" w:cs="Theinhardt Bold"/>
          <w:b/>
          <w:bCs/>
          <w:color w:val="231F20"/>
          <w:spacing w:val="-19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>Deux</w:t>
      </w:r>
      <w:r>
        <w:rPr>
          <w:rFonts w:ascii="Theinhardt Bold" w:eastAsia="Theinhardt Bold" w:hAnsi="Theinhardt Bold" w:cs="Theinhardt Bold"/>
          <w:b/>
          <w:bCs/>
          <w:color w:val="231F20"/>
          <w:spacing w:val="66"/>
          <w:sz w:val="18"/>
          <w:szCs w:val="1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des six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familles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 disposent en outre d’un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8"/>
          <w:szCs w:val="18"/>
        </w:rPr>
        <w:t>véhicule</w:t>
      </w:r>
      <w:r>
        <w:rPr>
          <w:rFonts w:ascii="Theinhardt Bold" w:eastAsia="Theinhardt Bold" w:hAnsi="Theinhardt Bold" w:cs="Theinhardt Bold"/>
          <w:b/>
          <w:bCs/>
          <w:color w:val="231F20"/>
          <w:sz w:val="18"/>
          <w:szCs w:val="18"/>
        </w:rPr>
        <w:t xml:space="preserve"> électrique.</w:t>
      </w:r>
    </w:p>
    <w:p w14:paraId="75CB84D5" w14:textId="77777777" w:rsidR="00244B64" w:rsidRDefault="00244B64">
      <w:pPr>
        <w:spacing w:line="230" w:lineRule="exact"/>
        <w:jc w:val="both"/>
        <w:rPr>
          <w:rFonts w:ascii="Theinhardt Bold" w:eastAsia="Theinhardt Bold" w:hAnsi="Theinhardt Bold" w:cs="Theinhardt Bold"/>
          <w:sz w:val="18"/>
          <w:szCs w:val="18"/>
        </w:rPr>
        <w:sectPr w:rsidR="00244B64">
          <w:type w:val="continuous"/>
          <w:pgSz w:w="11910" w:h="16840"/>
          <w:pgMar w:top="840" w:right="720" w:bottom="280" w:left="400" w:header="720" w:footer="720" w:gutter="0"/>
          <w:cols w:num="2" w:space="720" w:equalWidth="0">
            <w:col w:w="2614" w:space="65"/>
            <w:col w:w="8111"/>
          </w:cols>
        </w:sectPr>
      </w:pPr>
    </w:p>
    <w:p w14:paraId="1BB3E50E" w14:textId="77777777" w:rsidR="00244B64" w:rsidRDefault="00244B64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5F66FF5C" w14:textId="77777777" w:rsidR="00244B64" w:rsidRDefault="00244B64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0D5F4BE2" w14:textId="77777777" w:rsidR="00244B64" w:rsidRDefault="00244B64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0C82721F" w14:textId="77777777" w:rsidR="00244B64" w:rsidRDefault="00244B64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0360B913" w14:textId="77777777" w:rsidR="00244B64" w:rsidRDefault="00244B64">
      <w:pPr>
        <w:spacing w:before="2"/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30A8CF04" w14:textId="77777777" w:rsidR="00244B64" w:rsidRDefault="00181077">
      <w:pPr>
        <w:spacing w:before="5"/>
        <w:ind w:left="175"/>
        <w:rPr>
          <w:rFonts w:ascii="Theinhardt Black" w:eastAsia="Theinhardt Black" w:hAnsi="Theinhardt Black" w:cs="Theinhardt Black"/>
          <w:sz w:val="40"/>
          <w:szCs w:val="40"/>
        </w:rPr>
      </w:pPr>
      <w:r>
        <w:rPr>
          <w:rFonts w:ascii="Theinhardt Black" w:hAnsi="Theinhardt Black"/>
          <w:b/>
          <w:color w:val="0067B1"/>
          <w:spacing w:val="5"/>
          <w:sz w:val="40"/>
        </w:rPr>
        <w:t>Lotissement</w:t>
      </w:r>
      <w:r>
        <w:rPr>
          <w:rFonts w:ascii="Theinhardt Black" w:hAnsi="Theinhardt Black"/>
          <w:b/>
          <w:color w:val="0067B1"/>
          <w:sz w:val="40"/>
        </w:rPr>
        <w:t xml:space="preserve"> </w:t>
      </w:r>
      <w:r>
        <w:rPr>
          <w:rFonts w:ascii="Theinhardt Black" w:hAnsi="Theinhardt Black"/>
          <w:b/>
          <w:color w:val="0067B1"/>
          <w:spacing w:val="-2"/>
          <w:sz w:val="40"/>
        </w:rPr>
        <w:t>BEP</w:t>
      </w:r>
      <w:r>
        <w:rPr>
          <w:rFonts w:ascii="Theinhardt Black" w:hAnsi="Theinhardt Black"/>
          <w:b/>
          <w:color w:val="0067B1"/>
          <w:sz w:val="40"/>
        </w:rPr>
        <w:t xml:space="preserve"> 151%,</w:t>
      </w:r>
      <w:r>
        <w:rPr>
          <w:rFonts w:ascii="Theinhardt Black" w:hAnsi="Theinhardt Black"/>
          <w:b/>
          <w:color w:val="0067B1"/>
          <w:spacing w:val="-24"/>
          <w:sz w:val="40"/>
        </w:rPr>
        <w:t xml:space="preserve"> </w:t>
      </w:r>
      <w:r>
        <w:rPr>
          <w:rFonts w:ascii="Theinhardt Black" w:hAnsi="Theinhardt Black"/>
          <w:b/>
          <w:color w:val="0067B1"/>
          <w:sz w:val="40"/>
        </w:rPr>
        <w:t>1226</w:t>
      </w:r>
      <w:r>
        <w:rPr>
          <w:rFonts w:ascii="Theinhardt Black" w:hAnsi="Theinhardt Black"/>
          <w:b/>
          <w:color w:val="0067B1"/>
          <w:spacing w:val="-25"/>
          <w:sz w:val="40"/>
        </w:rPr>
        <w:t xml:space="preserve"> </w:t>
      </w:r>
      <w:r>
        <w:rPr>
          <w:rFonts w:ascii="Theinhardt Black" w:hAnsi="Theinhardt Black"/>
          <w:b/>
          <w:color w:val="0067B1"/>
          <w:sz w:val="40"/>
        </w:rPr>
        <w:t>T</w:t>
      </w:r>
      <w:r>
        <w:rPr>
          <w:rFonts w:ascii="Theinhardt Black" w:hAnsi="Theinhardt Black"/>
          <w:b/>
          <w:color w:val="0067B1"/>
          <w:spacing w:val="1"/>
          <w:sz w:val="40"/>
        </w:rPr>
        <w:t>h</w:t>
      </w:r>
      <w:r>
        <w:rPr>
          <w:rFonts w:ascii="Theinhardt Black" w:hAnsi="Theinhardt Black"/>
          <w:b/>
          <w:color w:val="0067B1"/>
          <w:spacing w:val="2"/>
          <w:sz w:val="40"/>
        </w:rPr>
        <w:t>ô</w:t>
      </w:r>
      <w:r>
        <w:rPr>
          <w:rFonts w:ascii="Theinhardt Black" w:hAnsi="Theinhardt Black"/>
          <w:b/>
          <w:color w:val="0067B1"/>
          <w:spacing w:val="1"/>
          <w:sz w:val="40"/>
        </w:rPr>
        <w:t>n</w:t>
      </w:r>
      <w:r>
        <w:rPr>
          <w:rFonts w:ascii="Theinhardt Black" w:hAnsi="Theinhardt Black"/>
          <w:b/>
          <w:color w:val="0067B1"/>
          <w:spacing w:val="4"/>
          <w:sz w:val="40"/>
        </w:rPr>
        <w:t>e</w:t>
      </w:r>
      <w:r>
        <w:rPr>
          <w:rFonts w:ascii="Theinhardt Black" w:hAnsi="Theinhardt Black"/>
          <w:b/>
          <w:color w:val="0067B1"/>
          <w:spacing w:val="32"/>
          <w:sz w:val="40"/>
        </w:rPr>
        <w:t>x</w:t>
      </w:r>
      <w:r>
        <w:rPr>
          <w:rFonts w:ascii="Theinhardt Black" w:hAnsi="Theinhardt Black"/>
          <w:b/>
          <w:color w:val="0067B1"/>
          <w:spacing w:val="-13"/>
          <w:sz w:val="40"/>
        </w:rPr>
        <w:t>/</w:t>
      </w:r>
      <w:r>
        <w:rPr>
          <w:rFonts w:ascii="Theinhardt Black" w:hAnsi="Theinhardt Black"/>
          <w:b/>
          <w:color w:val="0067B1"/>
          <w:spacing w:val="2"/>
          <w:sz w:val="40"/>
        </w:rPr>
        <w:t>G</w:t>
      </w:r>
      <w:r>
        <w:rPr>
          <w:rFonts w:ascii="Theinhardt Black" w:hAnsi="Theinhardt Black"/>
          <w:b/>
          <w:color w:val="0067B1"/>
          <w:sz w:val="40"/>
        </w:rPr>
        <w:t>E</w:t>
      </w:r>
    </w:p>
    <w:p w14:paraId="571AA05F" w14:textId="77777777" w:rsidR="00244B64" w:rsidRDefault="00244B64">
      <w:pPr>
        <w:spacing w:before="8"/>
        <w:rPr>
          <w:rFonts w:ascii="Theinhardt Black" w:eastAsia="Theinhardt Black" w:hAnsi="Theinhardt Black" w:cs="Theinhardt Black"/>
          <w:b/>
          <w:bCs/>
          <w:sz w:val="21"/>
          <w:szCs w:val="21"/>
        </w:rPr>
      </w:pPr>
    </w:p>
    <w:p w14:paraId="33874723" w14:textId="77777777" w:rsidR="00244B64" w:rsidRDefault="00244B64">
      <w:pPr>
        <w:rPr>
          <w:rFonts w:ascii="Theinhardt Black" w:eastAsia="Theinhardt Black" w:hAnsi="Theinhardt Black" w:cs="Theinhardt Black"/>
          <w:sz w:val="21"/>
          <w:szCs w:val="21"/>
        </w:rPr>
        <w:sectPr w:rsidR="00244B64">
          <w:type w:val="continuous"/>
          <w:pgSz w:w="11910" w:h="16840"/>
          <w:pgMar w:top="840" w:right="720" w:bottom="280" w:left="400" w:header="720" w:footer="720" w:gutter="0"/>
          <w:cols w:space="720"/>
        </w:sectPr>
      </w:pPr>
    </w:p>
    <w:p w14:paraId="67C0CF65" w14:textId="77777777" w:rsidR="00244B64" w:rsidRDefault="00181077">
      <w:pPr>
        <w:pStyle w:val="berschrift3"/>
        <w:spacing w:before="81" w:line="230" w:lineRule="exact"/>
      </w:pPr>
      <w:r>
        <w:rPr>
          <w:color w:val="231F20"/>
          <w:spacing w:val="-3"/>
        </w:rPr>
        <w:t>Le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lotissement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Homsphere,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</w:rPr>
        <w:t>Thônex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</w:rPr>
        <w:t>(GE),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co</w:t>
      </w:r>
      <w:r>
        <w:rPr>
          <w:color w:val="231F20"/>
          <w:spacing w:val="-1"/>
        </w:rPr>
        <w:t>m</w:t>
      </w:r>
      <w:r>
        <w:rPr>
          <w:color w:val="231F20"/>
        </w:rPr>
        <w:t>p</w:t>
      </w:r>
      <w:r>
        <w:rPr>
          <w:color w:val="231F20"/>
          <w:spacing w:val="-6"/>
        </w:rPr>
        <w:t>r</w:t>
      </w:r>
      <w:r>
        <w:rPr>
          <w:color w:val="231F20"/>
        </w:rPr>
        <w:t xml:space="preserve">end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 xml:space="preserve">six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mai</w:t>
      </w:r>
      <w:r>
        <w:rPr>
          <w:color w:val="231F20"/>
          <w:spacing w:val="-2"/>
        </w:rPr>
        <w:t>s</w:t>
      </w:r>
      <w:r>
        <w:rPr>
          <w:color w:val="231F20"/>
        </w:rPr>
        <w:t xml:space="preserve">ons 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>d</w:t>
      </w:r>
      <w:r>
        <w:rPr>
          <w:color w:val="231F20"/>
        </w:rPr>
        <w:t>ividue</w:t>
      </w:r>
      <w:r>
        <w:rPr>
          <w:color w:val="231F20"/>
          <w:spacing w:val="1"/>
        </w:rPr>
        <w:t>l</w:t>
      </w:r>
      <w:r>
        <w:rPr>
          <w:color w:val="231F20"/>
        </w:rPr>
        <w:t xml:space="preserve">les 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1"/>
        </w:rPr>
        <w:t>B</w:t>
      </w:r>
      <w:r>
        <w:rPr>
          <w:color w:val="231F20"/>
          <w:spacing w:val="-4"/>
        </w:rPr>
        <w:t>E</w:t>
      </w:r>
      <w:r>
        <w:rPr>
          <w:color w:val="231F20"/>
          <w:spacing w:val="-29"/>
        </w:rPr>
        <w:t>P</w:t>
      </w:r>
      <w:r>
        <w:rPr>
          <w:color w:val="231F20"/>
        </w:rPr>
        <w:t>.</w:t>
      </w:r>
    </w:p>
    <w:p w14:paraId="6AE1530B" w14:textId="77777777" w:rsidR="00244B64" w:rsidRDefault="00181077">
      <w:pPr>
        <w:pStyle w:val="berschrift4"/>
        <w:spacing w:before="82" w:line="230" w:lineRule="exact"/>
        <w:rPr>
          <w:i w:val="0"/>
        </w:rPr>
      </w:pPr>
      <w:r>
        <w:rPr>
          <w:i w:val="0"/>
        </w:rPr>
        <w:br w:type="column"/>
      </w:r>
      <w:r>
        <w:rPr>
          <w:color w:val="231F20"/>
          <w:spacing w:val="-1"/>
        </w:rPr>
        <w:t>Die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beispielhaft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Minergie-P-Standard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ge-</w:t>
      </w:r>
      <w:r>
        <w:rPr>
          <w:color w:val="231F20"/>
          <w:spacing w:val="45"/>
        </w:rPr>
        <w:t xml:space="preserve"> </w:t>
      </w:r>
      <w:r>
        <w:rPr>
          <w:color w:val="231F20"/>
          <w:spacing w:val="-1"/>
        </w:rPr>
        <w:t>dämmte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</w:rPr>
        <w:t>Homsphere-Siedlung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 xml:space="preserve">in </w:t>
      </w:r>
      <w:r>
        <w:rPr>
          <w:color w:val="231F20"/>
          <w:spacing w:val="-2"/>
        </w:rPr>
        <w:t>Thônex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mit</w:t>
      </w:r>
    </w:p>
    <w:p w14:paraId="613BC8C7" w14:textId="77777777" w:rsidR="00244B64" w:rsidRDefault="00181077">
      <w:pPr>
        <w:pStyle w:val="berschrift5"/>
        <w:rPr>
          <w:rFonts w:ascii="Theinhardt Black" w:eastAsia="Theinhardt Black" w:hAnsi="Theinhardt Black" w:cs="Theinhardt Black"/>
          <w:b w:val="0"/>
          <w:bCs w:val="0"/>
        </w:rPr>
      </w:pPr>
      <w:r>
        <w:rPr>
          <w:b w:val="0"/>
        </w:rPr>
        <w:br w:type="column"/>
      </w:r>
      <w:r>
        <w:rPr>
          <w:rFonts w:ascii="Theinhardt Black" w:hAnsi="Theinhardt Black"/>
          <w:color w:val="231F20"/>
          <w:spacing w:val="1"/>
        </w:rPr>
        <w:t>Données</w:t>
      </w:r>
      <w:r>
        <w:rPr>
          <w:rFonts w:ascii="Theinhardt Black" w:hAnsi="Theinhardt Black"/>
          <w:color w:val="231F20"/>
        </w:rPr>
        <w:t xml:space="preserve"> techniques </w:t>
      </w:r>
      <w:r>
        <w:rPr>
          <w:rFonts w:ascii="Theinhardt Black" w:hAnsi="Theinhardt Black"/>
          <w:color w:val="231F20"/>
          <w:spacing w:val="1"/>
        </w:rPr>
        <w:t>Lotissement</w:t>
      </w:r>
      <w:r>
        <w:rPr>
          <w:rFonts w:ascii="Theinhardt Black" w:hAnsi="Theinhardt Black"/>
          <w:color w:val="231F20"/>
        </w:rPr>
        <w:t xml:space="preserve"> </w:t>
      </w:r>
      <w:r>
        <w:rPr>
          <w:rFonts w:ascii="Theinhardt Black" w:hAnsi="Theinhardt Black"/>
          <w:color w:val="231F20"/>
          <w:spacing w:val="-1"/>
        </w:rPr>
        <w:t>BEP</w:t>
      </w:r>
      <w:r>
        <w:rPr>
          <w:rFonts w:ascii="Theinhardt Black" w:hAnsi="Theinhardt Black"/>
          <w:color w:val="231F20"/>
        </w:rPr>
        <w:t xml:space="preserve"> (151%)</w:t>
      </w:r>
    </w:p>
    <w:p w14:paraId="4D9256D4" w14:textId="77777777" w:rsidR="00244B64" w:rsidRDefault="00244B64">
      <w:pPr>
        <w:spacing w:before="10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0219E95F" w14:textId="77777777" w:rsidR="00244B64" w:rsidRDefault="00181077">
      <w:pPr>
        <w:spacing w:line="20" w:lineRule="atLeast"/>
        <w:ind w:left="166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40265583">
          <v:group id="_x0000_s1085" style="width:167.25pt;height:.45pt;mso-position-horizontal-relative:char;mso-position-vertical-relative:line" coordsize="3345,9">
            <v:group id="_x0000_s1090" style="position:absolute;left:21;top:4;width:3311;height:2" coordorigin="21,4" coordsize="3311,2">
              <v:shape id="_x0000_s1091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88" style="position:absolute;left:4;top:4;width:2;height:2" coordorigin="4,4" coordsize="2,2">
              <v:shape id="_x0000_s1089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86" style="position:absolute;left:3341;top:4;width:2;height:2" coordorigin="3341,4" coordsize="2,2">
              <v:shape id="_x0000_s1087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371A99A2" w14:textId="77777777" w:rsidR="00244B64" w:rsidRDefault="00181077">
      <w:pPr>
        <w:spacing w:before="20"/>
        <w:ind w:left="166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pacing w:val="1"/>
          <w:sz w:val="14"/>
        </w:rPr>
        <w:t>Isolation</w:t>
      </w:r>
      <w:r>
        <w:rPr>
          <w:rFonts w:ascii="Theinhardt Bold"/>
          <w:b/>
          <w:color w:val="231F20"/>
          <w:sz w:val="14"/>
        </w:rPr>
        <w:t xml:space="preserve"> </w:t>
      </w:r>
      <w:r>
        <w:rPr>
          <w:rFonts w:ascii="Theinhardt Bold"/>
          <w:b/>
          <w:color w:val="231F20"/>
          <w:spacing w:val="1"/>
          <w:sz w:val="14"/>
        </w:rPr>
        <w:t>thermique</w:t>
      </w:r>
    </w:p>
    <w:p w14:paraId="1284B792" w14:textId="77777777" w:rsidR="00244B64" w:rsidRDefault="00244B64">
      <w:pPr>
        <w:rPr>
          <w:rFonts w:ascii="Theinhardt Bold" w:eastAsia="Theinhardt Bold" w:hAnsi="Theinhardt Bold" w:cs="Theinhardt Bold"/>
          <w:sz w:val="14"/>
          <w:szCs w:val="14"/>
        </w:rPr>
        <w:sectPr w:rsidR="00244B64">
          <w:type w:val="continuous"/>
          <w:pgSz w:w="11910" w:h="16840"/>
          <w:pgMar w:top="840" w:right="720" w:bottom="280" w:left="400" w:header="720" w:footer="720" w:gutter="0"/>
          <w:cols w:num="3" w:space="720" w:equalWidth="0">
            <w:col w:w="3523" w:space="48"/>
            <w:col w:w="3512" w:space="59"/>
            <w:col w:w="3648"/>
          </w:cols>
        </w:sectPr>
      </w:pPr>
    </w:p>
    <w:p w14:paraId="08830CBF" w14:textId="77777777" w:rsidR="00244B64" w:rsidRDefault="00181077">
      <w:pPr>
        <w:spacing w:before="14" w:line="232" w:lineRule="auto"/>
        <w:ind w:left="166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L’isolation</w:t>
      </w:r>
      <w:r>
        <w:rPr>
          <w:rFonts w:ascii="Theinhardt Regular" w:eastAsia="Theinhardt Regular" w:hAnsi="Theinhardt Regular" w:cs="Theinhardt Regular"/>
          <w:color w:val="231F20"/>
          <w:spacing w:val="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Minergie-P</w:t>
      </w:r>
      <w:r>
        <w:rPr>
          <w:rFonts w:ascii="Theinhardt Regular" w:eastAsia="Theinhardt Regular" w:hAnsi="Theinhardt Regular" w:cs="Theinhardt Regular"/>
          <w:color w:val="231F20"/>
          <w:spacing w:val="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exemplaire</w:t>
      </w:r>
      <w:r>
        <w:rPr>
          <w:rFonts w:ascii="Theinhardt Regular" w:eastAsia="Theinhardt Regular" w:hAnsi="Theinhardt Regular" w:cs="Theinhardt Regular"/>
          <w:color w:val="231F20"/>
          <w:spacing w:val="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réduit</w:t>
      </w:r>
      <w:r>
        <w:rPr>
          <w:rFonts w:ascii="Theinhardt Regular" w:eastAsia="Theinhardt Regular" w:hAnsi="Theinhardt Regular" w:cs="Theinhardt Regular"/>
          <w:color w:val="231F20"/>
          <w:spacing w:val="3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d’environ</w:t>
      </w:r>
      <w:r>
        <w:rPr>
          <w:rFonts w:ascii="Theinhardt Regular" w:eastAsia="Theinhardt Regular" w:hAnsi="Theinhardt Regular" w:cs="Theinhardt Regular"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80%</w:t>
      </w:r>
      <w:r>
        <w:rPr>
          <w:rFonts w:ascii="Theinhardt Regular" w:eastAsia="Theinhardt Regular" w:hAnsi="Theinhardt Regular" w:cs="Theinhardt Regular"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les</w:t>
      </w:r>
      <w:r>
        <w:rPr>
          <w:rFonts w:ascii="Theinhardt Regular" w:eastAsia="Theinhardt Regular" w:hAnsi="Theinhardt Regular" w:cs="Theinhardt Regular"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pertes</w:t>
      </w:r>
      <w:r>
        <w:rPr>
          <w:rFonts w:ascii="Theinhardt Regular" w:eastAsia="Theinhardt Regular" w:hAnsi="Theinhardt Regular" w:cs="Theinhardt Regular"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d’énergie</w:t>
      </w:r>
      <w:r>
        <w:rPr>
          <w:rFonts w:ascii="Theinhardt Regular" w:eastAsia="Theinhardt Regular" w:hAnsi="Theinhardt Regular" w:cs="Theinhardt Regular"/>
          <w:color w:val="231F20"/>
          <w:spacing w:val="1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habitu-</w:t>
      </w:r>
      <w:r>
        <w:rPr>
          <w:rFonts w:ascii="Theinhardt Regular" w:eastAsia="Theinhardt Regular" w:hAnsi="Theinhardt Regular" w:cs="Theinhardt Regular"/>
          <w:color w:val="231F20"/>
          <w:spacing w:val="3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elles</w:t>
      </w:r>
      <w:r>
        <w:rPr>
          <w:rFonts w:ascii="Theinhardt Regular" w:eastAsia="Theinhardt Regular" w:hAnsi="Theinhardt Regular" w:cs="Theinhardt Regular"/>
          <w:color w:val="231F20"/>
          <w:spacing w:val="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dans</w:t>
      </w:r>
      <w:r>
        <w:rPr>
          <w:rFonts w:ascii="Theinhardt Regular" w:eastAsia="Theinhardt Regular" w:hAnsi="Theinhardt Regular" w:cs="Theinhardt Regular"/>
          <w:color w:val="231F20"/>
          <w:spacing w:val="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le</w:t>
      </w:r>
      <w:r>
        <w:rPr>
          <w:rFonts w:ascii="Theinhardt Regular" w:eastAsia="Theinhardt Regular" w:hAnsi="Theinhardt Regular" w:cs="Theinhardt Regular"/>
          <w:color w:val="231F20"/>
          <w:spacing w:val="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secteur</w:t>
      </w:r>
      <w:r>
        <w:rPr>
          <w:rFonts w:ascii="Theinhardt Regular" w:eastAsia="Theinhardt Regular" w:hAnsi="Theinhardt Regular" w:cs="Theinhardt Regular"/>
          <w:color w:val="231F20"/>
          <w:spacing w:val="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du</w:t>
      </w:r>
      <w:r>
        <w:rPr>
          <w:rFonts w:ascii="Theinhardt Regular" w:eastAsia="Theinhardt Regular" w:hAnsi="Theinhardt Regular" w:cs="Theinhardt Regular"/>
          <w:color w:val="231F20"/>
          <w:spacing w:val="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bâtiment.</w:t>
      </w:r>
      <w:r>
        <w:rPr>
          <w:rFonts w:ascii="Theinhardt Regular" w:eastAsia="Theinhardt Regular" w:hAnsi="Theinhardt Regular" w:cs="Theinhardt Regular"/>
          <w:color w:val="231F20"/>
          <w:spacing w:val="2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L’infrastructure</w:t>
      </w:r>
      <w:r>
        <w:rPr>
          <w:rFonts w:ascii="Theinhardt Regular" w:eastAsia="Theinhardt Regular" w:hAnsi="Theinhardt Regular" w:cs="Theinhardt Regular"/>
          <w:color w:val="231F20"/>
          <w:spacing w:val="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PV</w:t>
      </w:r>
      <w:r>
        <w:rPr>
          <w:rFonts w:ascii="Theinhardt Regular" w:eastAsia="Theinhardt Regular" w:hAnsi="Theinhardt Regular" w:cs="Theinhardt Regular"/>
          <w:color w:val="231F20"/>
          <w:spacing w:val="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de</w:t>
      </w:r>
      <w:r>
        <w:rPr>
          <w:rFonts w:ascii="Theinhardt Regular" w:eastAsia="Theinhardt Regular" w:hAnsi="Theinhardt Regular" w:cs="Theinhardt Regular"/>
          <w:color w:val="231F20"/>
          <w:spacing w:val="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63,6</w:t>
      </w:r>
      <w:r>
        <w:rPr>
          <w:rFonts w:ascii="Theinhardt Regular" w:eastAsia="Theinhardt Regular" w:hAnsi="Theinhardt Regular" w:cs="Theinhardt Regular"/>
          <w:color w:val="231F20"/>
          <w:spacing w:val="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kW</w:t>
      </w:r>
      <w:r>
        <w:rPr>
          <w:rFonts w:ascii="Theinhardt Regular" w:eastAsia="Theinhardt Regular" w:hAnsi="Theinhardt Regular" w:cs="Theinhardt Regular"/>
          <w:color w:val="231F20"/>
          <w:spacing w:val="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répartie</w:t>
      </w:r>
      <w:r>
        <w:rPr>
          <w:rFonts w:ascii="Theinhardt Regular" w:eastAsia="Theinhardt Regular" w:hAnsi="Theinhardt Regular" w:cs="Theinhardt Regular"/>
          <w:color w:val="231F20"/>
          <w:spacing w:val="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sur</w:t>
      </w:r>
      <w:r>
        <w:rPr>
          <w:rFonts w:ascii="Theinhardt Regular" w:eastAsia="Theinhardt Regular" w:hAnsi="Theinhardt Regular" w:cs="Theinhardt Regular"/>
          <w:color w:val="231F20"/>
          <w:spacing w:val="3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 xml:space="preserve">les toits plats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génère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 xml:space="preserve"> 54’800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kWh/a.</w:t>
      </w:r>
    </w:p>
    <w:p w14:paraId="268CB169" w14:textId="77777777" w:rsidR="00244B64" w:rsidRDefault="00181077">
      <w:pPr>
        <w:spacing w:line="232" w:lineRule="auto"/>
        <w:ind w:left="166" w:right="8" w:firstLine="226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Chaque</w:t>
      </w:r>
      <w:r>
        <w:rPr>
          <w:rFonts w:ascii="Theinhardt Regular" w:eastAsia="Theinhardt Regular" w:hAnsi="Theinhardt Regular" w:cs="Theinhardt Regular"/>
          <w:color w:val="231F20"/>
          <w:spacing w:val="2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villa</w:t>
      </w:r>
      <w:r>
        <w:rPr>
          <w:rFonts w:ascii="Theinhardt Regular" w:eastAsia="Theinhardt Regular" w:hAnsi="Theinhardt Regular" w:cs="Theinhardt Regular"/>
          <w:color w:val="231F20"/>
          <w:spacing w:val="2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possède</w:t>
      </w:r>
      <w:r>
        <w:rPr>
          <w:rFonts w:ascii="Theinhardt Regular" w:eastAsia="Theinhardt Regular" w:hAnsi="Theinhardt Regular" w:cs="Theinhardt Regular"/>
          <w:color w:val="231F20"/>
          <w:spacing w:val="2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son</w:t>
      </w:r>
      <w:r>
        <w:rPr>
          <w:rFonts w:ascii="Theinhardt Regular" w:eastAsia="Theinhardt Regular" w:hAnsi="Theinhardt Regular" w:cs="Theinhardt Regular"/>
          <w:color w:val="231F20"/>
          <w:spacing w:val="21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système</w:t>
      </w:r>
      <w:r>
        <w:rPr>
          <w:rFonts w:ascii="Theinhardt Regular" w:eastAsia="Theinhardt Regular" w:hAnsi="Theinhardt Regular" w:cs="Theinhardt Regular"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d’accumulateur</w:t>
      </w:r>
      <w:r>
        <w:rPr>
          <w:rFonts w:ascii="Theinhardt Regular" w:eastAsia="Theinhardt Regular" w:hAnsi="Theinhardt Regular" w:cs="Theinhardt Regular"/>
          <w:color w:val="231F20"/>
          <w:spacing w:val="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de</w:t>
      </w:r>
      <w:r>
        <w:rPr>
          <w:rFonts w:ascii="Theinhardt Regular" w:eastAsia="Theinhardt Regular" w:hAnsi="Theinhardt Regular" w:cs="Theinhardt Regular"/>
          <w:color w:val="231F20"/>
          <w:spacing w:val="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10</w:t>
      </w:r>
      <w:r>
        <w:rPr>
          <w:rFonts w:ascii="Theinhardt Regular" w:eastAsia="Theinhardt Regular" w:hAnsi="Theinhardt Regular" w:cs="Theinhardt Regular"/>
          <w:color w:val="231F20"/>
          <w:spacing w:val="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kWh</w:t>
      </w:r>
      <w:r>
        <w:rPr>
          <w:rFonts w:ascii="Theinhardt Regular" w:eastAsia="Theinhardt Regular" w:hAnsi="Theinhardt Regular" w:cs="Theinhardt Regular"/>
          <w:color w:val="231F20"/>
          <w:spacing w:val="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pour</w:t>
      </w:r>
      <w:r>
        <w:rPr>
          <w:rFonts w:ascii="Theinhardt Regular" w:eastAsia="Theinhardt Regular" w:hAnsi="Theinhardt Regular" w:cs="Theinhardt Regular"/>
          <w:color w:val="231F20"/>
          <w:spacing w:val="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stocker</w:t>
      </w:r>
      <w:r>
        <w:rPr>
          <w:rFonts w:ascii="Theinhardt Regular" w:eastAsia="Theinhardt Regular" w:hAnsi="Theinhardt Regular" w:cs="Theinhardt Regular"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l’énergie.</w:t>
      </w:r>
      <w:r>
        <w:rPr>
          <w:rFonts w:ascii="Theinhardt Regular" w:eastAsia="Theinhardt Regular" w:hAnsi="Theinhardt Regular" w:cs="Theinhardt Regular"/>
          <w:color w:val="231F20"/>
          <w:spacing w:val="2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En</w:t>
      </w:r>
      <w:r>
        <w:rPr>
          <w:rFonts w:ascii="Theinhardt Regular" w:eastAsia="Theinhardt Regular" w:hAnsi="Theinhardt Regular" w:cs="Theinhardt Regular"/>
          <w:color w:val="231F20"/>
          <w:spacing w:val="4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outre,</w:t>
      </w:r>
      <w:r>
        <w:rPr>
          <w:rFonts w:ascii="Theinhardt Regular" w:eastAsia="Theinhardt Regular" w:hAnsi="Theinhardt Regular" w:cs="Theinhardt Regular"/>
          <w:color w:val="231F20"/>
          <w:spacing w:val="2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au</w:t>
      </w:r>
      <w:r>
        <w:rPr>
          <w:rFonts w:ascii="Theinhardt Regular" w:eastAsia="Theinhardt Regular" w:hAnsi="Theinhardt Regular" w:cs="Theinhardt Regular"/>
          <w:color w:val="231F20"/>
          <w:spacing w:val="4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moins</w:t>
      </w:r>
      <w:r>
        <w:rPr>
          <w:rFonts w:ascii="Theinhardt Regular" w:eastAsia="Theinhardt Regular" w:hAnsi="Theinhardt Regular" w:cs="Theinhardt Regular"/>
          <w:color w:val="231F20"/>
          <w:spacing w:val="4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un</w:t>
      </w:r>
      <w:r>
        <w:rPr>
          <w:rFonts w:ascii="Theinhardt Regular" w:eastAsia="Theinhardt Regular" w:hAnsi="Theinhardt Regular" w:cs="Theinhardt Regular"/>
          <w:color w:val="231F20"/>
          <w:spacing w:val="3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véhicule</w:t>
      </w:r>
      <w:r>
        <w:rPr>
          <w:rFonts w:ascii="Theinhardt Regular" w:eastAsia="Theinhardt Regular" w:hAnsi="Theinhardt Regular" w:cs="Theinhardt Regular"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électrique</w:t>
      </w:r>
      <w:r>
        <w:rPr>
          <w:rFonts w:ascii="Theinhardt Regular" w:eastAsia="Theinhardt Regular" w:hAnsi="Theinhardt Regular" w:cs="Theinhardt Regular"/>
          <w:color w:val="231F20"/>
          <w:spacing w:val="1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par</w:t>
      </w:r>
      <w:r>
        <w:rPr>
          <w:rFonts w:ascii="Theinhardt Regular" w:eastAsia="Theinhardt Regular" w:hAnsi="Theinhardt Regular" w:cs="Theinhardt Regular"/>
          <w:color w:val="231F20"/>
          <w:spacing w:val="1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famille</w:t>
      </w:r>
      <w:r>
        <w:rPr>
          <w:rFonts w:ascii="Theinhardt Regular" w:eastAsia="Theinhardt Regular" w:hAnsi="Theinhardt Regular" w:cs="Theinhardt Regular"/>
          <w:color w:val="231F20"/>
          <w:spacing w:val="1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offre</w:t>
      </w:r>
      <w:r>
        <w:rPr>
          <w:rFonts w:ascii="Theinhardt Regular" w:eastAsia="Theinhardt Regular" w:hAnsi="Theinhardt Regular" w:cs="Theinhardt Regular"/>
          <w:color w:val="231F20"/>
          <w:spacing w:val="1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des</w:t>
      </w:r>
      <w:r>
        <w:rPr>
          <w:rFonts w:ascii="Theinhardt Regular" w:eastAsia="Theinhardt Regular" w:hAnsi="Theinhardt Regular" w:cs="Theinhardt Regular"/>
          <w:color w:val="231F20"/>
          <w:spacing w:val="1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possibilités</w:t>
      </w:r>
      <w:r>
        <w:rPr>
          <w:rFonts w:ascii="Theinhardt Regular" w:eastAsia="Theinhardt Regular" w:hAnsi="Theinhardt Regular" w:cs="Theinhardt Regular"/>
          <w:color w:val="231F20"/>
          <w:spacing w:val="2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de</w:t>
      </w:r>
      <w:r>
        <w:rPr>
          <w:rFonts w:ascii="Theinhardt Regular" w:eastAsia="Theinhardt Regular" w:hAnsi="Theinhardt Regular" w:cs="Theinhardt Regular"/>
          <w:color w:val="231F20"/>
          <w:spacing w:val="1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stockage</w:t>
      </w:r>
      <w:r>
        <w:rPr>
          <w:rFonts w:ascii="Theinhardt Regular" w:eastAsia="Theinhardt Regular" w:hAnsi="Theinhardt Regular" w:cs="Theinhardt Regular"/>
          <w:color w:val="231F20"/>
          <w:spacing w:val="1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supplémentaires.</w:t>
      </w:r>
      <w:r>
        <w:rPr>
          <w:rFonts w:ascii="Theinhardt Regular" w:eastAsia="Theinhardt Regular" w:hAnsi="Theinhardt Regular" w:cs="Theinhardt Regular"/>
          <w:color w:val="231F20"/>
          <w:spacing w:val="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3"/>
          <w:sz w:val="18"/>
          <w:szCs w:val="18"/>
        </w:rPr>
        <w:t>Le</w:t>
      </w:r>
      <w:r>
        <w:rPr>
          <w:rFonts w:ascii="Theinhardt Regular" w:eastAsia="Theinhardt Regular" w:hAnsi="Theinhardt Regular" w:cs="Theinhardt Regular"/>
          <w:color w:val="231F20"/>
          <w:spacing w:val="1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micro-ré-</w:t>
      </w:r>
      <w:r>
        <w:rPr>
          <w:rFonts w:ascii="Theinhardt Regular" w:eastAsia="Theinhardt Regular" w:hAnsi="Theinhardt Regular" w:cs="Theinhardt Regular"/>
          <w:color w:val="231F20"/>
          <w:spacing w:val="4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 xml:space="preserve">seau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permet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 xml:space="preserve"> d’adapter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la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 xml:space="preserve"> consommation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de</w:t>
      </w:r>
      <w:r>
        <w:rPr>
          <w:rFonts w:ascii="Theinhardt Regular" w:eastAsia="Theinhardt Regular" w:hAnsi="Theinhardt Regular" w:cs="Theinhardt Regular"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36’200</w:t>
      </w:r>
      <w:r>
        <w:rPr>
          <w:rFonts w:ascii="Theinhardt Regular" w:eastAsia="Theinhardt Regular" w:hAnsi="Theinhardt Regular" w:cs="Theinhardt Regular"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kWh/a</w:t>
      </w:r>
      <w:r>
        <w:rPr>
          <w:rFonts w:ascii="Theinhardt Regular" w:eastAsia="Theinhardt Regular" w:hAnsi="Theinhardt Regular" w:cs="Theinhardt Regular"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à</w:t>
      </w:r>
      <w:r>
        <w:rPr>
          <w:rFonts w:ascii="Theinhardt Regular" w:eastAsia="Theinhardt Regular" w:hAnsi="Theinhardt Regular" w:cs="Theinhardt Regular"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la</w:t>
      </w:r>
      <w:r>
        <w:rPr>
          <w:rFonts w:ascii="Theinhardt Regular" w:eastAsia="Theinhardt Regular" w:hAnsi="Theinhardt Regular" w:cs="Theinhardt Regular"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production</w:t>
      </w:r>
      <w:r>
        <w:rPr>
          <w:rFonts w:ascii="Theinhardt Regular" w:eastAsia="Theinhardt Regular" w:hAnsi="Theinhardt Regular" w:cs="Theinhardt Regular"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et</w:t>
      </w:r>
      <w:r>
        <w:rPr>
          <w:rFonts w:ascii="Theinhardt Regular" w:eastAsia="Theinhardt Regular" w:hAnsi="Theinhardt Regular" w:cs="Theinhardt Regular"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au</w:t>
      </w:r>
      <w:r>
        <w:rPr>
          <w:rFonts w:ascii="Theinhardt Regular" w:eastAsia="Theinhardt Regular" w:hAnsi="Theinhardt Regular" w:cs="Theinhardt Regular"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stock-</w:t>
      </w:r>
      <w:r>
        <w:rPr>
          <w:rFonts w:ascii="Theinhardt Regular" w:eastAsia="Theinhardt Regular" w:hAnsi="Theinhardt Regular" w:cs="Theinhardt Regular"/>
          <w:color w:val="231F20"/>
          <w:spacing w:val="2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age</w:t>
      </w:r>
      <w:r>
        <w:rPr>
          <w:rFonts w:ascii="Theinhardt Regular" w:eastAsia="Theinhardt Regular" w:hAnsi="Theinhardt Regular" w:cs="Theinhardt Regular"/>
          <w:color w:val="231F20"/>
          <w:spacing w:val="3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du</w:t>
      </w:r>
      <w:r>
        <w:rPr>
          <w:rFonts w:ascii="Theinhardt Regular" w:eastAsia="Theinhardt Regular" w:hAnsi="Theinhardt Regular" w:cs="Theinhardt Regular"/>
          <w:color w:val="231F20"/>
          <w:spacing w:val="3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courant.</w:t>
      </w:r>
      <w:r>
        <w:rPr>
          <w:rFonts w:ascii="Theinhardt Regular" w:eastAsia="Theinhardt Regular" w:hAnsi="Theinhardt Regular" w:cs="Theinhardt Regular"/>
          <w:color w:val="231F20"/>
          <w:spacing w:val="2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4"/>
          <w:sz w:val="18"/>
          <w:szCs w:val="18"/>
        </w:rPr>
        <w:t>L’excédent</w:t>
      </w:r>
      <w:r>
        <w:rPr>
          <w:rFonts w:ascii="Theinhardt Regular" w:eastAsia="Theinhardt Regular" w:hAnsi="Theinhardt Regular" w:cs="Theinhardt Regular"/>
          <w:color w:val="231F20"/>
          <w:spacing w:val="3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solaire</w:t>
      </w:r>
      <w:r>
        <w:rPr>
          <w:rFonts w:ascii="Theinhardt Regular" w:eastAsia="Theinhardt Regular" w:hAnsi="Theinhardt Regular" w:cs="Theinhardt Regular"/>
          <w:color w:val="231F20"/>
          <w:spacing w:val="3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est</w:t>
      </w:r>
      <w:r>
        <w:rPr>
          <w:rFonts w:ascii="Theinhardt Regular" w:eastAsia="Theinhardt Regular" w:hAnsi="Theinhardt Regular" w:cs="Theinhardt Regular"/>
          <w:color w:val="231F20"/>
          <w:spacing w:val="3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de</w:t>
      </w:r>
      <w:r>
        <w:rPr>
          <w:rFonts w:ascii="Theinhardt Regular" w:eastAsia="Theinhardt Regular" w:hAnsi="Theinhardt Regular" w:cs="Theinhardt Regular"/>
          <w:color w:val="231F20"/>
          <w:spacing w:val="3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 xml:space="preserve">18’600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kWh/a.</w:t>
      </w:r>
    </w:p>
    <w:p w14:paraId="7E7EE18E" w14:textId="77777777" w:rsidR="00244B64" w:rsidRDefault="00181077">
      <w:pPr>
        <w:spacing w:line="232" w:lineRule="auto"/>
        <w:ind w:left="166" w:firstLine="226"/>
        <w:jc w:val="both"/>
        <w:rPr>
          <w:rFonts w:ascii="Theinhardt Regular" w:eastAsia="Theinhardt Regular" w:hAnsi="Theinhardt Regular" w:cs="Theinhardt Regular"/>
          <w:sz w:val="18"/>
          <w:szCs w:val="18"/>
        </w:rPr>
      </w:pP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Exemplaire</w:t>
      </w:r>
      <w:r>
        <w:rPr>
          <w:rFonts w:ascii="Theinhardt Regular" w:eastAsia="Theinhardt Regular" w:hAnsi="Theinhardt Regular" w:cs="Theinhardt Regular"/>
          <w:color w:val="231F20"/>
          <w:spacing w:val="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et</w:t>
      </w:r>
      <w:r>
        <w:rPr>
          <w:rFonts w:ascii="Theinhardt Regular" w:eastAsia="Theinhardt Regular" w:hAnsi="Theinhardt Regular" w:cs="Theinhardt Regular"/>
          <w:color w:val="231F20"/>
          <w:spacing w:val="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bien</w:t>
      </w:r>
      <w:r>
        <w:rPr>
          <w:rFonts w:ascii="Theinhardt Regular" w:eastAsia="Theinhardt Regular" w:hAnsi="Theinhardt Regular" w:cs="Theinhardt Regular"/>
          <w:color w:val="231F20"/>
          <w:spacing w:val="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pensé,</w:t>
      </w:r>
      <w:r>
        <w:rPr>
          <w:rFonts w:ascii="Theinhardt Regular" w:eastAsia="Theinhardt Regular" w:hAnsi="Theinhardt Regular" w:cs="Theinhardt Regular"/>
          <w:color w:val="231F20"/>
          <w:spacing w:val="-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le</w:t>
      </w:r>
      <w:r>
        <w:rPr>
          <w:rFonts w:ascii="Theinhardt Regular" w:eastAsia="Theinhardt Regular" w:hAnsi="Theinhardt Regular" w:cs="Theinhardt Regular"/>
          <w:color w:val="231F20"/>
          <w:spacing w:val="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lotissement</w:t>
      </w:r>
      <w:r>
        <w:rPr>
          <w:rFonts w:ascii="Theinhardt Regular" w:eastAsia="Theinhardt Regular" w:hAnsi="Theinhardt Regular" w:cs="Theinhardt Regular"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BEP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 xml:space="preserve"> signé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Homsphere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SA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 xml:space="preserve"> est le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premier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 xml:space="preserve"> du</w:t>
      </w:r>
      <w:r>
        <w:rPr>
          <w:rFonts w:ascii="Theinhardt Regular" w:eastAsia="Theinhardt Regular" w:hAnsi="Theinhardt Regular" w:cs="Theinhardt Regular"/>
          <w:color w:val="231F20"/>
          <w:spacing w:val="2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canton</w:t>
      </w:r>
      <w:r>
        <w:rPr>
          <w:rFonts w:ascii="Theinhardt Regular" w:eastAsia="Theinhardt Regular" w:hAnsi="Theinhardt Regular" w:cs="Theinhardt Regular"/>
          <w:color w:val="231F20"/>
          <w:spacing w:val="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de</w:t>
      </w:r>
      <w:r>
        <w:rPr>
          <w:rFonts w:ascii="Theinhardt Regular" w:eastAsia="Theinhardt Regular" w:hAnsi="Theinhardt Regular" w:cs="Theinhardt Regular"/>
          <w:color w:val="231F20"/>
          <w:spacing w:val="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Genève</w:t>
      </w:r>
      <w:r>
        <w:rPr>
          <w:rFonts w:ascii="Theinhardt Regular" w:eastAsia="Theinhardt Regular" w:hAnsi="Theinhardt Regular" w:cs="Theinhardt Regular"/>
          <w:color w:val="231F20"/>
          <w:spacing w:val="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et</w:t>
      </w:r>
      <w:r>
        <w:rPr>
          <w:rFonts w:ascii="Theinhardt Regular" w:eastAsia="Theinhardt Regular" w:hAnsi="Theinhardt Regular" w:cs="Theinhardt Regular"/>
          <w:color w:val="231F20"/>
          <w:spacing w:val="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de</w:t>
      </w:r>
      <w:r>
        <w:rPr>
          <w:rFonts w:ascii="Theinhardt Regular" w:eastAsia="Theinhardt Regular" w:hAnsi="Theinhardt Regular" w:cs="Theinhardt Regular"/>
          <w:color w:val="231F20"/>
          <w:spacing w:val="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toute</w:t>
      </w:r>
      <w:r>
        <w:rPr>
          <w:rFonts w:ascii="Theinhardt Regular" w:eastAsia="Theinhardt Regular" w:hAnsi="Theinhardt Regular" w:cs="Theinhardt Regular"/>
          <w:color w:val="231F20"/>
          <w:spacing w:val="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la</w:t>
      </w:r>
      <w:r>
        <w:rPr>
          <w:rFonts w:ascii="Theinhardt Regular" w:eastAsia="Theinhardt Regular" w:hAnsi="Theinhardt Regular" w:cs="Theinhardt Regular"/>
          <w:color w:val="231F20"/>
          <w:spacing w:val="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Suisse</w:t>
      </w:r>
      <w:r>
        <w:rPr>
          <w:rFonts w:ascii="Theinhardt Regular" w:eastAsia="Theinhardt Regular" w:hAnsi="Theinhardt Regular" w:cs="Theinhardt Regular"/>
          <w:color w:val="231F20"/>
          <w:spacing w:val="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ro-</w:t>
      </w:r>
      <w:r>
        <w:rPr>
          <w:rFonts w:ascii="Theinhardt Regular" w:eastAsia="Theinhardt Regular" w:hAnsi="Theinhardt Regular" w:cs="Theinhardt Regular"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mande,</w:t>
      </w:r>
      <w:r>
        <w:rPr>
          <w:rFonts w:ascii="Theinhardt Regular" w:eastAsia="Theinhardt Regular" w:hAnsi="Theinhardt Regular" w:cs="Theinhardt Regular"/>
          <w:color w:val="231F20"/>
          <w:spacing w:val="-1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et</w:t>
      </w:r>
      <w:r>
        <w:rPr>
          <w:rFonts w:ascii="Theinhardt Regular" w:eastAsia="Theinhardt Regular" w:hAnsi="Theinhardt Regular" w:cs="Theinhardt Regular"/>
          <w:color w:val="231F20"/>
          <w:spacing w:val="-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le</w:t>
      </w:r>
      <w:r>
        <w:rPr>
          <w:rFonts w:ascii="Theinhardt Regular" w:eastAsia="Theinhardt Regular" w:hAnsi="Theinhardt Regular" w:cs="Theinhardt Regular"/>
          <w:color w:val="231F20"/>
          <w:spacing w:val="-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deuxième</w:t>
      </w:r>
      <w:r>
        <w:rPr>
          <w:rFonts w:ascii="Theinhardt Regular" w:eastAsia="Theinhardt Regular" w:hAnsi="Theinhardt Regular" w:cs="Theinhardt Regular"/>
          <w:color w:val="231F20"/>
          <w:spacing w:val="-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du</w:t>
      </w:r>
      <w:r>
        <w:rPr>
          <w:rFonts w:ascii="Theinhardt Regular" w:eastAsia="Theinhardt Regular" w:hAnsi="Theinhardt Regular" w:cs="Theinhardt Regular"/>
          <w:color w:val="231F20"/>
          <w:spacing w:val="-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pays.</w:t>
      </w:r>
      <w:r>
        <w:rPr>
          <w:rFonts w:ascii="Theinhardt Regular" w:eastAsia="Theinhardt Regular" w:hAnsi="Theinhardt Regular" w:cs="Theinhardt Regular"/>
          <w:color w:val="231F20"/>
          <w:spacing w:val="-18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Grâce</w:t>
      </w:r>
      <w:r>
        <w:rPr>
          <w:rFonts w:ascii="Theinhardt Regular" w:eastAsia="Theinhardt Regular" w:hAnsi="Theinhardt Regular" w:cs="Theinhardt Regular"/>
          <w:color w:val="231F20"/>
          <w:spacing w:val="-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à</w:t>
      </w:r>
      <w:r>
        <w:rPr>
          <w:rFonts w:ascii="Theinhardt Regular" w:eastAsia="Theinhardt Regular" w:hAnsi="Theinhardt Regular" w:cs="Theinhardt Regular"/>
          <w:color w:val="231F20"/>
          <w:spacing w:val="-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son</w:t>
      </w:r>
      <w:r>
        <w:rPr>
          <w:rFonts w:ascii="Theinhardt Regular" w:eastAsia="Theinhardt Regular" w:hAnsi="Theinhardt Regular" w:cs="Theinhardt Regular"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isolation</w:t>
      </w:r>
      <w:r>
        <w:rPr>
          <w:rFonts w:ascii="Theinhardt Regular" w:eastAsia="Theinhardt Regular" w:hAnsi="Theinhardt Regular" w:cs="Theinhardt Regular"/>
          <w:color w:val="231F20"/>
          <w:spacing w:val="3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thermique</w:t>
      </w:r>
      <w:r>
        <w:rPr>
          <w:rFonts w:ascii="Theinhardt Regular" w:eastAsia="Theinhardt Regular" w:hAnsi="Theinhardt Regular" w:cs="Theinhardt Regular"/>
          <w:color w:val="231F20"/>
          <w:spacing w:val="3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2"/>
          <w:sz w:val="18"/>
          <w:szCs w:val="18"/>
        </w:rPr>
        <w:t>remarquable</w:t>
      </w:r>
      <w:r>
        <w:rPr>
          <w:rFonts w:ascii="Theinhardt Regular" w:eastAsia="Theinhardt Regular" w:hAnsi="Theinhardt Regular" w:cs="Theinhardt Regular"/>
          <w:color w:val="231F20"/>
          <w:spacing w:val="32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et</w:t>
      </w:r>
      <w:r>
        <w:rPr>
          <w:rFonts w:ascii="Theinhardt Regular" w:eastAsia="Theinhardt Regular" w:hAnsi="Theinhardt Regular" w:cs="Theinhardt Regular"/>
          <w:color w:val="231F20"/>
          <w:spacing w:val="3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à</w:t>
      </w:r>
      <w:r>
        <w:rPr>
          <w:rFonts w:ascii="Theinhardt Regular" w:eastAsia="Theinhardt Regular" w:hAnsi="Theinhardt Regular" w:cs="Theinhardt Regular"/>
          <w:color w:val="231F20"/>
          <w:spacing w:val="3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d’excellentes</w:t>
      </w:r>
      <w:r>
        <w:rPr>
          <w:rFonts w:ascii="Theinhardt Regular" w:eastAsia="Theinhardt Regular" w:hAnsi="Theinhardt Regular" w:cs="Theinhardt Regular"/>
          <w:color w:val="231F20"/>
          <w:spacing w:val="3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valeurs</w:t>
      </w:r>
      <w:r>
        <w:rPr>
          <w:rFonts w:ascii="Theinhardt Regular" w:eastAsia="Theinhardt Regular" w:hAnsi="Theinhardt Regular" w:cs="Theinhardt Regular"/>
          <w:color w:val="231F20"/>
          <w:spacing w:val="3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5"/>
          <w:sz w:val="18"/>
          <w:szCs w:val="18"/>
        </w:rPr>
        <w:t>U,</w:t>
      </w:r>
      <w:r>
        <w:rPr>
          <w:rFonts w:ascii="Theinhardt Regular" w:eastAsia="Theinhardt Regular" w:hAnsi="Theinhardt Regular" w:cs="Theinhardt Regular"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il</w:t>
      </w:r>
      <w:r>
        <w:rPr>
          <w:rFonts w:ascii="Theinhardt Regular" w:eastAsia="Theinhardt Regular" w:hAnsi="Theinhardt Regular" w:cs="Theinhardt Regular"/>
          <w:color w:val="231F20"/>
          <w:spacing w:val="33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-1"/>
          <w:sz w:val="18"/>
          <w:szCs w:val="18"/>
        </w:rPr>
        <w:t>s’impose</w:t>
      </w:r>
      <w:r>
        <w:rPr>
          <w:rFonts w:ascii="Theinhardt Regular" w:eastAsia="Theinhardt Regular" w:hAnsi="Theinhardt Regular" w:cs="Theinhardt Regular"/>
          <w:color w:val="231F20"/>
          <w:spacing w:val="3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au</w:t>
      </w:r>
      <w:r>
        <w:rPr>
          <w:rFonts w:ascii="Theinhardt Regular" w:eastAsia="Theinhardt Regular" w:hAnsi="Theinhardt Regular" w:cs="Theinhardt Regular"/>
          <w:color w:val="231F20"/>
          <w:spacing w:val="34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ni-</w:t>
      </w:r>
      <w:r>
        <w:rPr>
          <w:rFonts w:ascii="Theinhardt Regular" w:eastAsia="Theinhardt Regular" w:hAnsi="Theinhardt Regular" w:cs="Theinhardt Regular"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veau</w:t>
      </w:r>
      <w:r>
        <w:rPr>
          <w:rFonts w:ascii="Theinhardt Regular" w:eastAsia="Theinhardt Regular" w:hAnsi="Theinhardt Regular" w:cs="Theinhardt Regular"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national</w:t>
      </w:r>
      <w:r>
        <w:rPr>
          <w:rFonts w:ascii="Theinhardt Regular" w:eastAsia="Theinhardt Regular" w:hAnsi="Theinhardt Regular" w:cs="Theinhardt Regular"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et</w:t>
      </w:r>
      <w:r>
        <w:rPr>
          <w:rFonts w:ascii="Theinhardt Regular" w:eastAsia="Theinhardt Regular" w:hAnsi="Theinhardt Regular" w:cs="Theinhardt Regular"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a</w:t>
      </w:r>
      <w:r>
        <w:rPr>
          <w:rFonts w:ascii="Theinhardt Regular" w:eastAsia="Theinhardt Regular" w:hAnsi="Theinhardt Regular" w:cs="Theinhardt Regular"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valeur</w:t>
      </w:r>
      <w:r>
        <w:rPr>
          <w:rFonts w:ascii="Theinhardt Regular" w:eastAsia="Theinhardt Regular" w:hAnsi="Theinhardt Regular" w:cs="Theinhardt Regular"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de</w:t>
      </w:r>
      <w:r>
        <w:rPr>
          <w:rFonts w:ascii="Theinhardt Regular" w:eastAsia="Theinhardt Regular" w:hAnsi="Theinhardt Regular" w:cs="Theinhardt Regular"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modèle</w:t>
      </w:r>
      <w:r>
        <w:rPr>
          <w:rFonts w:ascii="Theinhardt Regular" w:eastAsia="Theinhardt Regular" w:hAnsi="Theinhardt Regular" w:cs="Theinhardt Regular"/>
          <w:color w:val="231F20"/>
          <w:spacing w:val="-5"/>
          <w:sz w:val="18"/>
          <w:szCs w:val="18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z w:val="18"/>
          <w:szCs w:val="18"/>
        </w:rPr>
        <w:t>partout.</w:t>
      </w:r>
    </w:p>
    <w:p w14:paraId="64A011AD" w14:textId="77777777" w:rsidR="00244B64" w:rsidRDefault="00181077">
      <w:pPr>
        <w:spacing w:line="230" w:lineRule="exact"/>
        <w:ind w:left="166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br w:type="column"/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sechs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PEB-EFH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reduziert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rund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80%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üb-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lichen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Energieverluste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8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im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Gebäudesektor.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Die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63.6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kWp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starke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PV-Anlage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verteilt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sich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über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die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Flachdächer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sechs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PEB.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Die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ge-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samten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PV-Anlagen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erzeugen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54’800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kWh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Strom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pro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Jahr.</w:t>
      </w:r>
    </w:p>
    <w:p w14:paraId="6BD2F4E2" w14:textId="77777777" w:rsidR="00244B64" w:rsidRDefault="00181077">
      <w:pPr>
        <w:spacing w:line="230" w:lineRule="exact"/>
        <w:ind w:left="166" w:firstLine="226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Jedes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EFH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verfügt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über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eine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5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10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4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kWh-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Batterie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für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die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Speicherung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erzeugten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Solarstroms.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Zusätzliche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Speichermöglich-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keiten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bieten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mindestens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ein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Elektrofahrzeug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1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pro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EFH.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>Das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Microgrid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dient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Anpassung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des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Stromverbrauchs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von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36’200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kWh/a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an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4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die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Stromerzeugung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und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Stromspeicherung.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6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1"/>
          <w:sz w:val="18"/>
          <w:szCs w:val="18"/>
        </w:rPr>
        <w:t>Daraus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resultiert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ein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2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Solarstromüberschuss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3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von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z w:val="18"/>
          <w:szCs w:val="18"/>
        </w:rPr>
        <w:t>18’600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3"/>
          <w:sz w:val="18"/>
          <w:szCs w:val="18"/>
        </w:rPr>
        <w:t>kWh/a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9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2"/>
          <w:sz w:val="18"/>
          <w:szCs w:val="18"/>
        </w:rPr>
        <w:t>der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ganzen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30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PEB-Solar-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27"/>
          <w:sz w:val="18"/>
          <w:szCs w:val="18"/>
        </w:rPr>
        <w:t xml:space="preserve"> </w:t>
      </w:r>
      <w:r>
        <w:rPr>
          <w:rFonts w:ascii="Theinhardt Regular Italic" w:eastAsia="Theinhardt Regular Italic" w:hAnsi="Theinhardt Regular Italic" w:cs="Theinhardt Regular Italic"/>
          <w:i/>
          <w:color w:val="231F20"/>
          <w:spacing w:val="-1"/>
          <w:sz w:val="18"/>
          <w:szCs w:val="18"/>
        </w:rPr>
        <w:t>siedlung.</w:t>
      </w:r>
    </w:p>
    <w:p w14:paraId="1709768B" w14:textId="77777777" w:rsidR="00244B64" w:rsidRDefault="00181077">
      <w:pPr>
        <w:spacing w:line="230" w:lineRule="exact"/>
        <w:ind w:left="166" w:right="5" w:firstLine="226"/>
        <w:jc w:val="both"/>
        <w:rPr>
          <w:rFonts w:ascii="Theinhardt Regular Italic" w:eastAsia="Theinhardt Regular Italic" w:hAnsi="Theinhardt Regular Italic" w:cs="Theinhardt Regular Italic"/>
          <w:sz w:val="18"/>
          <w:szCs w:val="18"/>
        </w:rPr>
      </w:pPr>
      <w:r>
        <w:rPr>
          <w:rFonts w:ascii="Theinhardt Regular Italic" w:hAnsi="Theinhardt Regular Italic"/>
          <w:i/>
          <w:color w:val="231F20"/>
          <w:spacing w:val="-1"/>
          <w:sz w:val="18"/>
        </w:rPr>
        <w:t>Die</w:t>
      </w:r>
      <w:r>
        <w:rPr>
          <w:rFonts w:ascii="Theinhardt Regular Italic" w:hAnsi="Theinhardt Regular Italic"/>
          <w:i/>
          <w:color w:val="231F20"/>
          <w:spacing w:val="16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vorbildlich</w:t>
      </w:r>
      <w:r>
        <w:rPr>
          <w:rFonts w:ascii="Theinhardt Regular Italic" w:hAnsi="Theinhardt Regular Italic"/>
          <w:i/>
          <w:color w:val="231F20"/>
          <w:spacing w:val="16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und</w:t>
      </w:r>
      <w:r>
        <w:rPr>
          <w:rFonts w:ascii="Theinhardt Regular Italic" w:hAnsi="Theinhardt Regular Italic"/>
          <w:i/>
          <w:color w:val="231F20"/>
          <w:spacing w:val="16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umsichtig</w:t>
      </w:r>
      <w:r>
        <w:rPr>
          <w:rFonts w:ascii="Theinhardt Regular Italic" w:hAnsi="Theinhardt Regular Italic"/>
          <w:i/>
          <w:color w:val="231F20"/>
          <w:spacing w:val="16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konzipierte</w:t>
      </w:r>
      <w:r>
        <w:rPr>
          <w:rFonts w:ascii="Theinhardt Regular Italic" w:hAnsi="Theinhardt Regular Italic"/>
          <w:i/>
          <w:color w:val="231F20"/>
          <w:spacing w:val="27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PlusEnergieBau-Siedlung</w:t>
      </w:r>
      <w:r>
        <w:rPr>
          <w:rFonts w:ascii="Theinhardt Regular Italic" w:hAnsi="Theinhardt Regular Italic"/>
          <w:i/>
          <w:color w:val="231F20"/>
          <w:spacing w:val="46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von</w:t>
      </w:r>
      <w:r>
        <w:rPr>
          <w:rFonts w:ascii="Theinhardt Regular Italic" w:hAnsi="Theinhardt Regular Italic"/>
          <w:i/>
          <w:color w:val="231F20"/>
          <w:spacing w:val="47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Homsphere</w:t>
      </w:r>
      <w:r>
        <w:rPr>
          <w:rFonts w:ascii="Theinhardt Regular Italic" w:hAnsi="Theinhardt Regular Italic"/>
          <w:i/>
          <w:color w:val="231F20"/>
          <w:spacing w:val="22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1"/>
          <w:sz w:val="18"/>
        </w:rPr>
        <w:t>SA</w:t>
      </w:r>
      <w:r>
        <w:rPr>
          <w:rFonts w:ascii="Theinhardt Regular Italic" w:hAnsi="Theinhardt Regular Italic"/>
          <w:i/>
          <w:color w:val="231F20"/>
          <w:spacing w:val="2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ist</w:t>
      </w:r>
      <w:r>
        <w:rPr>
          <w:rFonts w:ascii="Theinhardt Regular Italic" w:hAnsi="Theinhardt Regular Italic"/>
          <w:i/>
          <w:color w:val="231F20"/>
          <w:spacing w:val="25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nicht</w:t>
      </w:r>
      <w:r>
        <w:rPr>
          <w:rFonts w:ascii="Theinhardt Regular Italic" w:hAnsi="Theinhardt Regular Italic"/>
          <w:i/>
          <w:color w:val="231F20"/>
          <w:spacing w:val="2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nur</w:t>
      </w:r>
      <w:r>
        <w:rPr>
          <w:rFonts w:ascii="Theinhardt Regular Italic" w:hAnsi="Theinhardt Regular Italic"/>
          <w:i/>
          <w:color w:val="231F20"/>
          <w:spacing w:val="25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die</w:t>
      </w:r>
      <w:r>
        <w:rPr>
          <w:rFonts w:ascii="Theinhardt Regular Italic" w:hAnsi="Theinhardt Regular Italic"/>
          <w:i/>
          <w:color w:val="231F20"/>
          <w:spacing w:val="25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erste</w:t>
      </w:r>
      <w:r>
        <w:rPr>
          <w:rFonts w:ascii="Theinhardt Regular Italic" w:hAnsi="Theinhardt Regular Italic"/>
          <w:i/>
          <w:color w:val="231F20"/>
          <w:spacing w:val="2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PEB-Siedlung</w:t>
      </w:r>
      <w:r>
        <w:rPr>
          <w:rFonts w:ascii="Theinhardt Regular Italic" w:hAnsi="Theinhardt Regular Italic"/>
          <w:i/>
          <w:color w:val="231F20"/>
          <w:spacing w:val="25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im</w:t>
      </w:r>
      <w:r>
        <w:rPr>
          <w:rFonts w:ascii="Theinhardt Regular Italic" w:hAnsi="Theinhardt Regular Italic"/>
          <w:i/>
          <w:color w:val="231F20"/>
          <w:spacing w:val="35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Kanton</w:t>
      </w:r>
      <w:r>
        <w:rPr>
          <w:rFonts w:ascii="Theinhardt Regular Italic" w:hAnsi="Theinhardt Regular Italic"/>
          <w:i/>
          <w:color w:val="231F20"/>
          <w:spacing w:val="6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 xml:space="preserve">Genf,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sondern</w:t>
      </w:r>
      <w:r>
        <w:rPr>
          <w:rFonts w:ascii="Theinhardt Regular Italic" w:hAnsi="Theinhardt Regular Italic"/>
          <w:i/>
          <w:color w:val="231F20"/>
          <w:spacing w:val="6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in</w:t>
      </w:r>
      <w:r>
        <w:rPr>
          <w:rFonts w:ascii="Theinhardt Regular Italic" w:hAnsi="Theinhardt Regular Italic"/>
          <w:i/>
          <w:color w:val="231F20"/>
          <w:spacing w:val="6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der</w:t>
      </w:r>
      <w:r>
        <w:rPr>
          <w:rFonts w:ascii="Theinhardt Regular Italic" w:hAnsi="Theinhardt Regular Italic"/>
          <w:i/>
          <w:color w:val="231F20"/>
          <w:spacing w:val="6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gesamten</w:t>
      </w:r>
      <w:r>
        <w:rPr>
          <w:rFonts w:ascii="Theinhardt Regular Italic" w:hAnsi="Theinhardt Regular Italic"/>
          <w:i/>
          <w:color w:val="231F20"/>
          <w:spacing w:val="6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fran-</w:t>
      </w:r>
      <w:r>
        <w:rPr>
          <w:rFonts w:ascii="Theinhardt Regular Italic" w:hAnsi="Theinhardt Regular Italic"/>
          <w:i/>
          <w:color w:val="231F20"/>
          <w:spacing w:val="37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zösischsprachigen</w:t>
      </w:r>
      <w:r>
        <w:rPr>
          <w:rFonts w:ascii="Theinhardt Regular Italic" w:hAnsi="Theinhardt Regular Italic"/>
          <w:i/>
          <w:color w:val="231F20"/>
          <w:spacing w:val="-11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Schweiz.</w:t>
      </w:r>
      <w:r>
        <w:rPr>
          <w:rFonts w:ascii="Theinhardt Regular Italic" w:hAnsi="Theinhardt Regular Italic"/>
          <w:i/>
          <w:color w:val="231F20"/>
          <w:spacing w:val="-1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Sie</w:t>
      </w:r>
      <w:r>
        <w:rPr>
          <w:rFonts w:ascii="Theinhardt Regular Italic" w:hAnsi="Theinhardt Regular Italic"/>
          <w:i/>
          <w:color w:val="231F20"/>
          <w:spacing w:val="-11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ist</w:t>
      </w:r>
      <w:r>
        <w:rPr>
          <w:rFonts w:ascii="Theinhardt Regular Italic" w:hAnsi="Theinhardt Regular Italic"/>
          <w:i/>
          <w:color w:val="231F20"/>
          <w:spacing w:val="-11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damit</w:t>
      </w:r>
      <w:r>
        <w:rPr>
          <w:rFonts w:ascii="Theinhardt Regular Italic" w:hAnsi="Theinhardt Regular Italic"/>
          <w:i/>
          <w:color w:val="231F20"/>
          <w:spacing w:val="-11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erst</w:t>
      </w:r>
      <w:r>
        <w:rPr>
          <w:rFonts w:ascii="Theinhardt Regular Italic" w:hAnsi="Theinhardt Regular Italic"/>
          <w:i/>
          <w:color w:val="231F20"/>
          <w:spacing w:val="26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die</w:t>
      </w:r>
      <w:r>
        <w:rPr>
          <w:rFonts w:ascii="Theinhardt Regular Italic" w:hAnsi="Theinhardt Regular Italic"/>
          <w:i/>
          <w:color w:val="231F20"/>
          <w:spacing w:val="2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zweite</w:t>
      </w:r>
      <w:r>
        <w:rPr>
          <w:rFonts w:ascii="Theinhardt Regular Italic" w:hAnsi="Theinhardt Regular Italic"/>
          <w:i/>
          <w:color w:val="231F20"/>
          <w:spacing w:val="25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in</w:t>
      </w:r>
      <w:r>
        <w:rPr>
          <w:rFonts w:ascii="Theinhardt Regular Italic" w:hAnsi="Theinhardt Regular Italic"/>
          <w:i/>
          <w:color w:val="231F20"/>
          <w:spacing w:val="2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der</w:t>
      </w:r>
      <w:r>
        <w:rPr>
          <w:rFonts w:ascii="Theinhardt Regular Italic" w:hAnsi="Theinhardt Regular Italic"/>
          <w:i/>
          <w:color w:val="231F20"/>
          <w:spacing w:val="25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Schweiz.</w:t>
      </w:r>
      <w:r>
        <w:rPr>
          <w:rFonts w:ascii="Theinhardt Regular Italic" w:hAnsi="Theinhardt Regular Italic"/>
          <w:i/>
          <w:color w:val="231F20"/>
          <w:spacing w:val="1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Ihre</w:t>
      </w:r>
      <w:r>
        <w:rPr>
          <w:rFonts w:ascii="Theinhardt Regular Italic" w:hAnsi="Theinhardt Regular Italic"/>
          <w:i/>
          <w:color w:val="231F20"/>
          <w:spacing w:val="25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vorbildliche</w:t>
      </w:r>
      <w:r>
        <w:rPr>
          <w:rFonts w:ascii="Theinhardt Regular Italic" w:hAnsi="Theinhardt Regular Italic"/>
          <w:i/>
          <w:color w:val="231F20"/>
          <w:spacing w:val="27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Dämmung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und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die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ausgezeichneten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U-Werte</w:t>
      </w:r>
      <w:r>
        <w:rPr>
          <w:rFonts w:ascii="Theinhardt Regular Italic" w:hAnsi="Theinhardt Regular Italic"/>
          <w:i/>
          <w:color w:val="231F20"/>
          <w:spacing w:val="25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überstrahlen</w:t>
      </w:r>
      <w:r>
        <w:rPr>
          <w:rFonts w:ascii="Theinhardt Regular Italic" w:hAnsi="Theinhardt Regular Italic"/>
          <w:i/>
          <w:color w:val="231F20"/>
          <w:spacing w:val="1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die</w:t>
      </w:r>
      <w:r>
        <w:rPr>
          <w:rFonts w:ascii="Theinhardt Regular Italic" w:hAnsi="Theinhardt Regular Italic"/>
          <w:i/>
          <w:color w:val="231F20"/>
          <w:spacing w:val="1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ganze</w:t>
      </w:r>
      <w:r>
        <w:rPr>
          <w:rFonts w:ascii="Theinhardt Regular Italic" w:hAnsi="Theinhardt Regular Italic"/>
          <w:i/>
          <w:color w:val="231F20"/>
          <w:spacing w:val="1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Schweiz</w:t>
      </w:r>
      <w:r>
        <w:rPr>
          <w:rFonts w:ascii="Theinhardt Regular Italic" w:hAnsi="Theinhardt Regular Italic"/>
          <w:i/>
          <w:color w:val="231F20"/>
          <w:spacing w:val="1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und</w:t>
      </w:r>
      <w:r>
        <w:rPr>
          <w:rFonts w:ascii="Theinhardt Regular Italic" w:hAnsi="Theinhardt Regular Italic"/>
          <w:i/>
          <w:color w:val="231F20"/>
          <w:spacing w:val="14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2"/>
          <w:sz w:val="18"/>
        </w:rPr>
        <w:t>dienen</w:t>
      </w:r>
      <w:r>
        <w:rPr>
          <w:rFonts w:ascii="Theinhardt Regular Italic" w:hAnsi="Theinhardt Regular Italic"/>
          <w:i/>
          <w:color w:val="231F20"/>
          <w:spacing w:val="35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z w:val="18"/>
        </w:rPr>
        <w:t>überall als</w:t>
      </w:r>
      <w:r>
        <w:rPr>
          <w:rFonts w:ascii="Theinhardt Regular Italic" w:hAnsi="Theinhardt Regular Italic"/>
          <w:i/>
          <w:color w:val="231F20"/>
          <w:spacing w:val="-8"/>
          <w:sz w:val="18"/>
        </w:rPr>
        <w:t xml:space="preserve"> </w:t>
      </w:r>
      <w:r>
        <w:rPr>
          <w:rFonts w:ascii="Theinhardt Regular Italic" w:hAnsi="Theinhardt Regular Italic"/>
          <w:i/>
          <w:color w:val="231F20"/>
          <w:spacing w:val="-1"/>
          <w:sz w:val="18"/>
        </w:rPr>
        <w:t>Vorbild.</w:t>
      </w:r>
    </w:p>
    <w:p w14:paraId="61157076" w14:textId="77777777" w:rsidR="00244B64" w:rsidRDefault="00181077">
      <w:pPr>
        <w:pStyle w:val="Textkrper"/>
        <w:tabs>
          <w:tab w:val="left" w:pos="1000"/>
          <w:tab w:val="left" w:pos="2530"/>
        </w:tabs>
        <w:spacing w:line="131" w:lineRule="exact"/>
        <w:ind w:left="167"/>
      </w:pPr>
      <w:r>
        <w:br w:type="column"/>
      </w:r>
      <w:r>
        <w:rPr>
          <w:spacing w:val="1"/>
        </w:rPr>
        <w:t>Mur:</w:t>
      </w:r>
      <w:r>
        <w:rPr>
          <w:spacing w:val="1"/>
        </w:rPr>
        <w:tab/>
      </w:r>
      <w:r>
        <w:t xml:space="preserve">36 cm  </w:t>
      </w:r>
      <w:r>
        <w:rPr>
          <w:spacing w:val="33"/>
        </w:rPr>
        <w:t xml:space="preserve"> </w:t>
      </w:r>
      <w:r>
        <w:t>Valeur U:</w:t>
      </w:r>
      <w:r>
        <w:tab/>
      </w:r>
      <w:r>
        <w:rPr>
          <w:spacing w:val="-3"/>
        </w:rPr>
        <w:t>0.10</w:t>
      </w:r>
      <w:r>
        <w:rPr>
          <w:spacing w:val="-11"/>
        </w:rPr>
        <w:t xml:space="preserve"> </w:t>
      </w:r>
      <w:r>
        <w:t>W/m</w:t>
      </w:r>
      <w:r>
        <w:rPr>
          <w:position w:val="5"/>
          <w:sz w:val="8"/>
        </w:rPr>
        <w:t>2</w:t>
      </w:r>
      <w:r>
        <w:t>K</w:t>
      </w:r>
    </w:p>
    <w:p w14:paraId="0E884107" w14:textId="77777777" w:rsidR="00244B64" w:rsidRDefault="00181077">
      <w:pPr>
        <w:pStyle w:val="Textkrper"/>
        <w:tabs>
          <w:tab w:val="left" w:pos="970"/>
          <w:tab w:val="left" w:pos="1000"/>
          <w:tab w:val="left" w:pos="2508"/>
        </w:tabs>
        <w:spacing w:before="5" w:line="207" w:lineRule="auto"/>
        <w:ind w:left="167" w:right="373"/>
        <w:jc w:val="both"/>
      </w:pPr>
      <w:r>
        <w:rPr>
          <w:spacing w:val="-1"/>
        </w:rPr>
        <w:t>Toit:</w:t>
      </w:r>
      <w:r>
        <w:rPr>
          <w:spacing w:val="-1"/>
        </w:rPr>
        <w:tab/>
      </w:r>
      <w:r>
        <w:rPr>
          <w:spacing w:val="-1"/>
        </w:rPr>
        <w:tab/>
      </w:r>
      <w:r>
        <w:t xml:space="preserve">35 cm  </w:t>
      </w:r>
      <w:r>
        <w:rPr>
          <w:spacing w:val="33"/>
        </w:rPr>
        <w:t xml:space="preserve"> </w:t>
      </w:r>
      <w:r>
        <w:t>Valeur U:</w:t>
      </w:r>
      <w:r>
        <w:tab/>
      </w:r>
      <w:r>
        <w:rPr>
          <w:spacing w:val="-4"/>
        </w:rPr>
        <w:t>0.11</w:t>
      </w:r>
      <w:r>
        <w:rPr>
          <w:spacing w:val="1"/>
        </w:rPr>
        <w:t xml:space="preserve"> </w:t>
      </w:r>
      <w:r>
        <w:t>W/m</w:t>
      </w:r>
      <w:r>
        <w:rPr>
          <w:position w:val="5"/>
          <w:sz w:val="8"/>
        </w:rPr>
        <w:t>2</w:t>
      </w:r>
      <w:r>
        <w:t>K</w:t>
      </w:r>
      <w:r>
        <w:rPr>
          <w:spacing w:val="22"/>
        </w:rPr>
        <w:t xml:space="preserve"> </w:t>
      </w:r>
      <w:r>
        <w:rPr>
          <w:spacing w:val="1"/>
        </w:rPr>
        <w:t>Sol:</w:t>
      </w:r>
      <w:r>
        <w:rPr>
          <w:spacing w:val="1"/>
        </w:rPr>
        <w:tab/>
        <w:t>50</w:t>
      </w:r>
      <w:r>
        <w:t xml:space="preserve"> cm  </w:t>
      </w:r>
      <w:r>
        <w:rPr>
          <w:spacing w:val="33"/>
        </w:rPr>
        <w:t xml:space="preserve"> </w:t>
      </w:r>
      <w:r>
        <w:t>Valeur U:</w:t>
      </w:r>
      <w:r>
        <w:tab/>
      </w:r>
      <w:r>
        <w:rPr>
          <w:spacing w:val="-2"/>
        </w:rPr>
        <w:t>0.10</w:t>
      </w:r>
      <w:r>
        <w:rPr>
          <w:spacing w:val="1"/>
        </w:rPr>
        <w:t xml:space="preserve"> </w:t>
      </w:r>
      <w:r>
        <w:rPr>
          <w:spacing w:val="-1"/>
        </w:rPr>
        <w:t>W/m</w:t>
      </w:r>
      <w:r>
        <w:rPr>
          <w:spacing w:val="-1"/>
          <w:position w:val="5"/>
          <w:sz w:val="8"/>
        </w:rPr>
        <w:t>2</w:t>
      </w:r>
      <w:r>
        <w:rPr>
          <w:spacing w:val="-1"/>
        </w:rPr>
        <w:t>K</w:t>
      </w:r>
      <w:r>
        <w:rPr>
          <w:spacing w:val="22"/>
        </w:rPr>
        <w:t xml:space="preserve"> </w:t>
      </w:r>
      <w:r>
        <w:rPr>
          <w:spacing w:val="1"/>
        </w:rPr>
        <w:t>Fênetre:</w:t>
      </w:r>
      <w:r>
        <w:t xml:space="preserve">    </w:t>
      </w:r>
      <w:r>
        <w:rPr>
          <w:spacing w:val="29"/>
        </w:rPr>
        <w:t xml:space="preserve"> </w:t>
      </w:r>
      <w:r>
        <w:t xml:space="preserve">dreifach  </w:t>
      </w:r>
      <w:r>
        <w:rPr>
          <w:spacing w:val="34"/>
        </w:rPr>
        <w:t xml:space="preserve"> </w:t>
      </w:r>
      <w:r>
        <w:t>Valeur U:</w:t>
      </w:r>
      <w:r>
        <w:tab/>
        <w:t>0.87</w:t>
      </w:r>
      <w:r>
        <w:rPr>
          <w:spacing w:val="1"/>
        </w:rPr>
        <w:t xml:space="preserve"> </w:t>
      </w:r>
      <w:r>
        <w:t>W/m</w:t>
      </w:r>
      <w:r>
        <w:rPr>
          <w:position w:val="5"/>
          <w:sz w:val="8"/>
        </w:rPr>
        <w:t>2</w:t>
      </w:r>
      <w:r>
        <w:t>K</w:t>
      </w:r>
    </w:p>
    <w:p w14:paraId="1C335B13" w14:textId="77777777" w:rsidR="00244B64" w:rsidRDefault="00181077">
      <w:pPr>
        <w:pStyle w:val="berschrift5"/>
        <w:spacing w:before="38" w:line="172" w:lineRule="exact"/>
        <w:ind w:left="167"/>
        <w:rPr>
          <w:b w:val="0"/>
          <w:bCs w:val="0"/>
        </w:rPr>
      </w:pPr>
      <w:r>
        <w:rPr>
          <w:color w:val="231F20"/>
          <w:spacing w:val="1"/>
        </w:rPr>
        <w:t>Besoin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en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énergie</w:t>
      </w:r>
    </w:p>
    <w:p w14:paraId="79399DD9" w14:textId="77777777" w:rsidR="00244B64" w:rsidRDefault="00181077">
      <w:pPr>
        <w:pStyle w:val="Textkrper"/>
        <w:tabs>
          <w:tab w:val="left" w:pos="1528"/>
          <w:tab w:val="left" w:pos="2458"/>
          <w:tab w:val="left" w:pos="2870"/>
        </w:tabs>
        <w:spacing w:line="160" w:lineRule="exact"/>
        <w:ind w:left="167"/>
      </w:pPr>
      <w:r>
        <w:rPr>
          <w:color w:val="231F20"/>
          <w:spacing w:val="1"/>
        </w:rPr>
        <w:t>SRE:</w:t>
      </w:r>
      <w:r>
        <w:rPr>
          <w:color w:val="231F20"/>
        </w:rPr>
        <w:t xml:space="preserve"> 998 m</w:t>
      </w:r>
      <w:r>
        <w:rPr>
          <w:color w:val="231F20"/>
          <w:position w:val="5"/>
          <w:sz w:val="8"/>
        </w:rPr>
        <w:t>2</w:t>
      </w:r>
      <w:r>
        <w:rPr>
          <w:color w:val="231F20"/>
          <w:position w:val="5"/>
          <w:sz w:val="8"/>
        </w:rPr>
        <w:tab/>
      </w:r>
      <w:r>
        <w:rPr>
          <w:color w:val="231F20"/>
          <w:spacing w:val="-1"/>
        </w:rPr>
        <w:t>kWh/m</w:t>
      </w:r>
      <w:r>
        <w:rPr>
          <w:color w:val="231F20"/>
          <w:spacing w:val="-1"/>
          <w:position w:val="5"/>
          <w:sz w:val="8"/>
        </w:rPr>
        <w:t>2</w:t>
      </w:r>
      <w:r>
        <w:rPr>
          <w:color w:val="231F20"/>
          <w:spacing w:val="-1"/>
        </w:rPr>
        <w:t>a</w:t>
      </w:r>
      <w:r>
        <w:rPr>
          <w:color w:val="231F20"/>
          <w:spacing w:val="-1"/>
        </w:rPr>
        <w:tab/>
      </w:r>
      <w:r>
        <w:rPr>
          <w:color w:val="231F20"/>
        </w:rPr>
        <w:t>%</w:t>
      </w:r>
      <w:r>
        <w:rPr>
          <w:color w:val="231F20"/>
        </w:rPr>
        <w:tab/>
        <w:t>kWh/a</w:t>
      </w:r>
    </w:p>
    <w:p w14:paraId="326985A5" w14:textId="77777777" w:rsidR="00244B64" w:rsidRDefault="00181077">
      <w:pPr>
        <w:pStyle w:val="berschrift5"/>
        <w:tabs>
          <w:tab w:val="left" w:pos="1789"/>
          <w:tab w:val="left" w:pos="2339"/>
          <w:tab w:val="left" w:pos="2799"/>
        </w:tabs>
        <w:spacing w:before="0" w:line="172" w:lineRule="exact"/>
        <w:rPr>
          <w:b w:val="0"/>
          <w:bCs w:val="0"/>
        </w:rPr>
      </w:pPr>
      <w:r>
        <w:rPr>
          <w:color w:val="231F20"/>
        </w:rPr>
        <w:t xml:space="preserve">Total </w:t>
      </w:r>
      <w:r>
        <w:rPr>
          <w:color w:val="231F20"/>
          <w:spacing w:val="1"/>
        </w:rPr>
        <w:t>besoins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énerg.:</w:t>
      </w:r>
      <w:r>
        <w:rPr>
          <w:color w:val="231F20"/>
          <w:spacing w:val="1"/>
        </w:rPr>
        <w:tab/>
      </w:r>
      <w:r>
        <w:rPr>
          <w:color w:val="231F20"/>
          <w:w w:val="95"/>
        </w:rPr>
        <w:t>36.3</w:t>
      </w:r>
      <w:r>
        <w:rPr>
          <w:color w:val="231F20"/>
          <w:w w:val="95"/>
        </w:rPr>
        <w:tab/>
      </w:r>
      <w:r>
        <w:rPr>
          <w:rFonts w:ascii="Theinhardt Regular" w:eastAsia="Theinhardt Regular" w:hAnsi="Theinhardt Regular" w:cs="Theinhardt Regular"/>
          <w:b w:val="0"/>
          <w:bCs w:val="0"/>
          <w:color w:val="231F20"/>
        </w:rPr>
        <w:t>100</w:t>
      </w:r>
      <w:r>
        <w:rPr>
          <w:rFonts w:ascii="Theinhardt Regular" w:eastAsia="Theinhardt Regular" w:hAnsi="Theinhardt Regular" w:cs="Theinhardt Regular"/>
          <w:b w:val="0"/>
          <w:bCs w:val="0"/>
          <w:color w:val="231F20"/>
        </w:rPr>
        <w:tab/>
      </w:r>
      <w:r>
        <w:rPr>
          <w:color w:val="231F20"/>
          <w:spacing w:val="1"/>
        </w:rPr>
        <w:t>36’200</w:t>
      </w:r>
    </w:p>
    <w:p w14:paraId="1538CF81" w14:textId="77777777" w:rsidR="00244B64" w:rsidRDefault="00181077">
      <w:pPr>
        <w:spacing w:before="32" w:line="172" w:lineRule="exact"/>
        <w:ind w:left="166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Alimentation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2"/>
          <w:sz w:val="14"/>
        </w:rPr>
        <w:t>énergetique</w:t>
      </w:r>
    </w:p>
    <w:p w14:paraId="3F7D430F" w14:textId="77777777" w:rsidR="00244B64" w:rsidRDefault="00181077">
      <w:pPr>
        <w:pStyle w:val="Textkrper"/>
        <w:tabs>
          <w:tab w:val="left" w:pos="835"/>
          <w:tab w:val="left" w:pos="1727"/>
          <w:tab w:val="left" w:pos="2354"/>
          <w:tab w:val="left" w:pos="2458"/>
          <w:tab w:val="left" w:pos="2809"/>
        </w:tabs>
        <w:spacing w:before="6" w:line="207" w:lineRule="auto"/>
        <w:ind w:right="373"/>
      </w:pPr>
      <w:r>
        <w:rPr>
          <w:color w:val="231F20"/>
          <w:spacing w:val="1"/>
        </w:rPr>
        <w:t>Autoprod.:</w:t>
      </w:r>
      <w:r>
        <w:rPr>
          <w:color w:val="231F20"/>
        </w:rPr>
        <w:t xml:space="preserve"> 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</w:t>
      </w:r>
      <w:r>
        <w:rPr>
          <w:color w:val="231F20"/>
          <w:position w:val="5"/>
          <w:sz w:val="8"/>
          <w:szCs w:val="8"/>
        </w:rPr>
        <w:t xml:space="preserve">2 </w:t>
      </w:r>
      <w:r>
        <w:rPr>
          <w:color w:val="231F20"/>
          <w:spacing w:val="11"/>
          <w:position w:val="5"/>
          <w:sz w:val="8"/>
          <w:szCs w:val="8"/>
        </w:rPr>
        <w:t xml:space="preserve"> </w:t>
      </w:r>
      <w:r>
        <w:rPr>
          <w:color w:val="231F20"/>
        </w:rPr>
        <w:t xml:space="preserve">kWp  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kWh/m</w:t>
      </w:r>
      <w:r>
        <w:rPr>
          <w:color w:val="231F20"/>
          <w:spacing w:val="-1"/>
          <w:position w:val="5"/>
          <w:sz w:val="8"/>
          <w:szCs w:val="8"/>
        </w:rPr>
        <w:t>2</w:t>
      </w:r>
      <w:r>
        <w:rPr>
          <w:color w:val="231F20"/>
          <w:spacing w:val="-1"/>
        </w:rPr>
        <w:t>a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%</w:t>
      </w:r>
      <w:r>
        <w:rPr>
          <w:color w:val="231F20"/>
        </w:rPr>
        <w:tab/>
        <w:t>kWh/a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PV:</w:t>
      </w:r>
      <w:r>
        <w:rPr>
          <w:color w:val="231F20"/>
        </w:rPr>
        <w:tab/>
      </w:r>
      <w:r>
        <w:rPr>
          <w:color w:val="231F20"/>
          <w:spacing w:val="-6"/>
        </w:rPr>
        <w:t>414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63.3</w:t>
      </w:r>
      <w:r>
        <w:rPr>
          <w:color w:val="231F20"/>
        </w:rPr>
        <w:tab/>
      </w:r>
      <w:r>
        <w:rPr>
          <w:color w:val="231F20"/>
          <w:spacing w:val="-3"/>
        </w:rPr>
        <w:t>132.4</w:t>
      </w:r>
      <w:r>
        <w:rPr>
          <w:color w:val="231F20"/>
          <w:spacing w:val="-3"/>
        </w:rPr>
        <w:tab/>
      </w:r>
      <w:r>
        <w:rPr>
          <w:color w:val="231F20"/>
          <w:spacing w:val="-6"/>
          <w:w w:val="95"/>
        </w:rPr>
        <w:t>151</w:t>
      </w:r>
      <w:r>
        <w:rPr>
          <w:color w:val="231F20"/>
          <w:spacing w:val="-6"/>
          <w:w w:val="95"/>
        </w:rPr>
        <w:tab/>
      </w:r>
      <w:r>
        <w:rPr>
          <w:color w:val="231F20"/>
        </w:rPr>
        <w:t>54’800</w:t>
      </w:r>
    </w:p>
    <w:p w14:paraId="43825CF5" w14:textId="77777777" w:rsidR="00244B64" w:rsidRDefault="00181077">
      <w:pPr>
        <w:tabs>
          <w:tab w:val="left" w:pos="2870"/>
        </w:tabs>
        <w:spacing w:before="38"/>
        <w:ind w:left="16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Bilan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énergetique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(énergie</w:t>
      </w:r>
      <w:r>
        <w:rPr>
          <w:rFonts w:ascii="Theinhardt Regular" w:hAnsi="Theinhardt Regular"/>
          <w:color w:val="231F20"/>
          <w:sz w:val="14"/>
        </w:rPr>
        <w:t xml:space="preserve"> finale)   </w:t>
      </w:r>
      <w:r>
        <w:rPr>
          <w:rFonts w:ascii="Theinhardt Regular" w:hAnsi="Theinhardt Regular"/>
          <w:color w:val="231F20"/>
          <w:spacing w:val="24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%</w:t>
      </w:r>
      <w:r>
        <w:rPr>
          <w:rFonts w:ascii="Theinhardt Regular" w:hAnsi="Theinhardt Regular"/>
          <w:color w:val="231F20"/>
          <w:sz w:val="14"/>
        </w:rPr>
        <w:tab/>
        <w:t>kWh/a</w:t>
      </w: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2002"/>
        <w:gridCol w:w="580"/>
        <w:gridCol w:w="628"/>
      </w:tblGrid>
      <w:tr w:rsidR="00244B64" w14:paraId="292993C9" w14:textId="77777777">
        <w:trPr>
          <w:trHeight w:hRule="exact" w:val="141"/>
        </w:trPr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</w:tcPr>
          <w:p w14:paraId="7B34F9EB" w14:textId="77777777" w:rsidR="00244B64" w:rsidRDefault="00181077">
            <w:pPr>
              <w:pStyle w:val="TableParagraph"/>
              <w:spacing w:line="141" w:lineRule="exact"/>
              <w:ind w:left="55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 w:hAnsi="Theinhardt Bold"/>
                <w:b/>
                <w:color w:val="231F20"/>
                <w:spacing w:val="1"/>
                <w:sz w:val="14"/>
              </w:rPr>
              <w:t>Alimentation</w:t>
            </w:r>
            <w:r>
              <w:rPr>
                <w:rFonts w:ascii="Theinhardt Bold" w:hAnsi="Theinhardt Bold"/>
                <w:b/>
                <w:color w:val="231F20"/>
                <w:sz w:val="14"/>
              </w:rPr>
              <w:t xml:space="preserve"> </w:t>
            </w:r>
            <w:r>
              <w:rPr>
                <w:rFonts w:ascii="Theinhardt Bold" w:hAnsi="Theinhardt Bold"/>
                <w:b/>
                <w:color w:val="231F20"/>
                <w:spacing w:val="1"/>
                <w:sz w:val="14"/>
              </w:rPr>
              <w:t>énergetique: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3A64A12F" w14:textId="77777777" w:rsidR="00244B64" w:rsidRDefault="00181077">
            <w:pPr>
              <w:pStyle w:val="TableParagraph"/>
              <w:spacing w:line="141" w:lineRule="exact"/>
              <w:ind w:left="233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-3"/>
                <w:sz w:val="14"/>
              </w:rPr>
              <w:t>151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14:paraId="418868CF" w14:textId="77777777" w:rsidR="00244B64" w:rsidRDefault="00181077">
            <w:pPr>
              <w:pStyle w:val="TableParagraph"/>
              <w:spacing w:line="141" w:lineRule="exact"/>
              <w:ind w:left="107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pacing w:val="1"/>
                <w:sz w:val="14"/>
                <w:szCs w:val="14"/>
              </w:rPr>
              <w:t>54’800</w:t>
            </w:r>
          </w:p>
        </w:tc>
      </w:tr>
      <w:tr w:rsidR="00244B64" w14:paraId="2C527E08" w14:textId="77777777">
        <w:trPr>
          <w:trHeight w:hRule="exact" w:val="159"/>
        </w:trPr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</w:tcPr>
          <w:p w14:paraId="3B173D8B" w14:textId="77777777" w:rsidR="00244B64" w:rsidRDefault="00181077">
            <w:pPr>
              <w:pStyle w:val="TableParagraph"/>
              <w:spacing w:line="159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z w:val="14"/>
              </w:rPr>
              <w:t xml:space="preserve">Total </w:t>
            </w:r>
            <w:r>
              <w:rPr>
                <w:rFonts w:ascii="Theinhardt Regular" w:hAnsi="Theinhardt Regular"/>
                <w:color w:val="231F20"/>
                <w:spacing w:val="1"/>
                <w:sz w:val="14"/>
              </w:rPr>
              <w:t>besoins</w:t>
            </w:r>
            <w:r>
              <w:rPr>
                <w:rFonts w:ascii="Theinhardt Regular" w:hAnsi="Theinhardt Regular"/>
                <w:color w:val="231F20"/>
                <w:sz w:val="14"/>
              </w:rPr>
              <w:t xml:space="preserve"> </w:t>
            </w:r>
            <w:r>
              <w:rPr>
                <w:rFonts w:ascii="Theinhardt Regular" w:hAnsi="Theinhardt Regular"/>
                <w:color w:val="231F20"/>
                <w:spacing w:val="1"/>
                <w:sz w:val="14"/>
              </w:rPr>
              <w:t>énerg.: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05A0C7D4" w14:textId="77777777" w:rsidR="00244B64" w:rsidRDefault="00181077">
            <w:pPr>
              <w:pStyle w:val="TableParagraph"/>
              <w:spacing w:line="159" w:lineRule="exact"/>
              <w:ind w:left="224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/>
                <w:color w:val="231F20"/>
                <w:sz w:val="14"/>
              </w:rPr>
              <w:t>100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14:paraId="041ECAB0" w14:textId="77777777" w:rsidR="00244B64" w:rsidRDefault="00181077">
            <w:pPr>
              <w:pStyle w:val="TableParagraph"/>
              <w:spacing w:line="159" w:lineRule="exact"/>
              <w:ind w:left="11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 w:eastAsia="Theinhardt Regular" w:hAnsi="Theinhardt Regular" w:cs="Theinhardt Regular"/>
                <w:color w:val="231F20"/>
                <w:sz w:val="14"/>
                <w:szCs w:val="14"/>
              </w:rPr>
              <w:t>36’200</w:t>
            </w:r>
          </w:p>
        </w:tc>
      </w:tr>
      <w:tr w:rsidR="00244B64" w14:paraId="49648FAC" w14:textId="77777777">
        <w:trPr>
          <w:trHeight w:hRule="exact" w:val="124"/>
        </w:trPr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</w:tcPr>
          <w:p w14:paraId="73B9C64E" w14:textId="77777777" w:rsidR="00244B64" w:rsidRDefault="00181077">
            <w:pPr>
              <w:pStyle w:val="TableParagraph"/>
              <w:spacing w:line="124" w:lineRule="exact"/>
              <w:ind w:left="55"/>
              <w:rPr>
                <w:rFonts w:ascii="Theinhardt Regular" w:eastAsia="Theinhardt Regular" w:hAnsi="Theinhardt Regular" w:cs="Theinhardt Regular"/>
                <w:sz w:val="14"/>
                <w:szCs w:val="14"/>
              </w:rPr>
            </w:pPr>
            <w:r>
              <w:rPr>
                <w:rFonts w:ascii="Theinhardt Regular" w:hAnsi="Theinhardt Regular"/>
                <w:color w:val="231F20"/>
                <w:spacing w:val="1"/>
                <w:sz w:val="14"/>
              </w:rPr>
              <w:t>Surplus</w:t>
            </w:r>
            <w:r>
              <w:rPr>
                <w:rFonts w:ascii="Theinhardt Regular" w:hAnsi="Theinhardt Regular"/>
                <w:color w:val="231F20"/>
                <w:sz w:val="14"/>
              </w:rPr>
              <w:t xml:space="preserve"> </w:t>
            </w:r>
            <w:r>
              <w:rPr>
                <w:rFonts w:ascii="Theinhardt Regular" w:hAnsi="Theinhardt Regular"/>
                <w:color w:val="231F20"/>
                <w:spacing w:val="1"/>
                <w:sz w:val="14"/>
              </w:rPr>
              <w:t>d'électricité</w:t>
            </w:r>
            <w:r>
              <w:rPr>
                <w:rFonts w:ascii="Theinhardt Regular" w:hAnsi="Theinhardt Regular"/>
                <w:color w:val="231F20"/>
                <w:sz w:val="14"/>
              </w:rPr>
              <w:t xml:space="preserve"> </w:t>
            </w:r>
            <w:r>
              <w:rPr>
                <w:rFonts w:ascii="Theinhardt Regular" w:hAnsi="Theinhardt Regular"/>
                <w:color w:val="231F20"/>
                <w:spacing w:val="1"/>
                <w:sz w:val="14"/>
              </w:rPr>
              <w:t>solaire: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</w:tcPr>
          <w:p w14:paraId="38F99087" w14:textId="77777777" w:rsidR="00244B64" w:rsidRDefault="00181077">
            <w:pPr>
              <w:pStyle w:val="TableParagraph"/>
              <w:spacing w:line="124" w:lineRule="exact"/>
              <w:ind w:left="311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/>
                <w:b/>
                <w:color w:val="231F20"/>
                <w:spacing w:val="-5"/>
                <w:sz w:val="14"/>
              </w:rPr>
              <w:t>51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14:paraId="592A5DFD" w14:textId="77777777" w:rsidR="00244B64" w:rsidRDefault="00181077">
            <w:pPr>
              <w:pStyle w:val="TableParagraph"/>
              <w:spacing w:line="124" w:lineRule="exact"/>
              <w:ind w:left="110"/>
              <w:rPr>
                <w:rFonts w:ascii="Theinhardt Bold" w:eastAsia="Theinhardt Bold" w:hAnsi="Theinhardt Bold" w:cs="Theinhardt Bold"/>
                <w:sz w:val="14"/>
                <w:szCs w:val="14"/>
              </w:rPr>
            </w:pPr>
            <w:r>
              <w:rPr>
                <w:rFonts w:ascii="Theinhardt Bold" w:eastAsia="Theinhardt Bold" w:hAnsi="Theinhardt Bold" w:cs="Theinhardt Bold"/>
                <w:b/>
                <w:bCs/>
                <w:color w:val="231F20"/>
                <w:sz w:val="14"/>
                <w:szCs w:val="14"/>
              </w:rPr>
              <w:t>18’600</w:t>
            </w:r>
          </w:p>
        </w:tc>
      </w:tr>
    </w:tbl>
    <w:p w14:paraId="31E88E61" w14:textId="77777777" w:rsidR="00244B64" w:rsidRDefault="00181077">
      <w:pPr>
        <w:pStyle w:val="berschrift5"/>
        <w:spacing w:before="87" w:line="172" w:lineRule="exact"/>
        <w:rPr>
          <w:b w:val="0"/>
          <w:bCs w:val="0"/>
        </w:rPr>
      </w:pPr>
      <w:r>
        <w:rPr>
          <w:color w:val="231F20"/>
          <w:spacing w:val="1"/>
        </w:rPr>
        <w:t>Confirmé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par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Services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Industriels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1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Genève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2"/>
        </w:rPr>
        <w:t>SIG</w:t>
      </w:r>
    </w:p>
    <w:p w14:paraId="41AAF15C" w14:textId="77777777" w:rsidR="00244B64" w:rsidRDefault="00181077">
      <w:pPr>
        <w:pStyle w:val="Textkrper"/>
        <w:spacing w:line="172" w:lineRule="exact"/>
      </w:pPr>
      <w:r>
        <w:rPr>
          <w:color w:val="231F20"/>
          <w:spacing w:val="1"/>
        </w:rPr>
        <w:t>le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15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avril</w:t>
      </w:r>
      <w:r>
        <w:rPr>
          <w:color w:val="231F20"/>
        </w:rPr>
        <w:t xml:space="preserve"> 2020, </w:t>
      </w:r>
      <w:r>
        <w:rPr>
          <w:color w:val="231F20"/>
          <w:spacing w:val="-2"/>
        </w:rPr>
        <w:t>Tél.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+41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844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800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808</w:t>
      </w:r>
    </w:p>
    <w:p w14:paraId="55FA3342" w14:textId="77777777" w:rsidR="00244B64" w:rsidRDefault="00181077">
      <w:pPr>
        <w:pStyle w:val="Textkrper"/>
        <w:spacing w:before="39" w:line="160" w:lineRule="exact"/>
        <w:ind w:right="183"/>
      </w:pPr>
      <w:r>
        <w:rPr>
          <w:rFonts w:ascii="Theinhardt Bold" w:eastAsia="Theinhardt Bold" w:hAnsi="Theinhardt Bold" w:cs="Theinhardt Bold"/>
          <w:b/>
          <w:bCs/>
          <w:color w:val="231F20"/>
          <w:spacing w:val="1"/>
        </w:rPr>
        <w:t>Remarque</w:t>
      </w:r>
      <w:r>
        <w:rPr>
          <w:rFonts w:ascii="Theinhardt Bold" w:eastAsia="Theinhardt Bold" w:hAnsi="Theinhardt Bold" w:cs="Theinhardt Bold"/>
          <w:b/>
          <w:bCs/>
          <w:color w:val="231F20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</w:rPr>
        <w:t>générale:</w:t>
      </w:r>
      <w:r>
        <w:rPr>
          <w:rFonts w:ascii="Theinhardt Bold" w:eastAsia="Theinhardt Bold" w:hAnsi="Theinhardt Bold" w:cs="Theinhardt Bold"/>
          <w:b/>
          <w:bCs/>
          <w:color w:val="231F20"/>
          <w:spacing w:val="2"/>
        </w:rPr>
        <w:t xml:space="preserve"> </w:t>
      </w:r>
      <w:r>
        <w:rPr>
          <w:color w:val="231F20"/>
          <w:spacing w:val="1"/>
        </w:rPr>
        <w:t>la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première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moitié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de</w:t>
      </w:r>
      <w:r>
        <w:rPr>
          <w:color w:val="231F20"/>
        </w:rPr>
        <w:t xml:space="preserve"> 2020</w:t>
      </w:r>
      <w:r>
        <w:rPr>
          <w:color w:val="231F20"/>
          <w:spacing w:val="50"/>
        </w:rPr>
        <w:t xml:space="preserve"> </w:t>
      </w:r>
      <w:r>
        <w:rPr>
          <w:color w:val="231F20"/>
          <w:spacing w:val="1"/>
        </w:rPr>
        <w:t>ayant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été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très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ensoleillée,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le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rendement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solaire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est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1"/>
        </w:rPr>
        <w:t>plus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élevé.</w:t>
      </w:r>
      <w:r>
        <w:rPr>
          <w:color w:val="231F20"/>
        </w:rPr>
        <w:t xml:space="preserve"> En </w:t>
      </w:r>
      <w:r>
        <w:rPr>
          <w:color w:val="231F20"/>
          <w:spacing w:val="2"/>
        </w:rPr>
        <w:t>vertu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l’art.</w:t>
      </w:r>
      <w:r>
        <w:rPr>
          <w:color w:val="231F20"/>
        </w:rPr>
        <w:t xml:space="preserve"> 8 </w:t>
      </w:r>
      <w:r>
        <w:rPr>
          <w:color w:val="231F20"/>
          <w:spacing w:val="2"/>
        </w:rPr>
        <w:t>Cst.,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tout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le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monde</w:t>
      </w:r>
      <w:r>
        <w:rPr>
          <w:color w:val="231F20"/>
        </w:rPr>
        <w:t xml:space="preserve"> </w:t>
      </w:r>
      <w:r>
        <w:rPr>
          <w:color w:val="231F20"/>
          <w:spacing w:val="3"/>
        </w:rPr>
        <w:t>est</w:t>
      </w:r>
      <w:r>
        <w:rPr>
          <w:color w:val="231F20"/>
          <w:spacing w:val="30"/>
        </w:rPr>
        <w:t xml:space="preserve"> </w:t>
      </w:r>
      <w:r>
        <w:rPr>
          <w:color w:val="231F20"/>
          <w:spacing w:val="1"/>
        </w:rPr>
        <w:t>égal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devant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la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loi</w:t>
      </w:r>
      <w:r>
        <w:rPr>
          <w:color w:val="231F20"/>
        </w:rPr>
        <w:t xml:space="preserve"> (cf. </w:t>
      </w:r>
      <w:r>
        <w:rPr>
          <w:color w:val="231F20"/>
          <w:spacing w:val="2"/>
        </w:rPr>
        <w:t>questions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juridiques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et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considé-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2"/>
        </w:rPr>
        <w:t>rations</w:t>
      </w:r>
      <w:r>
        <w:rPr>
          <w:color w:val="231F20"/>
        </w:rPr>
        <w:t xml:space="preserve"> du jury, p. 44).</w:t>
      </w:r>
    </w:p>
    <w:p w14:paraId="7A8D46D6" w14:textId="77777777" w:rsidR="00244B64" w:rsidRDefault="00181077">
      <w:pPr>
        <w:pStyle w:val="berschrift5"/>
        <w:spacing w:before="49"/>
        <w:rPr>
          <w:rFonts w:ascii="Theinhardt Black" w:eastAsia="Theinhardt Black" w:hAnsi="Theinhardt Black" w:cs="Theinhardt Black"/>
          <w:b w:val="0"/>
          <w:bCs w:val="0"/>
        </w:rPr>
      </w:pPr>
      <w:r>
        <w:rPr>
          <w:rFonts w:ascii="Theinhardt Black" w:hAnsi="Theinhardt Black"/>
          <w:color w:val="231F20"/>
          <w:spacing w:val="2"/>
        </w:rPr>
        <w:t>Personnes</w:t>
      </w:r>
      <w:r>
        <w:rPr>
          <w:rFonts w:ascii="Theinhardt Black" w:hAnsi="Theinhardt Black"/>
          <w:color w:val="231F20"/>
        </w:rPr>
        <w:t xml:space="preserve"> </w:t>
      </w:r>
      <w:r>
        <w:rPr>
          <w:rFonts w:ascii="Theinhardt Black" w:hAnsi="Theinhardt Black"/>
          <w:color w:val="231F20"/>
          <w:spacing w:val="1"/>
        </w:rPr>
        <w:t>impliquées</w:t>
      </w:r>
    </w:p>
    <w:p w14:paraId="18E3741C" w14:textId="77777777" w:rsidR="00244B64" w:rsidRDefault="00244B64">
      <w:pPr>
        <w:spacing w:before="9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68EA0D18" w14:textId="77777777" w:rsidR="00244B64" w:rsidRDefault="00181077">
      <w:pPr>
        <w:spacing w:line="20" w:lineRule="atLeast"/>
        <w:ind w:left="167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5B81D69A">
          <v:group id="_x0000_s1078" style="width:167.25pt;height:.45pt;mso-position-horizontal-relative:char;mso-position-vertical-relative:line" coordsize="3345,9">
            <v:group id="_x0000_s1083" style="position:absolute;left:21;top:4;width:3311;height:2" coordorigin="21,4" coordsize="3311,2">
              <v:shape id="_x0000_s1084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81" style="position:absolute;left:4;top:4;width:2;height:2" coordorigin="4,4" coordsize="2,2">
              <v:shape id="_x0000_s1082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79" style="position:absolute;left:3341;top:4;width:2;height:2" coordorigin="3341,4" coordsize="2,2">
              <v:shape id="_x0000_s1080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76053106" w14:textId="77777777" w:rsidR="00244B64" w:rsidRDefault="00181077">
      <w:pPr>
        <w:spacing w:before="28" w:line="160" w:lineRule="exact"/>
        <w:ind w:left="166" w:right="183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2"/>
          <w:sz w:val="14"/>
        </w:rPr>
        <w:t>Maître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d'ouvrage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et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adresse</w:t>
      </w:r>
      <w:r>
        <w:rPr>
          <w:rFonts w:ascii="Theinhardt Bold" w:hAnsi="Theinhardt Bold"/>
          <w:b/>
          <w:color w:val="231F20"/>
          <w:sz w:val="14"/>
        </w:rPr>
        <w:t xml:space="preserve"> du </w:t>
      </w:r>
      <w:r>
        <w:rPr>
          <w:rFonts w:ascii="Theinhardt Bold" w:hAnsi="Theinhardt Bold"/>
          <w:b/>
          <w:color w:val="231F20"/>
          <w:spacing w:val="1"/>
          <w:sz w:val="14"/>
        </w:rPr>
        <w:t>bâtiment</w:t>
      </w:r>
      <w:r>
        <w:rPr>
          <w:rFonts w:ascii="Theinhardt Bold" w:hAnsi="Theinhardt Bold"/>
          <w:b/>
          <w:color w:val="231F20"/>
          <w:spacing w:val="36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Homsphere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SA,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Rue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Verdaine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7"/>
          <w:sz w:val="14"/>
        </w:rPr>
        <w:t>11,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1204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Genève</w:t>
      </w:r>
      <w:r>
        <w:rPr>
          <w:rFonts w:ascii="Theinhardt Regular" w:hAnsi="Theinhardt Regular"/>
          <w:color w:val="231F20"/>
          <w:spacing w:val="22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Sébastien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2"/>
          <w:sz w:val="14"/>
        </w:rPr>
        <w:t>Bouvet,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2"/>
          <w:sz w:val="14"/>
        </w:rPr>
        <w:t>Tél.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4"/>
          <w:sz w:val="14"/>
        </w:rPr>
        <w:t>+41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1"/>
          <w:sz w:val="14"/>
        </w:rPr>
        <w:t>22</w:t>
      </w:r>
      <w:r>
        <w:rPr>
          <w:rFonts w:ascii="Theinhardt Regular" w:hAnsi="Theinhardt Regular"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-3"/>
          <w:sz w:val="14"/>
        </w:rPr>
        <w:t>341</w:t>
      </w:r>
      <w:r>
        <w:rPr>
          <w:rFonts w:ascii="Theinhardt Regular" w:hAnsi="Theinhardt Regular"/>
          <w:color w:val="231F20"/>
          <w:sz w:val="14"/>
        </w:rPr>
        <w:t xml:space="preserve"> 30 </w:t>
      </w:r>
      <w:r>
        <w:rPr>
          <w:rFonts w:ascii="Theinhardt Regular" w:hAnsi="Theinhardt Regular"/>
          <w:color w:val="231F20"/>
          <w:spacing w:val="2"/>
          <w:sz w:val="14"/>
        </w:rPr>
        <w:t>00</w:t>
      </w:r>
      <w:hyperlink r:id="rId6">
        <w:r>
          <w:rPr>
            <w:rFonts w:ascii="Theinhardt Regular" w:hAnsi="Theinhardt Regular"/>
            <w:color w:val="231F20"/>
            <w:spacing w:val="30"/>
            <w:sz w:val="14"/>
          </w:rPr>
          <w:t xml:space="preserve"> </w:t>
        </w:r>
        <w:r>
          <w:rPr>
            <w:rFonts w:ascii="Theinhardt Regular" w:hAnsi="Theinhardt Regular"/>
            <w:color w:val="231F20"/>
            <w:spacing w:val="2"/>
            <w:sz w:val="14"/>
          </w:rPr>
          <w:t>sebastien.bouvet@homsphere.com</w:t>
        </w:r>
      </w:hyperlink>
    </w:p>
    <w:p w14:paraId="4036B52E" w14:textId="77777777" w:rsidR="00244B64" w:rsidRDefault="00181077">
      <w:pPr>
        <w:pStyle w:val="berschrift5"/>
        <w:spacing w:before="49" w:line="172" w:lineRule="exact"/>
        <w:rPr>
          <w:b w:val="0"/>
          <w:bCs w:val="0"/>
        </w:rPr>
      </w:pPr>
      <w:r>
        <w:rPr>
          <w:color w:val="231F20"/>
          <w:spacing w:val="1"/>
        </w:rPr>
        <w:t>Installateur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solaire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PV</w:t>
      </w:r>
    </w:p>
    <w:p w14:paraId="0DD1853F" w14:textId="77777777" w:rsidR="00244B64" w:rsidRDefault="00181077">
      <w:pPr>
        <w:pStyle w:val="Textkrper"/>
        <w:spacing w:before="6" w:line="207" w:lineRule="auto"/>
        <w:ind w:right="318"/>
      </w:pPr>
      <w:r>
        <w:rPr>
          <w:color w:val="231F20"/>
          <w:spacing w:val="2"/>
        </w:rPr>
        <w:t>Electro-Sol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SA,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Rue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des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Artisans</w:t>
      </w:r>
      <w:r>
        <w:rPr>
          <w:color w:val="231F20"/>
        </w:rPr>
        <w:t xml:space="preserve"> 2, </w:t>
      </w:r>
      <w:r>
        <w:rPr>
          <w:color w:val="231F20"/>
          <w:spacing w:val="-5"/>
        </w:rPr>
        <w:t>1148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L'Isle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1"/>
        </w:rPr>
        <w:t>Kilian</w:t>
      </w:r>
      <w:r>
        <w:rPr>
          <w:color w:val="231F20"/>
        </w:rPr>
        <w:t xml:space="preserve"> Thonney, </w:t>
      </w:r>
      <w:r>
        <w:rPr>
          <w:color w:val="231F20"/>
          <w:spacing w:val="-2"/>
        </w:rPr>
        <w:t>Tél.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+41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21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864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40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12</w:t>
      </w:r>
      <w:hyperlink r:id="rId7">
        <w:r>
          <w:rPr>
            <w:color w:val="231F20"/>
            <w:spacing w:val="30"/>
          </w:rPr>
          <w:t xml:space="preserve"> </w:t>
        </w:r>
        <w:r>
          <w:rPr>
            <w:color w:val="231F20"/>
            <w:spacing w:val="1"/>
          </w:rPr>
          <w:t>kilian.thonney@electrosol.ch</w:t>
        </w:r>
      </w:hyperlink>
    </w:p>
    <w:p w14:paraId="39F18C11" w14:textId="77777777" w:rsidR="00244B64" w:rsidRDefault="00181077">
      <w:pPr>
        <w:pStyle w:val="berschrift5"/>
        <w:spacing w:before="38" w:line="172" w:lineRule="exact"/>
        <w:rPr>
          <w:b w:val="0"/>
          <w:bCs w:val="0"/>
        </w:rPr>
      </w:pPr>
      <w:r>
        <w:rPr>
          <w:color w:val="231F20"/>
          <w:spacing w:val="2"/>
        </w:rPr>
        <w:t>Domotique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et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gestion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technique</w:t>
      </w:r>
      <w:r>
        <w:rPr>
          <w:color w:val="231F20"/>
        </w:rPr>
        <w:t xml:space="preserve"> du </w:t>
      </w:r>
      <w:r>
        <w:rPr>
          <w:color w:val="231F20"/>
          <w:spacing w:val="1"/>
        </w:rPr>
        <w:t>bâtiment</w:t>
      </w:r>
    </w:p>
    <w:p w14:paraId="02973B46" w14:textId="77777777" w:rsidR="00244B64" w:rsidRDefault="00181077">
      <w:pPr>
        <w:pStyle w:val="Textkrper"/>
        <w:spacing w:before="6" w:line="207" w:lineRule="auto"/>
        <w:ind w:right="1228"/>
      </w:pPr>
      <w:r>
        <w:rPr>
          <w:color w:val="231F20"/>
          <w:spacing w:val="2"/>
        </w:rPr>
        <w:t>Efficience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Energie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et</w:t>
      </w:r>
      <w:r>
        <w:rPr>
          <w:color w:val="231F20"/>
        </w:rPr>
        <w:t xml:space="preserve"> </w:t>
      </w:r>
      <w:r>
        <w:rPr>
          <w:color w:val="231F20"/>
          <w:spacing w:val="2"/>
        </w:rPr>
        <w:t>Habitat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Sàrl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1"/>
        </w:rPr>
        <w:t>Rue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de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la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Dôle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10,</w:t>
      </w:r>
      <w:r>
        <w:rPr>
          <w:color w:val="231F20"/>
        </w:rPr>
        <w:t xml:space="preserve"> </w:t>
      </w:r>
      <w:r>
        <w:rPr>
          <w:color w:val="231F20"/>
          <w:spacing w:val="-3"/>
        </w:rPr>
        <w:t>1262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Eysins</w:t>
      </w:r>
    </w:p>
    <w:p w14:paraId="7EC9B0C3" w14:textId="77777777" w:rsidR="00244B64" w:rsidRDefault="00181077">
      <w:pPr>
        <w:pStyle w:val="Textkrper"/>
        <w:spacing w:line="167" w:lineRule="exact"/>
      </w:pPr>
      <w:r>
        <w:rPr>
          <w:color w:val="231F20"/>
          <w:spacing w:val="2"/>
        </w:rPr>
        <w:t>Georges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Berweiler,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Tél.</w:t>
      </w:r>
      <w:r>
        <w:rPr>
          <w:color w:val="231F20"/>
        </w:rPr>
        <w:t xml:space="preserve"> </w:t>
      </w:r>
      <w:r>
        <w:rPr>
          <w:color w:val="231F20"/>
          <w:spacing w:val="-4"/>
        </w:rPr>
        <w:t>+41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79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431</w:t>
      </w:r>
      <w:r>
        <w:rPr>
          <w:color w:val="231F20"/>
        </w:rPr>
        <w:t xml:space="preserve"> 53 </w:t>
      </w:r>
      <w:r>
        <w:rPr>
          <w:color w:val="231F20"/>
          <w:spacing w:val="1"/>
        </w:rPr>
        <w:t>44</w:t>
      </w:r>
    </w:p>
    <w:p w14:paraId="1A8F1BDC" w14:textId="77777777" w:rsidR="00244B64" w:rsidRDefault="00244B64">
      <w:pPr>
        <w:spacing w:line="167" w:lineRule="exact"/>
        <w:sectPr w:rsidR="00244B64">
          <w:type w:val="continuous"/>
          <w:pgSz w:w="11910" w:h="16840"/>
          <w:pgMar w:top="840" w:right="720" w:bottom="280" w:left="400" w:header="720" w:footer="720" w:gutter="0"/>
          <w:cols w:num="3" w:space="720" w:equalWidth="0">
            <w:col w:w="3523" w:space="49"/>
            <w:col w:w="3520" w:space="52"/>
            <w:col w:w="3646"/>
          </w:cols>
        </w:sectPr>
      </w:pPr>
    </w:p>
    <w:p w14:paraId="7F2C8A6E" w14:textId="77777777" w:rsidR="00244B64" w:rsidRDefault="00244B64">
      <w:pPr>
        <w:spacing w:before="9"/>
        <w:rPr>
          <w:rFonts w:ascii="Theinhardt Regular" w:eastAsia="Theinhardt Regular" w:hAnsi="Theinhardt Regular" w:cs="Theinhardt Regular"/>
          <w:sz w:val="2"/>
          <w:szCs w:val="2"/>
        </w:rPr>
      </w:pPr>
    </w:p>
    <w:p w14:paraId="6AC7910C" w14:textId="77777777" w:rsidR="00244B64" w:rsidRDefault="00181077">
      <w:pPr>
        <w:spacing w:line="20" w:lineRule="atLeast"/>
        <w:ind w:left="7310"/>
        <w:rPr>
          <w:rFonts w:ascii="Theinhardt Regular" w:eastAsia="Theinhardt Regular" w:hAnsi="Theinhardt Regular" w:cs="Theinhardt Regular"/>
          <w:sz w:val="2"/>
          <w:szCs w:val="2"/>
        </w:rPr>
      </w:pPr>
      <w:r>
        <w:rPr>
          <w:rFonts w:ascii="Theinhardt Regular" w:eastAsia="Theinhardt Regular" w:hAnsi="Theinhardt Regular" w:cs="Theinhardt Regular"/>
          <w:sz w:val="2"/>
          <w:szCs w:val="2"/>
        </w:rPr>
      </w:r>
      <w:r>
        <w:rPr>
          <w:rFonts w:ascii="Theinhardt Regular" w:eastAsia="Theinhardt Regular" w:hAnsi="Theinhardt Regular" w:cs="Theinhardt Regular"/>
          <w:sz w:val="2"/>
          <w:szCs w:val="2"/>
        </w:rPr>
        <w:pict w14:anchorId="2A9FCC55">
          <v:group id="_x0000_s1071" style="width:167.25pt;height:.45pt;mso-position-horizontal-relative:char;mso-position-vertical-relative:line" coordsize="3345,9">
            <v:group id="_x0000_s1076" style="position:absolute;left:21;top:4;width:3311;height:2" coordorigin="21,4" coordsize="3311,2">
              <v:shape id="_x0000_s1077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74" style="position:absolute;left:4;top:4;width:2;height:2" coordorigin="4,4" coordsize="2,2">
              <v:shape id="_x0000_s1075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72" style="position:absolute;left:3341;top:4;width:2;height:2" coordorigin="3341,4" coordsize="2,2">
              <v:shape id="_x0000_s1073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05147991" w14:textId="77777777" w:rsidR="00244B64" w:rsidRDefault="00244B64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7D885B0E" w14:textId="77777777" w:rsidR="00244B64" w:rsidRDefault="00244B64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731A2ECE" w14:textId="77777777" w:rsidR="00244B64" w:rsidRDefault="00244B64">
      <w:pPr>
        <w:spacing w:before="9"/>
        <w:rPr>
          <w:rFonts w:ascii="Theinhardt Regular" w:eastAsia="Theinhardt Regular" w:hAnsi="Theinhardt Regular" w:cs="Theinhardt Regular"/>
          <w:sz w:val="16"/>
          <w:szCs w:val="16"/>
        </w:rPr>
      </w:pPr>
    </w:p>
    <w:p w14:paraId="4E828574" w14:textId="77777777" w:rsidR="00244B64" w:rsidRDefault="00244B64">
      <w:pPr>
        <w:rPr>
          <w:rFonts w:ascii="Theinhardt Regular" w:eastAsia="Theinhardt Regular" w:hAnsi="Theinhardt Regular" w:cs="Theinhardt Regular"/>
          <w:sz w:val="16"/>
          <w:szCs w:val="16"/>
        </w:rPr>
        <w:sectPr w:rsidR="00244B64">
          <w:type w:val="continuous"/>
          <w:pgSz w:w="11910" w:h="16840"/>
          <w:pgMar w:top="840" w:right="720" w:bottom="280" w:left="400" w:header="720" w:footer="720" w:gutter="0"/>
          <w:cols w:space="720"/>
        </w:sectPr>
      </w:pPr>
    </w:p>
    <w:p w14:paraId="00468D49" w14:textId="77777777" w:rsidR="00244B64" w:rsidRDefault="00181077">
      <w:pPr>
        <w:pStyle w:val="berschrift5"/>
        <w:spacing w:before="72"/>
        <w:ind w:left="167"/>
        <w:rPr>
          <w:rFonts w:ascii="Theinhardt Black" w:eastAsia="Theinhardt Black" w:hAnsi="Theinhardt Black" w:cs="Theinhardt Black"/>
          <w:b w:val="0"/>
          <w:bCs w:val="0"/>
        </w:rPr>
      </w:pPr>
      <w:r>
        <w:pict w14:anchorId="4F6E93D9">
          <v:group id="_x0000_s1064" style="position:absolute;left:0;text-align:left;margin-left:28.35pt;margin-top:14.65pt;width:167.25pt;height:.45pt;z-index:1264;mso-position-horizontal-relative:page" coordorigin="567,293" coordsize="3345,9">
            <v:group id="_x0000_s1069" style="position:absolute;left:589;top:297;width:3311;height:2" coordorigin="589,297" coordsize="3311,2">
              <v:shape id="_x0000_s1070" style="position:absolute;left:589;top:297;width:3311;height:2" coordorigin="589,297" coordsize="3311,0" path="m589,297r3311,e" filled="f" strokecolor="#231f20" strokeweight=".14994mm">
                <v:stroke dashstyle="dash"/>
                <v:path arrowok="t"/>
              </v:shape>
            </v:group>
            <v:group id="_x0000_s1067" style="position:absolute;left:572;top:297;width:2;height:2" coordorigin="572,297" coordsize="2,2">
              <v:shape id="_x0000_s1068" style="position:absolute;left:572;top:297;width:2;height:2" coordorigin="572,297" coordsize="0,0" path="m572,297r,e" filled="f" strokecolor="#231f20" strokeweight=".14994mm">
                <v:path arrowok="t"/>
              </v:shape>
            </v:group>
            <v:group id="_x0000_s1065" style="position:absolute;left:3908;top:297;width:2;height:2" coordorigin="3908,297" coordsize="2,2">
              <v:shape id="_x0000_s1066" style="position:absolute;left:3908;top:297;width:2;height:2" coordorigin="3908,297" coordsize="0,0" path="m3908,297r,e" filled="f" strokecolor="#231f20" strokeweight=".14994mm">
                <v:path arrowok="t"/>
              </v:shape>
            </v:group>
            <w10:wrap anchorx="page"/>
          </v:group>
        </w:pict>
      </w:r>
      <w:r>
        <w:rPr>
          <w:rFonts w:ascii="Theinhardt Black" w:hAnsi="Theinhardt Black"/>
          <w:color w:val="231F20"/>
          <w:spacing w:val="1"/>
        </w:rPr>
        <w:t>Données</w:t>
      </w:r>
      <w:r>
        <w:rPr>
          <w:rFonts w:ascii="Theinhardt Black" w:hAnsi="Theinhardt Black"/>
          <w:color w:val="231F20"/>
        </w:rPr>
        <w:t xml:space="preserve"> techniques</w:t>
      </w:r>
      <w:r>
        <w:rPr>
          <w:rFonts w:ascii="Theinhardt Black" w:hAnsi="Theinhardt Black"/>
          <w:color w:val="231F20"/>
          <w:spacing w:val="-9"/>
        </w:rPr>
        <w:t xml:space="preserve"> </w:t>
      </w:r>
      <w:r>
        <w:rPr>
          <w:rFonts w:ascii="Theinhardt Black" w:hAnsi="Theinhardt Black"/>
          <w:color w:val="231F20"/>
          <w:spacing w:val="1"/>
        </w:rPr>
        <w:t>Villa</w:t>
      </w:r>
      <w:r>
        <w:rPr>
          <w:rFonts w:ascii="Theinhardt Black" w:hAnsi="Theinhardt Black"/>
          <w:color w:val="231F20"/>
        </w:rPr>
        <w:t xml:space="preserve"> A (165%)</w:t>
      </w:r>
    </w:p>
    <w:p w14:paraId="2DA6CA57" w14:textId="77777777" w:rsidR="00244B64" w:rsidRDefault="00181077">
      <w:pPr>
        <w:pStyle w:val="Textkrper"/>
        <w:tabs>
          <w:tab w:val="left" w:pos="900"/>
          <w:tab w:val="left" w:pos="1736"/>
          <w:tab w:val="left" w:pos="2344"/>
          <w:tab w:val="left" w:pos="2459"/>
          <w:tab w:val="left" w:pos="2821"/>
        </w:tabs>
        <w:spacing w:before="96" w:line="160" w:lineRule="exact"/>
        <w:ind w:left="167"/>
      </w:pPr>
      <w:r>
        <w:rPr>
          <w:color w:val="231F20"/>
          <w:spacing w:val="1"/>
        </w:rPr>
        <w:t>Autoprod.:</w:t>
      </w:r>
      <w:r>
        <w:rPr>
          <w:color w:val="231F20"/>
        </w:rPr>
        <w:t xml:space="preserve"> 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5"/>
          <w:sz w:val="8"/>
          <w:szCs w:val="8"/>
        </w:rPr>
        <w:t>2</w:t>
      </w:r>
      <w:r>
        <w:rPr>
          <w:color w:val="231F20"/>
          <w:position w:val="5"/>
          <w:sz w:val="8"/>
          <w:szCs w:val="8"/>
        </w:rPr>
        <w:t xml:space="preserve"> </w:t>
      </w:r>
      <w:r>
        <w:rPr>
          <w:color w:val="231F20"/>
          <w:spacing w:val="11"/>
          <w:position w:val="5"/>
          <w:sz w:val="8"/>
          <w:szCs w:val="8"/>
        </w:rPr>
        <w:t xml:space="preserve"> </w:t>
      </w:r>
      <w:r>
        <w:rPr>
          <w:color w:val="231F20"/>
        </w:rPr>
        <w:t xml:space="preserve">kWp  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kWh/m</w:t>
      </w:r>
      <w:r>
        <w:rPr>
          <w:color w:val="231F20"/>
          <w:spacing w:val="-1"/>
          <w:position w:val="5"/>
          <w:sz w:val="8"/>
          <w:szCs w:val="8"/>
        </w:rPr>
        <w:t>2</w:t>
      </w:r>
      <w:r>
        <w:rPr>
          <w:color w:val="231F20"/>
          <w:spacing w:val="-1"/>
        </w:rPr>
        <w:t>a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%</w:t>
      </w:r>
      <w:r>
        <w:rPr>
          <w:color w:val="231F20"/>
        </w:rPr>
        <w:tab/>
        <w:t>kWh/a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PV:</w:t>
      </w:r>
      <w:r>
        <w:rPr>
          <w:color w:val="231F20"/>
        </w:rPr>
        <w:tab/>
        <w:t>69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11.0</w:t>
      </w:r>
      <w:r>
        <w:rPr>
          <w:color w:val="231F20"/>
          <w:spacing w:val="-5"/>
        </w:rPr>
        <w:tab/>
      </w:r>
      <w:r>
        <w:rPr>
          <w:color w:val="231F20"/>
          <w:spacing w:val="-4"/>
        </w:rPr>
        <w:t>157.8</w:t>
      </w:r>
      <w:r>
        <w:rPr>
          <w:color w:val="231F20"/>
          <w:spacing w:val="-4"/>
        </w:rPr>
        <w:tab/>
      </w:r>
      <w:r>
        <w:rPr>
          <w:color w:val="231F20"/>
          <w:spacing w:val="-2"/>
        </w:rPr>
        <w:t>165</w:t>
      </w:r>
      <w:r>
        <w:rPr>
          <w:color w:val="231F20"/>
          <w:spacing w:val="-2"/>
        </w:rPr>
        <w:tab/>
        <w:t>10’891</w:t>
      </w:r>
    </w:p>
    <w:p w14:paraId="72AD3482" w14:textId="77777777" w:rsidR="00244B64" w:rsidRDefault="00181077">
      <w:pPr>
        <w:tabs>
          <w:tab w:val="left" w:pos="2870"/>
        </w:tabs>
        <w:spacing w:before="49" w:line="172" w:lineRule="exact"/>
        <w:ind w:left="167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Bilan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énergetique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(énergie</w:t>
      </w:r>
      <w:r>
        <w:rPr>
          <w:rFonts w:ascii="Theinhardt Regular" w:hAnsi="Theinhardt Regular"/>
          <w:color w:val="231F20"/>
          <w:sz w:val="14"/>
        </w:rPr>
        <w:t xml:space="preserve"> finale)   </w:t>
      </w:r>
      <w:r>
        <w:rPr>
          <w:rFonts w:ascii="Theinhardt Regular" w:hAnsi="Theinhardt Regular"/>
          <w:color w:val="231F20"/>
          <w:spacing w:val="24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%</w:t>
      </w:r>
      <w:r>
        <w:rPr>
          <w:rFonts w:ascii="Theinhardt Regular" w:hAnsi="Theinhardt Regular"/>
          <w:color w:val="231F20"/>
          <w:sz w:val="14"/>
        </w:rPr>
        <w:tab/>
        <w:t>kWh/a</w:t>
      </w:r>
    </w:p>
    <w:p w14:paraId="79C463B2" w14:textId="77777777" w:rsidR="00244B64" w:rsidRDefault="00181077">
      <w:pPr>
        <w:pStyle w:val="berschrift5"/>
        <w:tabs>
          <w:tab w:val="left" w:pos="2340"/>
          <w:tab w:val="left" w:pos="2809"/>
        </w:tabs>
        <w:spacing w:before="0" w:line="160" w:lineRule="exact"/>
        <w:ind w:left="167"/>
        <w:rPr>
          <w:b w:val="0"/>
          <w:bCs w:val="0"/>
        </w:rPr>
      </w:pPr>
      <w:r>
        <w:rPr>
          <w:color w:val="231F20"/>
          <w:spacing w:val="1"/>
        </w:rPr>
        <w:t>Alimentation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énergetique:</w:t>
      </w:r>
      <w:r>
        <w:rPr>
          <w:color w:val="231F20"/>
          <w:spacing w:val="1"/>
        </w:rPr>
        <w:tab/>
      </w:r>
      <w:r>
        <w:rPr>
          <w:color w:val="231F20"/>
          <w:spacing w:val="-1"/>
          <w:w w:val="95"/>
        </w:rPr>
        <w:t>165</w:t>
      </w:r>
      <w:r>
        <w:rPr>
          <w:color w:val="231F20"/>
          <w:spacing w:val="-1"/>
          <w:w w:val="95"/>
        </w:rPr>
        <w:tab/>
      </w:r>
      <w:r>
        <w:rPr>
          <w:color w:val="231F20"/>
        </w:rPr>
        <w:t>10’891</w:t>
      </w:r>
    </w:p>
    <w:p w14:paraId="7E31A942" w14:textId="77777777" w:rsidR="00244B64" w:rsidRDefault="00181077">
      <w:pPr>
        <w:pStyle w:val="Textkrper"/>
        <w:tabs>
          <w:tab w:val="left" w:pos="2339"/>
          <w:tab w:val="left" w:pos="2896"/>
        </w:tabs>
        <w:spacing w:line="160" w:lineRule="exact"/>
        <w:ind w:left="167"/>
      </w:pPr>
      <w:r>
        <w:rPr>
          <w:color w:val="231F20"/>
        </w:rPr>
        <w:t xml:space="preserve">Total </w:t>
      </w:r>
      <w:r>
        <w:rPr>
          <w:color w:val="231F20"/>
          <w:spacing w:val="1"/>
        </w:rPr>
        <w:t>besoins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énerg.:</w:t>
      </w:r>
      <w:r>
        <w:rPr>
          <w:color w:val="231F20"/>
          <w:spacing w:val="1"/>
        </w:rPr>
        <w:tab/>
      </w:r>
      <w:r>
        <w:rPr>
          <w:color w:val="231F20"/>
        </w:rPr>
        <w:t>100</w:t>
      </w:r>
      <w:r>
        <w:rPr>
          <w:color w:val="231F20"/>
        </w:rPr>
        <w:tab/>
        <w:t>6’590</w:t>
      </w:r>
    </w:p>
    <w:p w14:paraId="52374415" w14:textId="77777777" w:rsidR="00244B64" w:rsidRDefault="00181077">
      <w:pPr>
        <w:tabs>
          <w:tab w:val="left" w:pos="2419"/>
          <w:tab w:val="left" w:pos="2892"/>
        </w:tabs>
        <w:spacing w:line="172" w:lineRule="exact"/>
        <w:ind w:left="167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Surplus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d'électricité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solaire: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65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4’301</w:t>
      </w:r>
    </w:p>
    <w:p w14:paraId="2D3BC441" w14:textId="77777777" w:rsidR="00244B64" w:rsidRDefault="00181077">
      <w:pPr>
        <w:pStyle w:val="berschrift5"/>
        <w:ind w:left="167"/>
        <w:rPr>
          <w:rFonts w:ascii="Theinhardt Black" w:eastAsia="Theinhardt Black" w:hAnsi="Theinhardt Black" w:cs="Theinhardt Black"/>
          <w:b w:val="0"/>
          <w:bCs w:val="0"/>
        </w:rPr>
      </w:pPr>
      <w:r>
        <w:rPr>
          <w:b w:val="0"/>
        </w:rPr>
        <w:br w:type="column"/>
      </w:r>
      <w:r>
        <w:rPr>
          <w:rFonts w:ascii="Theinhardt Black" w:hAnsi="Theinhardt Black"/>
          <w:color w:val="231F20"/>
          <w:spacing w:val="1"/>
        </w:rPr>
        <w:t>Données</w:t>
      </w:r>
      <w:r>
        <w:rPr>
          <w:rFonts w:ascii="Theinhardt Black" w:hAnsi="Theinhardt Black"/>
          <w:color w:val="231F20"/>
        </w:rPr>
        <w:t xml:space="preserve"> techniques</w:t>
      </w:r>
      <w:r>
        <w:rPr>
          <w:rFonts w:ascii="Theinhardt Black" w:hAnsi="Theinhardt Black"/>
          <w:color w:val="231F20"/>
          <w:spacing w:val="-9"/>
        </w:rPr>
        <w:t xml:space="preserve"> </w:t>
      </w:r>
      <w:r>
        <w:rPr>
          <w:rFonts w:ascii="Theinhardt Black" w:hAnsi="Theinhardt Black"/>
          <w:color w:val="231F20"/>
          <w:spacing w:val="1"/>
        </w:rPr>
        <w:t>Villa</w:t>
      </w:r>
      <w:r>
        <w:rPr>
          <w:rFonts w:ascii="Theinhardt Black" w:hAnsi="Theinhardt Black"/>
          <w:color w:val="231F20"/>
        </w:rPr>
        <w:t xml:space="preserve"> C (114%)</w:t>
      </w:r>
    </w:p>
    <w:p w14:paraId="68E4B74B" w14:textId="77777777" w:rsidR="00244B64" w:rsidRDefault="00181077">
      <w:pPr>
        <w:pStyle w:val="Textkrper"/>
        <w:tabs>
          <w:tab w:val="left" w:pos="900"/>
          <w:tab w:val="left" w:pos="1746"/>
          <w:tab w:val="left" w:pos="2359"/>
          <w:tab w:val="left" w:pos="2459"/>
          <w:tab w:val="left" w:pos="2870"/>
        </w:tabs>
        <w:spacing w:before="96" w:line="160" w:lineRule="exact"/>
        <w:ind w:left="167"/>
      </w:pPr>
      <w:r>
        <w:pict w14:anchorId="602AC3CC">
          <v:group id="_x0000_s1057" style="position:absolute;left:0;text-align:left;margin-left:206.95pt;margin-top:1.8pt;width:167.25pt;height:.45pt;z-index:1312;mso-position-horizontal-relative:page" coordorigin="4139,36" coordsize="3345,9">
            <v:group id="_x0000_s1062" style="position:absolute;left:4160;top:40;width:3311;height:2" coordorigin="4160,40" coordsize="3311,2">
              <v:shape id="_x0000_s1063" style="position:absolute;left:4160;top:40;width:3311;height:2" coordorigin="4160,40" coordsize="3311,0" path="m4160,40r3311,e" filled="f" strokecolor="#231f20" strokeweight=".14994mm">
                <v:stroke dashstyle="dash"/>
                <v:path arrowok="t"/>
              </v:shape>
            </v:group>
            <v:group id="_x0000_s1060" style="position:absolute;left:4143;top:40;width:2;height:2" coordorigin="4143,40" coordsize="2,2">
              <v:shape id="_x0000_s1061" style="position:absolute;left:4143;top:40;width:2;height:2" coordorigin="4143,40" coordsize="0,0" path="m4143,40r,e" filled="f" strokecolor="#231f20" strokeweight=".14994mm">
                <v:path arrowok="t"/>
              </v:shape>
            </v:group>
            <v:group id="_x0000_s1058" style="position:absolute;left:7479;top:40;width:2;height:2" coordorigin="7479,40" coordsize="2,2">
              <v:shape id="_x0000_s1059" style="position:absolute;left:7479;top:40;width:2;height:2" coordorigin="7479,40" coordsize="0,0" path="m7479,40r,e" filled="f" strokecolor="#231f20" strokeweight=".14994mm">
                <v:path arrowok="t"/>
              </v:shape>
            </v:group>
            <w10:wrap anchorx="page"/>
          </v:group>
        </w:pict>
      </w:r>
      <w:r>
        <w:rPr>
          <w:color w:val="231F20"/>
          <w:spacing w:val="1"/>
        </w:rPr>
        <w:t>Autoprod.:</w:t>
      </w:r>
      <w:r>
        <w:rPr>
          <w:color w:val="231F20"/>
        </w:rPr>
        <w:t xml:space="preserve"> 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5"/>
          <w:sz w:val="8"/>
          <w:szCs w:val="8"/>
        </w:rPr>
        <w:t>2</w:t>
      </w:r>
      <w:r>
        <w:rPr>
          <w:color w:val="231F20"/>
          <w:position w:val="5"/>
          <w:sz w:val="8"/>
          <w:szCs w:val="8"/>
        </w:rPr>
        <w:t xml:space="preserve"> </w:t>
      </w:r>
      <w:r>
        <w:rPr>
          <w:color w:val="231F20"/>
          <w:spacing w:val="11"/>
          <w:position w:val="5"/>
          <w:sz w:val="8"/>
          <w:szCs w:val="8"/>
        </w:rPr>
        <w:t xml:space="preserve"> </w:t>
      </w:r>
      <w:r>
        <w:rPr>
          <w:color w:val="231F20"/>
        </w:rPr>
        <w:t xml:space="preserve">kWp  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kWh/m</w:t>
      </w:r>
      <w:r>
        <w:rPr>
          <w:color w:val="231F20"/>
          <w:spacing w:val="-1"/>
          <w:position w:val="5"/>
          <w:sz w:val="8"/>
          <w:szCs w:val="8"/>
        </w:rPr>
        <w:t>2</w:t>
      </w:r>
      <w:r>
        <w:rPr>
          <w:color w:val="231F20"/>
          <w:spacing w:val="-1"/>
        </w:rPr>
        <w:t>a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%</w:t>
      </w:r>
      <w:r>
        <w:rPr>
          <w:color w:val="231F20"/>
        </w:rPr>
        <w:tab/>
        <w:t>kWh/a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PV:</w:t>
      </w:r>
      <w:r>
        <w:rPr>
          <w:color w:val="231F20"/>
        </w:rPr>
        <w:tab/>
        <w:t>69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10.4</w:t>
      </w:r>
      <w:r>
        <w:rPr>
          <w:color w:val="231F20"/>
          <w:spacing w:val="-2"/>
        </w:rPr>
        <w:tab/>
      </w:r>
      <w:r>
        <w:rPr>
          <w:color w:val="231F20"/>
          <w:spacing w:val="-6"/>
        </w:rPr>
        <w:t>127.7</w:t>
      </w:r>
      <w:r>
        <w:rPr>
          <w:color w:val="231F20"/>
          <w:spacing w:val="-6"/>
        </w:rPr>
        <w:tab/>
      </w:r>
      <w:r>
        <w:rPr>
          <w:color w:val="231F20"/>
          <w:spacing w:val="-7"/>
        </w:rPr>
        <w:t>114</w:t>
      </w:r>
      <w:r>
        <w:rPr>
          <w:color w:val="231F20"/>
          <w:spacing w:val="-7"/>
        </w:rPr>
        <w:tab/>
      </w:r>
      <w:r>
        <w:rPr>
          <w:color w:val="231F20"/>
          <w:spacing w:val="-3"/>
        </w:rPr>
        <w:t>8’813</w:t>
      </w:r>
    </w:p>
    <w:p w14:paraId="2958B59A" w14:textId="77777777" w:rsidR="00244B64" w:rsidRDefault="00181077">
      <w:pPr>
        <w:tabs>
          <w:tab w:val="left" w:pos="2870"/>
        </w:tabs>
        <w:spacing w:before="49" w:line="172" w:lineRule="exact"/>
        <w:ind w:left="167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Bilan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énergetique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(énergie</w:t>
      </w:r>
      <w:r>
        <w:rPr>
          <w:rFonts w:ascii="Theinhardt Regular" w:hAnsi="Theinhardt Regular"/>
          <w:color w:val="231F20"/>
          <w:sz w:val="14"/>
        </w:rPr>
        <w:t xml:space="preserve"> finale)   </w:t>
      </w:r>
      <w:r>
        <w:rPr>
          <w:rFonts w:ascii="Theinhardt Regular" w:hAnsi="Theinhardt Regular"/>
          <w:color w:val="231F20"/>
          <w:spacing w:val="24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%</w:t>
      </w:r>
      <w:r>
        <w:rPr>
          <w:rFonts w:ascii="Theinhardt Regular" w:hAnsi="Theinhardt Regular"/>
          <w:color w:val="231F20"/>
          <w:sz w:val="14"/>
        </w:rPr>
        <w:tab/>
        <w:t>kWh/a</w:t>
      </w:r>
    </w:p>
    <w:p w14:paraId="4B3BAA5D" w14:textId="77777777" w:rsidR="00244B64" w:rsidRDefault="00181077">
      <w:pPr>
        <w:pStyle w:val="berschrift5"/>
        <w:tabs>
          <w:tab w:val="left" w:pos="2352"/>
          <w:tab w:val="left" w:pos="2896"/>
        </w:tabs>
        <w:spacing w:before="0" w:line="160" w:lineRule="exact"/>
        <w:ind w:left="167"/>
        <w:rPr>
          <w:b w:val="0"/>
          <w:bCs w:val="0"/>
        </w:rPr>
      </w:pPr>
      <w:r>
        <w:rPr>
          <w:color w:val="231F20"/>
          <w:spacing w:val="1"/>
        </w:rPr>
        <w:t>Alimentation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énergetique:</w:t>
      </w:r>
      <w:r>
        <w:rPr>
          <w:color w:val="231F20"/>
          <w:spacing w:val="1"/>
        </w:rPr>
        <w:tab/>
      </w:r>
      <w:r>
        <w:rPr>
          <w:color w:val="231F20"/>
          <w:spacing w:val="-5"/>
        </w:rPr>
        <w:t>114</w:t>
      </w:r>
      <w:r>
        <w:rPr>
          <w:color w:val="231F20"/>
          <w:spacing w:val="-5"/>
        </w:rPr>
        <w:tab/>
      </w:r>
      <w:r>
        <w:rPr>
          <w:color w:val="231F20"/>
          <w:spacing w:val="-2"/>
        </w:rPr>
        <w:t>8’813</w:t>
      </w:r>
    </w:p>
    <w:p w14:paraId="4B038E52" w14:textId="77777777" w:rsidR="00244B64" w:rsidRDefault="00181077">
      <w:pPr>
        <w:pStyle w:val="Textkrper"/>
        <w:tabs>
          <w:tab w:val="left" w:pos="2339"/>
          <w:tab w:val="left" w:pos="2896"/>
        </w:tabs>
        <w:spacing w:line="160" w:lineRule="exact"/>
        <w:ind w:left="167"/>
      </w:pPr>
      <w:r>
        <w:rPr>
          <w:color w:val="231F20"/>
        </w:rPr>
        <w:t xml:space="preserve">Total </w:t>
      </w:r>
      <w:r>
        <w:rPr>
          <w:color w:val="231F20"/>
          <w:spacing w:val="1"/>
        </w:rPr>
        <w:t>besoins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énerg.:</w:t>
      </w:r>
      <w:r>
        <w:rPr>
          <w:color w:val="231F20"/>
          <w:spacing w:val="1"/>
        </w:rPr>
        <w:tab/>
      </w:r>
      <w:r>
        <w:rPr>
          <w:color w:val="231F20"/>
        </w:rPr>
        <w:t>100</w:t>
      </w:r>
      <w:r>
        <w:rPr>
          <w:color w:val="231F20"/>
        </w:rPr>
        <w:tab/>
        <w:t>7’759</w:t>
      </w:r>
    </w:p>
    <w:p w14:paraId="6277C624" w14:textId="77777777" w:rsidR="00244B64" w:rsidRDefault="00181077">
      <w:pPr>
        <w:tabs>
          <w:tab w:val="left" w:pos="2426"/>
          <w:tab w:val="left" w:pos="2891"/>
        </w:tabs>
        <w:spacing w:line="172" w:lineRule="exact"/>
        <w:ind w:left="167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Surplus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d'électricité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solaire: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w w:val="95"/>
          <w:sz w:val="14"/>
          <w:szCs w:val="14"/>
        </w:rPr>
        <w:t>14</w:t>
      </w:r>
      <w:r>
        <w:rPr>
          <w:rFonts w:ascii="Theinhardt Bold" w:eastAsia="Theinhardt Bold" w:hAnsi="Theinhardt Bold" w:cs="Theinhardt Bold"/>
          <w:b/>
          <w:bCs/>
          <w:color w:val="231F20"/>
          <w:spacing w:val="-3"/>
          <w:w w:val="95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1’054</w:t>
      </w:r>
    </w:p>
    <w:p w14:paraId="27F93191" w14:textId="77777777" w:rsidR="00244B64" w:rsidRDefault="00181077">
      <w:pPr>
        <w:pStyle w:val="berschrift5"/>
        <w:ind w:left="167"/>
        <w:rPr>
          <w:rFonts w:ascii="Theinhardt Black" w:eastAsia="Theinhardt Black" w:hAnsi="Theinhardt Black" w:cs="Theinhardt Black"/>
          <w:b w:val="0"/>
          <w:bCs w:val="0"/>
        </w:rPr>
      </w:pPr>
      <w:r>
        <w:rPr>
          <w:b w:val="0"/>
        </w:rPr>
        <w:br w:type="column"/>
      </w:r>
      <w:r>
        <w:rPr>
          <w:rFonts w:ascii="Theinhardt Black" w:hAnsi="Theinhardt Black"/>
          <w:color w:val="231F20"/>
          <w:spacing w:val="1"/>
        </w:rPr>
        <w:t>Données</w:t>
      </w:r>
      <w:r>
        <w:rPr>
          <w:rFonts w:ascii="Theinhardt Black" w:hAnsi="Theinhardt Black"/>
          <w:color w:val="231F20"/>
        </w:rPr>
        <w:t xml:space="preserve"> techniques</w:t>
      </w:r>
      <w:r>
        <w:rPr>
          <w:rFonts w:ascii="Theinhardt Black" w:hAnsi="Theinhardt Black"/>
          <w:color w:val="231F20"/>
          <w:spacing w:val="-9"/>
        </w:rPr>
        <w:t xml:space="preserve"> </w:t>
      </w:r>
      <w:r>
        <w:rPr>
          <w:rFonts w:ascii="Theinhardt Black" w:hAnsi="Theinhardt Black"/>
          <w:color w:val="231F20"/>
          <w:spacing w:val="1"/>
        </w:rPr>
        <w:t>Villa</w:t>
      </w:r>
      <w:r>
        <w:rPr>
          <w:rFonts w:ascii="Theinhardt Black" w:hAnsi="Theinhardt Black"/>
          <w:color w:val="231F20"/>
        </w:rPr>
        <w:t xml:space="preserve"> E (149%)</w:t>
      </w:r>
    </w:p>
    <w:p w14:paraId="1DEF3D07" w14:textId="77777777" w:rsidR="00244B64" w:rsidRDefault="00244B64">
      <w:pPr>
        <w:spacing w:before="10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7E04F59A" w14:textId="77777777" w:rsidR="00244B64" w:rsidRDefault="00181077">
      <w:pPr>
        <w:spacing w:line="20" w:lineRule="atLeast"/>
        <w:ind w:left="167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7DCD65A7">
          <v:group id="_x0000_s1050" style="width:167.25pt;height:.45pt;mso-position-horizontal-relative:char;mso-position-vertical-relative:line" coordsize="3345,9">
            <v:group id="_x0000_s1055" style="position:absolute;left:21;top:4;width:3311;height:2" coordorigin="21,4" coordsize="3311,2">
              <v:shape id="_x0000_s1056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53" style="position:absolute;left:4;top:4;width:2;height:2" coordorigin="4,4" coordsize="2,2">
              <v:shape id="_x0000_s1054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51" style="position:absolute;left:3341;top:4;width:2;height:2" coordorigin="3341,4" coordsize="2,2">
              <v:shape id="_x0000_s1052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1F4F20C4" w14:textId="77777777" w:rsidR="00244B64" w:rsidRDefault="00181077">
      <w:pPr>
        <w:pStyle w:val="Textkrper"/>
        <w:tabs>
          <w:tab w:val="left" w:pos="900"/>
          <w:tab w:val="left" w:pos="1749"/>
          <w:tab w:val="left" w:pos="2345"/>
          <w:tab w:val="left" w:pos="2459"/>
          <w:tab w:val="left" w:pos="2870"/>
        </w:tabs>
        <w:spacing w:before="28" w:line="160" w:lineRule="exact"/>
        <w:ind w:left="167" w:right="359"/>
      </w:pPr>
      <w:r>
        <w:rPr>
          <w:color w:val="231F20"/>
          <w:spacing w:val="1"/>
        </w:rPr>
        <w:t>Autoprod.:</w:t>
      </w:r>
      <w:r>
        <w:rPr>
          <w:color w:val="231F20"/>
        </w:rPr>
        <w:t xml:space="preserve"> 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5"/>
          <w:sz w:val="8"/>
          <w:szCs w:val="8"/>
        </w:rPr>
        <w:t>2</w:t>
      </w:r>
      <w:r>
        <w:rPr>
          <w:color w:val="231F20"/>
          <w:position w:val="5"/>
          <w:sz w:val="8"/>
          <w:szCs w:val="8"/>
        </w:rPr>
        <w:t xml:space="preserve"> </w:t>
      </w:r>
      <w:r>
        <w:rPr>
          <w:color w:val="231F20"/>
          <w:spacing w:val="11"/>
          <w:position w:val="5"/>
          <w:sz w:val="8"/>
          <w:szCs w:val="8"/>
        </w:rPr>
        <w:t xml:space="preserve"> </w:t>
      </w:r>
      <w:r>
        <w:rPr>
          <w:color w:val="231F20"/>
        </w:rPr>
        <w:t xml:space="preserve">kWp  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kWh/m</w:t>
      </w:r>
      <w:r>
        <w:rPr>
          <w:color w:val="231F20"/>
          <w:spacing w:val="-1"/>
          <w:position w:val="5"/>
          <w:sz w:val="8"/>
          <w:szCs w:val="8"/>
        </w:rPr>
        <w:t>2</w:t>
      </w:r>
      <w:r>
        <w:rPr>
          <w:color w:val="231F20"/>
          <w:spacing w:val="-1"/>
        </w:rPr>
        <w:t>a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%</w:t>
      </w:r>
      <w:r>
        <w:rPr>
          <w:color w:val="231F20"/>
        </w:rPr>
        <w:tab/>
        <w:t>kWh/a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PV:</w:t>
      </w:r>
      <w:r>
        <w:rPr>
          <w:color w:val="231F20"/>
        </w:rPr>
        <w:tab/>
        <w:t>69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10.4</w:t>
      </w:r>
      <w:r>
        <w:rPr>
          <w:color w:val="231F20"/>
          <w:spacing w:val="-2"/>
        </w:rPr>
        <w:tab/>
      </w:r>
      <w:r>
        <w:rPr>
          <w:color w:val="231F20"/>
          <w:spacing w:val="-7"/>
        </w:rPr>
        <w:t>127.1</w:t>
      </w:r>
      <w:r>
        <w:rPr>
          <w:color w:val="231F20"/>
          <w:spacing w:val="-7"/>
        </w:rPr>
        <w:tab/>
      </w:r>
      <w:r>
        <w:rPr>
          <w:color w:val="231F20"/>
          <w:spacing w:val="-3"/>
        </w:rPr>
        <w:t>149</w:t>
      </w:r>
      <w:r>
        <w:rPr>
          <w:color w:val="231F20"/>
          <w:spacing w:val="-3"/>
        </w:rPr>
        <w:tab/>
      </w:r>
      <w:r>
        <w:rPr>
          <w:color w:val="231F20"/>
          <w:spacing w:val="-1"/>
        </w:rPr>
        <w:t>8’769</w:t>
      </w:r>
    </w:p>
    <w:p w14:paraId="39A8B095" w14:textId="77777777" w:rsidR="00244B64" w:rsidRDefault="00181077">
      <w:pPr>
        <w:tabs>
          <w:tab w:val="left" w:pos="2870"/>
        </w:tabs>
        <w:spacing w:before="49" w:line="172" w:lineRule="exact"/>
        <w:ind w:left="167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Bilan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énergetique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(énergie</w:t>
      </w:r>
      <w:r>
        <w:rPr>
          <w:rFonts w:ascii="Theinhardt Regular" w:hAnsi="Theinhardt Regular"/>
          <w:color w:val="231F20"/>
          <w:sz w:val="14"/>
        </w:rPr>
        <w:t xml:space="preserve"> finale)   </w:t>
      </w:r>
      <w:r>
        <w:rPr>
          <w:rFonts w:ascii="Theinhardt Regular" w:hAnsi="Theinhardt Regular"/>
          <w:color w:val="231F20"/>
          <w:spacing w:val="24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%</w:t>
      </w:r>
      <w:r>
        <w:rPr>
          <w:rFonts w:ascii="Theinhardt Regular" w:hAnsi="Theinhardt Regular"/>
          <w:color w:val="231F20"/>
          <w:sz w:val="14"/>
        </w:rPr>
        <w:tab/>
        <w:t>kWh/a</w:t>
      </w:r>
    </w:p>
    <w:p w14:paraId="178B1282" w14:textId="77777777" w:rsidR="00244B64" w:rsidRDefault="00181077">
      <w:pPr>
        <w:pStyle w:val="berschrift5"/>
        <w:tabs>
          <w:tab w:val="left" w:pos="2341"/>
          <w:tab w:val="left" w:pos="2886"/>
        </w:tabs>
        <w:spacing w:before="0" w:line="160" w:lineRule="exact"/>
        <w:ind w:left="167"/>
        <w:rPr>
          <w:b w:val="0"/>
          <w:bCs w:val="0"/>
        </w:rPr>
      </w:pPr>
      <w:r>
        <w:rPr>
          <w:color w:val="231F20"/>
          <w:spacing w:val="1"/>
        </w:rPr>
        <w:t>Alimentation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énergetique:</w:t>
      </w:r>
      <w:r>
        <w:rPr>
          <w:color w:val="231F20"/>
          <w:spacing w:val="1"/>
        </w:rPr>
        <w:tab/>
      </w:r>
      <w:r>
        <w:rPr>
          <w:color w:val="231F20"/>
          <w:spacing w:val="-1"/>
          <w:w w:val="95"/>
        </w:rPr>
        <w:t>149</w:t>
      </w:r>
      <w:r>
        <w:rPr>
          <w:color w:val="231F20"/>
          <w:spacing w:val="-1"/>
          <w:w w:val="95"/>
        </w:rPr>
        <w:tab/>
      </w:r>
      <w:r>
        <w:rPr>
          <w:color w:val="231F20"/>
          <w:spacing w:val="1"/>
        </w:rPr>
        <w:t>8’769</w:t>
      </w:r>
    </w:p>
    <w:p w14:paraId="4D51B88D" w14:textId="77777777" w:rsidR="00244B64" w:rsidRDefault="00181077">
      <w:pPr>
        <w:pStyle w:val="Textkrper"/>
        <w:tabs>
          <w:tab w:val="left" w:pos="2339"/>
          <w:tab w:val="left" w:pos="2903"/>
        </w:tabs>
        <w:spacing w:line="160" w:lineRule="exact"/>
        <w:ind w:left="167"/>
      </w:pPr>
      <w:r>
        <w:rPr>
          <w:color w:val="231F20"/>
        </w:rPr>
        <w:t xml:space="preserve">Total </w:t>
      </w:r>
      <w:r>
        <w:rPr>
          <w:color w:val="231F20"/>
          <w:spacing w:val="1"/>
        </w:rPr>
        <w:t>besoins</w:t>
      </w:r>
      <w:r>
        <w:rPr>
          <w:color w:val="231F20"/>
        </w:rPr>
        <w:t xml:space="preserve"> </w:t>
      </w:r>
      <w:r>
        <w:rPr>
          <w:color w:val="231F20"/>
          <w:spacing w:val="1"/>
        </w:rPr>
        <w:t>énerg.:</w:t>
      </w:r>
      <w:r>
        <w:rPr>
          <w:color w:val="231F20"/>
          <w:spacing w:val="1"/>
        </w:rPr>
        <w:tab/>
      </w:r>
      <w:r>
        <w:rPr>
          <w:color w:val="231F20"/>
        </w:rPr>
        <w:t>100</w:t>
      </w:r>
      <w:r>
        <w:rPr>
          <w:color w:val="231F20"/>
        </w:rPr>
        <w:tab/>
      </w:r>
      <w:r>
        <w:rPr>
          <w:color w:val="231F20"/>
          <w:spacing w:val="-2"/>
        </w:rPr>
        <w:t>5’878</w:t>
      </w:r>
    </w:p>
    <w:p w14:paraId="5321E352" w14:textId="77777777" w:rsidR="00244B64" w:rsidRDefault="00181077">
      <w:pPr>
        <w:tabs>
          <w:tab w:val="left" w:pos="2418"/>
          <w:tab w:val="left" w:pos="2888"/>
        </w:tabs>
        <w:spacing w:line="172" w:lineRule="exact"/>
        <w:ind w:left="167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Surplus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d'électricité</w:t>
      </w:r>
      <w:r>
        <w:rPr>
          <w:rFonts w:ascii="Theinhardt Regular" w:eastAsia="Theinhardt Regular" w:hAnsi="Theinhardt Regular" w:cs="Theinhardt Regular"/>
          <w:color w:val="231F20"/>
          <w:sz w:val="14"/>
          <w:szCs w:val="14"/>
        </w:rPr>
        <w:t xml:space="preserve"> 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>solaire:</w:t>
      </w:r>
      <w:r>
        <w:rPr>
          <w:rFonts w:ascii="Theinhardt Regular" w:eastAsia="Theinhardt Regular" w:hAnsi="Theinhardt Regular" w:cs="Theinhardt Regular"/>
          <w:color w:val="231F20"/>
          <w:spacing w:val="1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49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ab/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2’891</w:t>
      </w:r>
    </w:p>
    <w:p w14:paraId="561AA26B" w14:textId="77777777" w:rsidR="00244B64" w:rsidRDefault="00244B64">
      <w:pPr>
        <w:spacing w:line="172" w:lineRule="exact"/>
        <w:rPr>
          <w:rFonts w:ascii="Theinhardt Bold" w:eastAsia="Theinhardt Bold" w:hAnsi="Theinhardt Bold" w:cs="Theinhardt Bold"/>
          <w:sz w:val="14"/>
          <w:szCs w:val="14"/>
        </w:rPr>
        <w:sectPr w:rsidR="00244B64">
          <w:type w:val="continuous"/>
          <w:pgSz w:w="11910" w:h="16840"/>
          <w:pgMar w:top="840" w:right="720" w:bottom="280" w:left="400" w:header="720" w:footer="720" w:gutter="0"/>
          <w:cols w:num="3" w:space="720" w:equalWidth="0">
            <w:col w:w="3268" w:space="303"/>
            <w:col w:w="3271" w:space="315"/>
            <w:col w:w="3633"/>
          </w:cols>
        </w:sectPr>
      </w:pPr>
    </w:p>
    <w:p w14:paraId="56D5D6B6" w14:textId="77777777" w:rsidR="00244B64" w:rsidRDefault="00244B64">
      <w:pPr>
        <w:spacing w:before="4"/>
        <w:rPr>
          <w:rFonts w:ascii="Theinhardt Bold" w:eastAsia="Theinhardt Bold" w:hAnsi="Theinhardt Bold" w:cs="Theinhardt Bold"/>
          <w:b/>
          <w:bCs/>
          <w:sz w:val="17"/>
          <w:szCs w:val="17"/>
        </w:rPr>
      </w:pPr>
    </w:p>
    <w:p w14:paraId="649AD6E9" w14:textId="77777777" w:rsidR="00244B64" w:rsidRDefault="00244B64">
      <w:pPr>
        <w:rPr>
          <w:rFonts w:ascii="Theinhardt Bold" w:eastAsia="Theinhardt Bold" w:hAnsi="Theinhardt Bold" w:cs="Theinhardt Bold"/>
          <w:sz w:val="17"/>
          <w:szCs w:val="17"/>
        </w:rPr>
        <w:sectPr w:rsidR="00244B64">
          <w:type w:val="continuous"/>
          <w:pgSz w:w="11910" w:h="16840"/>
          <w:pgMar w:top="840" w:right="720" w:bottom="280" w:left="400" w:header="720" w:footer="720" w:gutter="0"/>
          <w:cols w:space="720"/>
        </w:sectPr>
      </w:pPr>
    </w:p>
    <w:p w14:paraId="23339DD6" w14:textId="77777777" w:rsidR="00244B64" w:rsidRDefault="00181077">
      <w:pPr>
        <w:pStyle w:val="berschrift5"/>
        <w:rPr>
          <w:rFonts w:ascii="Theinhardt Black" w:eastAsia="Theinhardt Black" w:hAnsi="Theinhardt Black" w:cs="Theinhardt Black"/>
          <w:b w:val="0"/>
          <w:bCs w:val="0"/>
        </w:rPr>
      </w:pPr>
      <w:r>
        <w:pict w14:anchorId="4BC1A2E4">
          <v:group id="_x0000_s1043" style="position:absolute;left:0;text-align:left;margin-left:28.35pt;margin-top:14.4pt;width:167.25pt;height:.45pt;z-index:1288;mso-position-horizontal-relative:page" coordorigin="567,288" coordsize="3345,9">
            <v:group id="_x0000_s1048" style="position:absolute;left:588;top:292;width:3311;height:2" coordorigin="588,292" coordsize="3311,2">
              <v:shape id="_x0000_s1049" style="position:absolute;left:588;top:292;width:3311;height:2" coordorigin="588,292" coordsize="3311,0" path="m588,292r3311,e" filled="f" strokecolor="#231f20" strokeweight=".14994mm">
                <v:stroke dashstyle="dash"/>
                <v:path arrowok="t"/>
              </v:shape>
            </v:group>
            <v:group id="_x0000_s1046" style="position:absolute;left:571;top:292;width:2;height:2" coordorigin="571,292" coordsize="2,2">
              <v:shape id="_x0000_s1047" style="position:absolute;left:571;top:292;width:2;height:2" coordorigin="571,292" coordsize="0,0" path="m571,292r,e" filled="f" strokecolor="#231f20" strokeweight=".14994mm">
                <v:path arrowok="t"/>
              </v:shape>
            </v:group>
            <v:group id="_x0000_s1044" style="position:absolute;left:3908;top:292;width:2;height:2" coordorigin="3908,292" coordsize="2,2">
              <v:shape id="_x0000_s1045" style="position:absolute;left:3908;top:292;width:2;height:2" coordorigin="3908,292" coordsize="0,0" path="m3908,292r,e" filled="f" strokecolor="#231f20" strokeweight=".14994mm">
                <v:path arrowok="t"/>
              </v:shape>
            </v:group>
            <w10:wrap anchorx="page"/>
          </v:group>
        </w:pict>
      </w:r>
      <w:r>
        <w:rPr>
          <w:rFonts w:ascii="Theinhardt Black" w:hAnsi="Theinhardt Black"/>
          <w:color w:val="231F20"/>
          <w:spacing w:val="1"/>
        </w:rPr>
        <w:t>Données</w:t>
      </w:r>
      <w:r>
        <w:rPr>
          <w:rFonts w:ascii="Theinhardt Black" w:hAnsi="Theinhardt Black"/>
          <w:color w:val="231F20"/>
        </w:rPr>
        <w:t xml:space="preserve"> techniques</w:t>
      </w:r>
      <w:r>
        <w:rPr>
          <w:rFonts w:ascii="Theinhardt Black" w:hAnsi="Theinhardt Black"/>
          <w:color w:val="231F20"/>
          <w:spacing w:val="-9"/>
        </w:rPr>
        <w:t xml:space="preserve"> </w:t>
      </w:r>
      <w:r>
        <w:rPr>
          <w:rFonts w:ascii="Theinhardt Black" w:hAnsi="Theinhardt Black"/>
          <w:color w:val="231F20"/>
          <w:spacing w:val="1"/>
        </w:rPr>
        <w:t>Villa</w:t>
      </w:r>
      <w:r>
        <w:rPr>
          <w:rFonts w:ascii="Theinhardt Black" w:hAnsi="Theinhardt Black"/>
          <w:color w:val="231F20"/>
        </w:rPr>
        <w:t xml:space="preserve"> B (169%)</w:t>
      </w:r>
    </w:p>
    <w:p w14:paraId="0E3AD185" w14:textId="77777777" w:rsidR="00244B64" w:rsidRDefault="00181077">
      <w:pPr>
        <w:pStyle w:val="Textkrper"/>
        <w:tabs>
          <w:tab w:val="left" w:pos="899"/>
          <w:tab w:val="left" w:pos="1725"/>
          <w:tab w:val="left" w:pos="2343"/>
          <w:tab w:val="left" w:pos="2458"/>
          <w:tab w:val="left" w:pos="2870"/>
        </w:tabs>
        <w:spacing w:before="96" w:line="160" w:lineRule="exact"/>
      </w:pPr>
      <w:r>
        <w:rPr>
          <w:color w:val="231F20"/>
          <w:spacing w:val="1"/>
        </w:rPr>
        <w:t>Autoprod.:</w:t>
      </w:r>
      <w:r>
        <w:rPr>
          <w:color w:val="231F20"/>
        </w:rPr>
        <w:t xml:space="preserve"> 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5"/>
          <w:sz w:val="8"/>
          <w:szCs w:val="8"/>
        </w:rPr>
        <w:t>2</w:t>
      </w:r>
      <w:r>
        <w:rPr>
          <w:color w:val="231F20"/>
          <w:position w:val="5"/>
          <w:sz w:val="8"/>
          <w:szCs w:val="8"/>
        </w:rPr>
        <w:t xml:space="preserve"> </w:t>
      </w:r>
      <w:r>
        <w:rPr>
          <w:color w:val="231F20"/>
          <w:spacing w:val="11"/>
          <w:position w:val="5"/>
          <w:sz w:val="8"/>
          <w:szCs w:val="8"/>
        </w:rPr>
        <w:t xml:space="preserve"> </w:t>
      </w:r>
      <w:r>
        <w:rPr>
          <w:color w:val="231F20"/>
        </w:rPr>
        <w:t xml:space="preserve">kWp  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kWh/m</w:t>
      </w:r>
      <w:r>
        <w:rPr>
          <w:color w:val="231F20"/>
          <w:spacing w:val="-1"/>
          <w:position w:val="5"/>
          <w:sz w:val="8"/>
          <w:szCs w:val="8"/>
        </w:rPr>
        <w:t>2</w:t>
      </w:r>
      <w:r>
        <w:rPr>
          <w:color w:val="231F20"/>
          <w:spacing w:val="-1"/>
        </w:rPr>
        <w:t>a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%</w:t>
      </w:r>
      <w:r>
        <w:rPr>
          <w:color w:val="231F20"/>
        </w:rPr>
        <w:tab/>
        <w:t>kWh/a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PV:</w:t>
      </w:r>
      <w:r>
        <w:rPr>
          <w:color w:val="231F20"/>
        </w:rPr>
        <w:tab/>
        <w:t>69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10.4</w:t>
      </w:r>
      <w:r>
        <w:rPr>
          <w:color w:val="231F20"/>
          <w:spacing w:val="-2"/>
        </w:rPr>
        <w:tab/>
        <w:t>122.2</w:t>
      </w:r>
      <w:r>
        <w:rPr>
          <w:color w:val="231F20"/>
          <w:spacing w:val="-2"/>
        </w:rPr>
        <w:tab/>
        <w:t>169</w:t>
      </w:r>
      <w:r>
        <w:rPr>
          <w:color w:val="231F20"/>
          <w:spacing w:val="-2"/>
        </w:rPr>
        <w:tab/>
        <w:t>8’435</w:t>
      </w:r>
    </w:p>
    <w:p w14:paraId="01848654" w14:textId="77777777" w:rsidR="00244B64" w:rsidRDefault="00181077">
      <w:pPr>
        <w:tabs>
          <w:tab w:val="left" w:pos="2870"/>
        </w:tabs>
        <w:spacing w:before="49"/>
        <w:ind w:left="16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Bilan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énergetique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(énergie</w:t>
      </w:r>
      <w:r>
        <w:rPr>
          <w:rFonts w:ascii="Theinhardt Regular" w:hAnsi="Theinhardt Regular"/>
          <w:color w:val="231F20"/>
          <w:sz w:val="14"/>
        </w:rPr>
        <w:t xml:space="preserve"> finale)   </w:t>
      </w:r>
      <w:r>
        <w:rPr>
          <w:rFonts w:ascii="Theinhardt Regular" w:hAnsi="Theinhardt Regular"/>
          <w:color w:val="231F20"/>
          <w:spacing w:val="24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%</w:t>
      </w:r>
      <w:r>
        <w:rPr>
          <w:rFonts w:ascii="Theinhardt Regular" w:hAnsi="Theinhardt Regular"/>
          <w:color w:val="231F20"/>
          <w:sz w:val="14"/>
        </w:rPr>
        <w:tab/>
        <w:t>kWh/a</w:t>
      </w:r>
    </w:p>
    <w:p w14:paraId="54220208" w14:textId="77777777" w:rsidR="00244B64" w:rsidRDefault="00181077">
      <w:pPr>
        <w:pStyle w:val="berschrift5"/>
        <w:rPr>
          <w:rFonts w:ascii="Theinhardt Black" w:eastAsia="Theinhardt Black" w:hAnsi="Theinhardt Black" w:cs="Theinhardt Black"/>
          <w:b w:val="0"/>
          <w:bCs w:val="0"/>
        </w:rPr>
      </w:pPr>
      <w:r>
        <w:rPr>
          <w:b w:val="0"/>
        </w:rPr>
        <w:br w:type="column"/>
      </w:r>
      <w:r>
        <w:rPr>
          <w:rFonts w:ascii="Theinhardt Black" w:hAnsi="Theinhardt Black"/>
          <w:color w:val="231F20"/>
          <w:spacing w:val="1"/>
        </w:rPr>
        <w:t>Données</w:t>
      </w:r>
      <w:r>
        <w:rPr>
          <w:rFonts w:ascii="Theinhardt Black" w:hAnsi="Theinhardt Black"/>
          <w:color w:val="231F20"/>
        </w:rPr>
        <w:t xml:space="preserve"> techniques</w:t>
      </w:r>
      <w:r>
        <w:rPr>
          <w:rFonts w:ascii="Theinhardt Black" w:hAnsi="Theinhardt Black"/>
          <w:color w:val="231F20"/>
          <w:spacing w:val="-9"/>
        </w:rPr>
        <w:t xml:space="preserve"> </w:t>
      </w:r>
      <w:r>
        <w:rPr>
          <w:rFonts w:ascii="Theinhardt Black" w:hAnsi="Theinhardt Black"/>
          <w:color w:val="231F20"/>
          <w:spacing w:val="1"/>
        </w:rPr>
        <w:t>Villa</w:t>
      </w:r>
      <w:r>
        <w:rPr>
          <w:rFonts w:ascii="Theinhardt Black" w:hAnsi="Theinhardt Black"/>
          <w:color w:val="231F20"/>
        </w:rPr>
        <w:t xml:space="preserve"> D (190%)</w:t>
      </w:r>
    </w:p>
    <w:p w14:paraId="37B4CB9E" w14:textId="77777777" w:rsidR="00244B64" w:rsidRDefault="00181077">
      <w:pPr>
        <w:pStyle w:val="Textkrper"/>
        <w:tabs>
          <w:tab w:val="left" w:pos="899"/>
          <w:tab w:val="left" w:pos="1733"/>
          <w:tab w:val="left" w:pos="2342"/>
          <w:tab w:val="left" w:pos="2458"/>
          <w:tab w:val="left" w:pos="2870"/>
        </w:tabs>
        <w:spacing w:before="96" w:line="160" w:lineRule="exact"/>
      </w:pPr>
      <w:r>
        <w:pict w14:anchorId="5E92DBF8">
          <v:group id="_x0000_s1036" style="position:absolute;left:0;text-align:left;margin-left:206.95pt;margin-top:1.8pt;width:167.25pt;height:.45pt;z-index:1336;mso-position-horizontal-relative:page" coordorigin="4139,36" coordsize="3345,9">
            <v:group id="_x0000_s1041" style="position:absolute;left:4160;top:40;width:3311;height:2" coordorigin="4160,40" coordsize="3311,2">
              <v:shape id="_x0000_s1042" style="position:absolute;left:4160;top:40;width:3311;height:2" coordorigin="4160,40" coordsize="3311,0" path="m4160,40r3311,e" filled="f" strokecolor="#231f20" strokeweight=".14994mm">
                <v:stroke dashstyle="dash"/>
                <v:path arrowok="t"/>
              </v:shape>
            </v:group>
            <v:group id="_x0000_s1039" style="position:absolute;left:4143;top:40;width:2;height:2" coordorigin="4143,40" coordsize="2,2">
              <v:shape id="_x0000_s1040" style="position:absolute;left:4143;top:40;width:2;height:2" coordorigin="4143,40" coordsize="0,0" path="m4143,40r,e" filled="f" strokecolor="#231f20" strokeweight=".14994mm">
                <v:path arrowok="t"/>
              </v:shape>
            </v:group>
            <v:group id="_x0000_s1037" style="position:absolute;left:7479;top:40;width:2;height:2" coordorigin="7479,40" coordsize="2,2">
              <v:shape id="_x0000_s1038" style="position:absolute;left:7479;top:40;width:2;height:2" coordorigin="7479,40" coordsize="0,0" path="m7479,40r,e" filled="f" strokecolor="#231f20" strokeweight=".14994mm">
                <v:path arrowok="t"/>
              </v:shape>
            </v:group>
            <w10:wrap anchorx="page"/>
          </v:group>
        </w:pict>
      </w:r>
      <w:r>
        <w:rPr>
          <w:color w:val="231F20"/>
          <w:spacing w:val="1"/>
        </w:rPr>
        <w:t>Autoprod.:</w:t>
      </w:r>
      <w:r>
        <w:rPr>
          <w:color w:val="231F20"/>
        </w:rPr>
        <w:t xml:space="preserve"> 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5"/>
          <w:sz w:val="8"/>
          <w:szCs w:val="8"/>
        </w:rPr>
        <w:t>2</w:t>
      </w:r>
      <w:r>
        <w:rPr>
          <w:color w:val="231F20"/>
          <w:position w:val="5"/>
          <w:sz w:val="8"/>
          <w:szCs w:val="8"/>
        </w:rPr>
        <w:t xml:space="preserve"> </w:t>
      </w:r>
      <w:r>
        <w:rPr>
          <w:color w:val="231F20"/>
          <w:spacing w:val="11"/>
          <w:position w:val="5"/>
          <w:sz w:val="8"/>
          <w:szCs w:val="8"/>
        </w:rPr>
        <w:t xml:space="preserve"> </w:t>
      </w:r>
      <w:r>
        <w:rPr>
          <w:color w:val="231F20"/>
        </w:rPr>
        <w:t xml:space="preserve">kWp  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kWh/m</w:t>
      </w:r>
      <w:r>
        <w:rPr>
          <w:color w:val="231F20"/>
          <w:spacing w:val="-1"/>
          <w:position w:val="5"/>
          <w:sz w:val="8"/>
          <w:szCs w:val="8"/>
        </w:rPr>
        <w:t>2</w:t>
      </w:r>
      <w:r>
        <w:rPr>
          <w:color w:val="231F20"/>
          <w:spacing w:val="-1"/>
        </w:rPr>
        <w:t>a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%</w:t>
      </w:r>
      <w:r>
        <w:rPr>
          <w:color w:val="231F20"/>
        </w:rPr>
        <w:tab/>
        <w:t>kWh/a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PV:</w:t>
      </w:r>
      <w:r>
        <w:rPr>
          <w:color w:val="231F20"/>
        </w:rPr>
        <w:tab/>
        <w:t>69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10.4</w:t>
      </w:r>
      <w:r>
        <w:rPr>
          <w:color w:val="231F20"/>
          <w:spacing w:val="-2"/>
        </w:rPr>
        <w:tab/>
      </w:r>
      <w:r>
        <w:rPr>
          <w:color w:val="231F20"/>
          <w:spacing w:val="-4"/>
        </w:rPr>
        <w:t>134.7</w:t>
      </w:r>
      <w:r>
        <w:rPr>
          <w:color w:val="231F20"/>
          <w:spacing w:val="-4"/>
        </w:rPr>
        <w:tab/>
      </w:r>
      <w:r>
        <w:rPr>
          <w:color w:val="231F20"/>
          <w:spacing w:val="-2"/>
        </w:rPr>
        <w:t>190</w:t>
      </w:r>
      <w:r>
        <w:rPr>
          <w:color w:val="231F20"/>
          <w:spacing w:val="-2"/>
        </w:rPr>
        <w:tab/>
      </w:r>
      <w:r>
        <w:rPr>
          <w:color w:val="231F20"/>
          <w:spacing w:val="-3"/>
        </w:rPr>
        <w:t>9’316</w:t>
      </w:r>
    </w:p>
    <w:p w14:paraId="2DF4421E" w14:textId="77777777" w:rsidR="00244B64" w:rsidRDefault="00181077">
      <w:pPr>
        <w:tabs>
          <w:tab w:val="left" w:pos="2870"/>
        </w:tabs>
        <w:spacing w:before="49"/>
        <w:ind w:left="16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Bilan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énergetique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(énergie</w:t>
      </w:r>
      <w:r>
        <w:rPr>
          <w:rFonts w:ascii="Theinhardt Regular" w:hAnsi="Theinhardt Regular"/>
          <w:color w:val="231F20"/>
          <w:sz w:val="14"/>
        </w:rPr>
        <w:t xml:space="preserve"> finale)   </w:t>
      </w:r>
      <w:r>
        <w:rPr>
          <w:rFonts w:ascii="Theinhardt Regular" w:hAnsi="Theinhardt Regular"/>
          <w:color w:val="231F20"/>
          <w:spacing w:val="24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%</w:t>
      </w:r>
      <w:r>
        <w:rPr>
          <w:rFonts w:ascii="Theinhardt Regular" w:hAnsi="Theinhardt Regular"/>
          <w:color w:val="231F20"/>
          <w:sz w:val="14"/>
        </w:rPr>
        <w:tab/>
        <w:t>kWh/a</w:t>
      </w:r>
    </w:p>
    <w:p w14:paraId="0E994AF3" w14:textId="77777777" w:rsidR="00244B64" w:rsidRDefault="00181077">
      <w:pPr>
        <w:pStyle w:val="berschrift5"/>
        <w:rPr>
          <w:rFonts w:ascii="Theinhardt Black" w:eastAsia="Theinhardt Black" w:hAnsi="Theinhardt Black" w:cs="Theinhardt Black"/>
          <w:b w:val="0"/>
          <w:bCs w:val="0"/>
        </w:rPr>
      </w:pPr>
      <w:r>
        <w:rPr>
          <w:b w:val="0"/>
        </w:rPr>
        <w:br w:type="column"/>
      </w:r>
      <w:r>
        <w:rPr>
          <w:rFonts w:ascii="Theinhardt Black" w:hAnsi="Theinhardt Black"/>
          <w:color w:val="231F20"/>
          <w:spacing w:val="1"/>
        </w:rPr>
        <w:t>Données</w:t>
      </w:r>
      <w:r>
        <w:rPr>
          <w:rFonts w:ascii="Theinhardt Black" w:hAnsi="Theinhardt Black"/>
          <w:color w:val="231F20"/>
        </w:rPr>
        <w:t xml:space="preserve"> techniques</w:t>
      </w:r>
      <w:r>
        <w:rPr>
          <w:rFonts w:ascii="Theinhardt Black" w:hAnsi="Theinhardt Black"/>
          <w:color w:val="231F20"/>
          <w:spacing w:val="-9"/>
        </w:rPr>
        <w:t xml:space="preserve"> </w:t>
      </w:r>
      <w:r>
        <w:rPr>
          <w:rFonts w:ascii="Theinhardt Black" w:hAnsi="Theinhardt Black"/>
          <w:color w:val="231F20"/>
          <w:spacing w:val="1"/>
        </w:rPr>
        <w:t>Villa</w:t>
      </w:r>
      <w:r>
        <w:rPr>
          <w:rFonts w:ascii="Theinhardt Black" w:hAnsi="Theinhardt Black"/>
          <w:color w:val="231F20"/>
        </w:rPr>
        <w:t xml:space="preserve"> F (140%)</w:t>
      </w:r>
    </w:p>
    <w:p w14:paraId="29DCFBC9" w14:textId="77777777" w:rsidR="00244B64" w:rsidRDefault="00244B64">
      <w:pPr>
        <w:spacing w:before="10"/>
        <w:rPr>
          <w:rFonts w:ascii="Theinhardt Black" w:eastAsia="Theinhardt Black" w:hAnsi="Theinhardt Black" w:cs="Theinhardt Black"/>
          <w:b/>
          <w:bCs/>
          <w:sz w:val="2"/>
          <w:szCs w:val="2"/>
        </w:rPr>
      </w:pPr>
    </w:p>
    <w:p w14:paraId="1DB407A4" w14:textId="77777777" w:rsidR="00244B64" w:rsidRDefault="00181077">
      <w:pPr>
        <w:spacing w:line="20" w:lineRule="atLeast"/>
        <w:ind w:left="166"/>
        <w:rPr>
          <w:rFonts w:ascii="Theinhardt Black" w:eastAsia="Theinhardt Black" w:hAnsi="Theinhardt Black" w:cs="Theinhardt Black"/>
          <w:sz w:val="2"/>
          <w:szCs w:val="2"/>
        </w:rPr>
      </w:pPr>
      <w:r>
        <w:rPr>
          <w:rFonts w:ascii="Theinhardt Black" w:eastAsia="Theinhardt Black" w:hAnsi="Theinhardt Black" w:cs="Theinhardt Black"/>
          <w:sz w:val="2"/>
          <w:szCs w:val="2"/>
        </w:rPr>
      </w:r>
      <w:r>
        <w:rPr>
          <w:rFonts w:ascii="Theinhardt Black" w:eastAsia="Theinhardt Black" w:hAnsi="Theinhardt Black" w:cs="Theinhardt Black"/>
          <w:sz w:val="2"/>
          <w:szCs w:val="2"/>
        </w:rPr>
        <w:pict w14:anchorId="7C37BC11">
          <v:group id="_x0000_s1029" style="width:167.25pt;height:.45pt;mso-position-horizontal-relative:char;mso-position-vertical-relative:line" coordsize="3345,9">
            <v:group id="_x0000_s1034" style="position:absolute;left:21;top:4;width:3311;height:2" coordorigin="21,4" coordsize="3311,2">
              <v:shape id="_x0000_s1035" style="position:absolute;left:21;top:4;width:3311;height:2" coordorigin="21,4" coordsize="3311,0" path="m21,4r3311,e" filled="f" strokecolor="#231f20" strokeweight=".14994mm">
                <v:stroke dashstyle="dash"/>
                <v:path arrowok="t"/>
              </v:shape>
            </v:group>
            <v:group id="_x0000_s1032" style="position:absolute;left:4;top:4;width:2;height:2" coordorigin="4,4" coordsize="2,2">
              <v:shape id="_x0000_s1033" style="position:absolute;left:4;top:4;width:2;height:2" coordorigin="4,4" coordsize="0,0" path="m4,4r,e" filled="f" strokecolor="#231f20" strokeweight=".14994mm">
                <v:path arrowok="t"/>
              </v:shape>
            </v:group>
            <v:group id="_x0000_s1030" style="position:absolute;left:3341;top:4;width:2;height:2" coordorigin="3341,4" coordsize="2,2">
              <v:shape id="_x0000_s1031" style="position:absolute;left:3341;top:4;width:2;height:2" coordorigin="3341,4" coordsize="0,0" path="m3341,4r,e" filled="f" strokecolor="#231f20" strokeweight=".14994mm">
                <v:path arrowok="t"/>
              </v:shape>
            </v:group>
            <w10:anchorlock/>
          </v:group>
        </w:pict>
      </w:r>
    </w:p>
    <w:p w14:paraId="1E95EC35" w14:textId="77777777" w:rsidR="00244B64" w:rsidRDefault="00181077">
      <w:pPr>
        <w:pStyle w:val="Textkrper"/>
        <w:tabs>
          <w:tab w:val="left" w:pos="899"/>
          <w:tab w:val="left" w:pos="1735"/>
          <w:tab w:val="left" w:pos="2343"/>
          <w:tab w:val="left" w:pos="2458"/>
          <w:tab w:val="left" w:pos="2870"/>
        </w:tabs>
        <w:spacing w:before="28" w:line="160" w:lineRule="exact"/>
        <w:ind w:right="373"/>
      </w:pPr>
      <w:r>
        <w:rPr>
          <w:color w:val="231F20"/>
          <w:spacing w:val="1"/>
        </w:rPr>
        <w:t>Autoprod.:</w:t>
      </w:r>
      <w:r>
        <w:rPr>
          <w:color w:val="231F20"/>
        </w:rPr>
        <w:t xml:space="preserve"> 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</w:rPr>
        <w:t>m</w:t>
      </w:r>
      <w:r>
        <w:rPr>
          <w:color w:val="231F20"/>
          <w:spacing w:val="-1"/>
          <w:position w:val="5"/>
          <w:sz w:val="8"/>
          <w:szCs w:val="8"/>
        </w:rPr>
        <w:t>2</w:t>
      </w:r>
      <w:r>
        <w:rPr>
          <w:color w:val="231F20"/>
          <w:position w:val="5"/>
          <w:sz w:val="8"/>
          <w:szCs w:val="8"/>
        </w:rPr>
        <w:t xml:space="preserve"> </w:t>
      </w:r>
      <w:r>
        <w:rPr>
          <w:color w:val="231F20"/>
          <w:spacing w:val="11"/>
          <w:position w:val="5"/>
          <w:sz w:val="8"/>
          <w:szCs w:val="8"/>
        </w:rPr>
        <w:t xml:space="preserve"> </w:t>
      </w:r>
      <w:r>
        <w:rPr>
          <w:color w:val="231F20"/>
        </w:rPr>
        <w:t xml:space="preserve">kWp  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</w:rPr>
        <w:t>kWh/m</w:t>
      </w:r>
      <w:r>
        <w:rPr>
          <w:color w:val="231F20"/>
          <w:spacing w:val="-1"/>
          <w:position w:val="5"/>
          <w:sz w:val="8"/>
          <w:szCs w:val="8"/>
        </w:rPr>
        <w:t>2</w:t>
      </w:r>
      <w:r>
        <w:rPr>
          <w:color w:val="231F20"/>
          <w:spacing w:val="-1"/>
        </w:rPr>
        <w:t>a</w:t>
      </w:r>
      <w:r>
        <w:rPr>
          <w:color w:val="231F20"/>
          <w:spacing w:val="-1"/>
        </w:rPr>
        <w:tab/>
      </w:r>
      <w:r>
        <w:rPr>
          <w:color w:val="231F20"/>
          <w:spacing w:val="-1"/>
        </w:rPr>
        <w:tab/>
      </w:r>
      <w:r>
        <w:rPr>
          <w:color w:val="231F20"/>
        </w:rPr>
        <w:t>%</w:t>
      </w:r>
      <w:r>
        <w:rPr>
          <w:color w:val="231F20"/>
        </w:rPr>
        <w:tab/>
        <w:t>kWh/a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PV:</w:t>
      </w:r>
      <w:r>
        <w:rPr>
          <w:color w:val="231F20"/>
        </w:rPr>
        <w:tab/>
        <w:t>69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5"/>
        </w:rPr>
        <w:t>11.0</w:t>
      </w:r>
      <w:r>
        <w:rPr>
          <w:color w:val="231F20"/>
          <w:spacing w:val="-5"/>
        </w:rPr>
        <w:tab/>
      </w:r>
      <w:r>
        <w:rPr>
          <w:color w:val="231F20"/>
          <w:spacing w:val="-4"/>
        </w:rPr>
        <w:t>123.7</w:t>
      </w:r>
      <w:r>
        <w:rPr>
          <w:color w:val="231F20"/>
          <w:spacing w:val="-4"/>
        </w:rPr>
        <w:tab/>
      </w:r>
      <w:r>
        <w:rPr>
          <w:color w:val="231F20"/>
          <w:spacing w:val="-2"/>
        </w:rPr>
        <w:t>140</w:t>
      </w:r>
      <w:r>
        <w:rPr>
          <w:color w:val="231F20"/>
          <w:spacing w:val="-2"/>
        </w:rPr>
        <w:tab/>
      </w:r>
      <w:r>
        <w:rPr>
          <w:color w:val="231F20"/>
        </w:rPr>
        <w:t>8’538</w:t>
      </w:r>
    </w:p>
    <w:p w14:paraId="7893679F" w14:textId="77777777" w:rsidR="00244B64" w:rsidRDefault="00181077">
      <w:pPr>
        <w:tabs>
          <w:tab w:val="left" w:pos="2870"/>
        </w:tabs>
        <w:spacing w:before="49"/>
        <w:ind w:left="166"/>
        <w:rPr>
          <w:rFonts w:ascii="Theinhardt Regular" w:eastAsia="Theinhardt Regular" w:hAnsi="Theinhardt Regular" w:cs="Theinhardt Regular"/>
          <w:sz w:val="14"/>
          <w:szCs w:val="14"/>
        </w:rPr>
      </w:pPr>
      <w:r>
        <w:rPr>
          <w:rFonts w:ascii="Theinhardt Bold" w:hAnsi="Theinhardt Bold"/>
          <w:b/>
          <w:color w:val="231F20"/>
          <w:spacing w:val="1"/>
          <w:sz w:val="14"/>
        </w:rPr>
        <w:t>Bilan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1"/>
          <w:sz w:val="14"/>
        </w:rPr>
        <w:t>énergetique</w:t>
      </w:r>
      <w:r>
        <w:rPr>
          <w:rFonts w:ascii="Theinhardt Bold" w:hAnsi="Theinhardt Bold"/>
          <w:b/>
          <w:color w:val="231F20"/>
          <w:sz w:val="14"/>
        </w:rPr>
        <w:t xml:space="preserve"> </w:t>
      </w:r>
      <w:r>
        <w:rPr>
          <w:rFonts w:ascii="Theinhardt Regular" w:hAnsi="Theinhardt Regular"/>
          <w:color w:val="231F20"/>
          <w:spacing w:val="1"/>
          <w:sz w:val="14"/>
        </w:rPr>
        <w:t>(énergie</w:t>
      </w:r>
      <w:r>
        <w:rPr>
          <w:rFonts w:ascii="Theinhardt Regular" w:hAnsi="Theinhardt Regular"/>
          <w:color w:val="231F20"/>
          <w:sz w:val="14"/>
        </w:rPr>
        <w:t xml:space="preserve"> finale)   </w:t>
      </w:r>
      <w:r>
        <w:rPr>
          <w:rFonts w:ascii="Theinhardt Regular" w:hAnsi="Theinhardt Regular"/>
          <w:color w:val="231F20"/>
          <w:spacing w:val="24"/>
          <w:sz w:val="14"/>
        </w:rPr>
        <w:t xml:space="preserve"> </w:t>
      </w:r>
      <w:r>
        <w:rPr>
          <w:rFonts w:ascii="Theinhardt Regular" w:hAnsi="Theinhardt Regular"/>
          <w:color w:val="231F20"/>
          <w:sz w:val="14"/>
        </w:rPr>
        <w:t>%</w:t>
      </w:r>
      <w:r>
        <w:rPr>
          <w:rFonts w:ascii="Theinhardt Regular" w:hAnsi="Theinhardt Regular"/>
          <w:color w:val="231F20"/>
          <w:sz w:val="14"/>
        </w:rPr>
        <w:tab/>
        <w:t>kWh/a</w:t>
      </w:r>
    </w:p>
    <w:p w14:paraId="49FB2BB5" w14:textId="77777777" w:rsidR="00244B64" w:rsidRDefault="00244B64">
      <w:pPr>
        <w:rPr>
          <w:rFonts w:ascii="Theinhardt Regular" w:eastAsia="Theinhardt Regular" w:hAnsi="Theinhardt Regular" w:cs="Theinhardt Regular"/>
          <w:sz w:val="14"/>
          <w:szCs w:val="14"/>
        </w:rPr>
        <w:sectPr w:rsidR="00244B64">
          <w:type w:val="continuous"/>
          <w:pgSz w:w="11910" w:h="16840"/>
          <w:pgMar w:top="840" w:right="720" w:bottom="280" w:left="400" w:header="720" w:footer="720" w:gutter="0"/>
          <w:cols w:num="3" w:space="720" w:equalWidth="0">
            <w:col w:w="3267" w:space="304"/>
            <w:col w:w="3267" w:space="304"/>
            <w:col w:w="3648"/>
          </w:cols>
        </w:sectPr>
      </w:pPr>
    </w:p>
    <w:p w14:paraId="43C89CCA" w14:textId="77777777" w:rsidR="00244B64" w:rsidRDefault="00181077">
      <w:pPr>
        <w:pStyle w:val="berschrift1"/>
        <w:tabs>
          <w:tab w:val="left" w:pos="3683"/>
          <w:tab w:val="left" w:pos="7255"/>
        </w:tabs>
        <w:spacing w:line="200" w:lineRule="atLeast"/>
      </w:pPr>
      <w:r>
        <w:rPr>
          <w:position w:val="6"/>
        </w:rPr>
      </w:r>
      <w:r>
        <w:rPr>
          <w:position w:val="6"/>
        </w:rPr>
        <w:pict w14:anchorId="32149C05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width:160.6pt;height:27.6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02"/>
                    <w:gridCol w:w="626"/>
                    <w:gridCol w:w="583"/>
                  </w:tblGrid>
                  <w:tr w:rsidR="00244B64" w14:paraId="57D82DBD" w14:textId="77777777">
                    <w:trPr>
                      <w:trHeight w:hRule="exact" w:val="141"/>
                    </w:trPr>
                    <w:tc>
                      <w:tcPr>
                        <w:tcW w:w="20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37E5D89" w14:textId="77777777" w:rsidR="00244B64" w:rsidRDefault="00181077">
                        <w:pPr>
                          <w:spacing w:line="141" w:lineRule="exact"/>
                          <w:ind w:left="55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 w:hAnsi="Theinhardt Bold"/>
                            <w:b/>
                            <w:color w:val="231F20"/>
                            <w:spacing w:val="1"/>
                            <w:sz w:val="14"/>
                          </w:rPr>
                          <w:t>Alimentation</w:t>
                        </w:r>
                        <w:r>
                          <w:rPr>
                            <w:rFonts w:ascii="Theinhardt Bold" w:hAnsi="Theinhardt Bold"/>
                            <w:b/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heinhardt Bold" w:hAnsi="Theinhardt Bold"/>
                            <w:b/>
                            <w:color w:val="231F20"/>
                            <w:spacing w:val="1"/>
                            <w:sz w:val="14"/>
                          </w:rPr>
                          <w:t>énergetique:</w:t>
                        </w:r>
                      </w:p>
                    </w:tc>
                    <w:tc>
                      <w:tcPr>
                        <w:tcW w:w="6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1D74030" w14:textId="77777777" w:rsidR="00244B64" w:rsidRDefault="00181077">
                        <w:pPr>
                          <w:spacing w:line="141" w:lineRule="exact"/>
                          <w:ind w:left="224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-1"/>
                            <w:sz w:val="14"/>
                          </w:rPr>
                          <w:t>169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9C64F2C" w14:textId="77777777" w:rsidR="00244B64" w:rsidRDefault="00181077">
                        <w:pPr>
                          <w:spacing w:line="141" w:lineRule="exact"/>
                          <w:ind w:left="153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 w:eastAsia="Theinhardt Bold" w:hAnsi="Theinhardt Bold" w:cs="Theinhardt Bold"/>
                            <w:b/>
                            <w:bCs/>
                            <w:color w:val="231F20"/>
                            <w:spacing w:val="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rFonts w:ascii="Theinhardt Bold" w:eastAsia="Theinhardt Bold" w:hAnsi="Theinhardt Bold" w:cs="Theinhardt Bold"/>
                            <w:b/>
                            <w:bCs/>
                            <w:color w:val="231F20"/>
                            <w:spacing w:val="-7"/>
                            <w:sz w:val="14"/>
                            <w:szCs w:val="14"/>
                          </w:rPr>
                          <w:t>’</w:t>
                        </w:r>
                        <w:r>
                          <w:rPr>
                            <w:rFonts w:ascii="Theinhardt Bold" w:eastAsia="Theinhardt Bold" w:hAnsi="Theinhardt Bold" w:cs="Theinhardt Bold"/>
                            <w:b/>
                            <w:bCs/>
                            <w:color w:val="231F20"/>
                            <w:spacing w:val="4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rFonts w:ascii="Theinhardt Bold" w:eastAsia="Theinhardt Bold" w:hAnsi="Theinhardt Bold" w:cs="Theinhardt Bold"/>
                            <w:b/>
                            <w:bCs/>
                            <w:color w:val="231F20"/>
                            <w:spacing w:val="1"/>
                            <w:sz w:val="14"/>
                            <w:szCs w:val="14"/>
                          </w:rPr>
                          <w:t>35</w:t>
                        </w:r>
                      </w:p>
                    </w:tc>
                  </w:tr>
                  <w:tr w:rsidR="00244B64" w14:paraId="2F3F60DF" w14:textId="77777777">
                    <w:trPr>
                      <w:trHeight w:hRule="exact" w:val="159"/>
                    </w:trPr>
                    <w:tc>
                      <w:tcPr>
                        <w:tcW w:w="20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B5F94F0" w14:textId="77777777" w:rsidR="00244B64" w:rsidRDefault="00181077">
                        <w:pPr>
                          <w:spacing w:line="159" w:lineRule="exact"/>
                          <w:ind w:left="55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hAnsi="Theinhardt Regular"/>
                            <w:color w:val="231F20"/>
                            <w:sz w:val="14"/>
                          </w:rPr>
                          <w:t xml:space="preserve">Total </w:t>
                        </w:r>
                        <w:r>
                          <w:rPr>
                            <w:rFonts w:ascii="Theinhardt Regular" w:hAnsi="Theinhardt Regular"/>
                            <w:color w:val="231F20"/>
                            <w:spacing w:val="1"/>
                            <w:sz w:val="14"/>
                          </w:rPr>
                          <w:t>besoins</w:t>
                        </w:r>
                        <w:r>
                          <w:rPr>
                            <w:rFonts w:ascii="Theinhardt Regular" w:hAnsi="Theinhardt Regular"/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heinhardt Regular" w:hAnsi="Theinhardt Regular"/>
                            <w:color w:val="231F20"/>
                            <w:spacing w:val="1"/>
                            <w:sz w:val="14"/>
                          </w:rPr>
                          <w:t>énerg.:</w:t>
                        </w:r>
                      </w:p>
                    </w:tc>
                    <w:tc>
                      <w:tcPr>
                        <w:tcW w:w="6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CE17688" w14:textId="77777777" w:rsidR="00244B64" w:rsidRDefault="00181077">
                        <w:pPr>
                          <w:spacing w:line="159" w:lineRule="exact"/>
                          <w:ind w:left="224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100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08D13DA" w14:textId="77777777" w:rsidR="00244B64" w:rsidRDefault="00181077">
                        <w:pPr>
                          <w:spacing w:line="159" w:lineRule="exact"/>
                          <w:ind w:left="159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eastAsia="Theinhardt Regular" w:hAnsi="Theinhardt Regular" w:cs="Theinhardt Regular"/>
                            <w:color w:val="231F20"/>
                            <w:spacing w:val="-1"/>
                            <w:sz w:val="14"/>
                            <w:szCs w:val="14"/>
                          </w:rPr>
                          <w:t>4’967</w:t>
                        </w:r>
                      </w:p>
                    </w:tc>
                  </w:tr>
                  <w:tr w:rsidR="00244B64" w14:paraId="3995C711" w14:textId="77777777">
                    <w:trPr>
                      <w:trHeight w:hRule="exact" w:val="252"/>
                    </w:trPr>
                    <w:tc>
                      <w:tcPr>
                        <w:tcW w:w="20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D741A36" w14:textId="77777777" w:rsidR="00244B64" w:rsidRDefault="00181077">
                        <w:pPr>
                          <w:spacing w:line="165" w:lineRule="exact"/>
                          <w:ind w:left="55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hAnsi="Theinhardt Regular"/>
                            <w:color w:val="231F20"/>
                            <w:spacing w:val="1"/>
                            <w:sz w:val="14"/>
                          </w:rPr>
                          <w:t>Surplus</w:t>
                        </w:r>
                        <w:r>
                          <w:rPr>
                            <w:rFonts w:ascii="Theinhardt Regular" w:hAnsi="Theinhardt Regular"/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heinhardt Regular" w:hAnsi="Theinhardt Regular"/>
                            <w:color w:val="231F20"/>
                            <w:spacing w:val="1"/>
                            <w:sz w:val="14"/>
                          </w:rPr>
                          <w:t>d'électricité</w:t>
                        </w:r>
                        <w:r>
                          <w:rPr>
                            <w:rFonts w:ascii="Theinhardt Regular" w:hAnsi="Theinhardt Regular"/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heinhardt Regular" w:hAnsi="Theinhardt Regular"/>
                            <w:color w:val="231F20"/>
                            <w:spacing w:val="1"/>
                            <w:sz w:val="14"/>
                          </w:rPr>
                          <w:t>solaire:</w:t>
                        </w:r>
                      </w:p>
                    </w:tc>
                    <w:tc>
                      <w:tcPr>
                        <w:tcW w:w="6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A1E633B" w14:textId="77777777" w:rsidR="00244B64" w:rsidRDefault="00181077">
                        <w:pPr>
                          <w:spacing w:line="165" w:lineRule="exact"/>
                          <w:ind w:left="304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1"/>
                            <w:sz w:val="14"/>
                          </w:rPr>
                          <w:t>69</w:t>
                        </w:r>
                      </w:p>
                    </w:tc>
                    <w:tc>
                      <w:tcPr>
                        <w:tcW w:w="58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AD1B190" w14:textId="77777777" w:rsidR="00244B64" w:rsidRDefault="00181077">
                        <w:pPr>
                          <w:spacing w:line="165" w:lineRule="exact"/>
                          <w:ind w:left="153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 w:eastAsia="Theinhardt Bold" w:hAnsi="Theinhardt Bold" w:cs="Theinhardt Bold"/>
                            <w:b/>
                            <w:bCs/>
                            <w:color w:val="231F20"/>
                            <w:spacing w:val="1"/>
                            <w:sz w:val="14"/>
                            <w:szCs w:val="14"/>
                          </w:rPr>
                          <w:t>3</w:t>
                        </w:r>
                        <w:r>
                          <w:rPr>
                            <w:rFonts w:ascii="Theinhardt Bold" w:eastAsia="Theinhardt Bold" w:hAnsi="Theinhardt Bold" w:cs="Theinhardt Bold"/>
                            <w:b/>
                            <w:bCs/>
                            <w:color w:val="231F20"/>
                            <w:spacing w:val="-7"/>
                            <w:sz w:val="14"/>
                            <w:szCs w:val="14"/>
                          </w:rPr>
                          <w:t>’</w:t>
                        </w:r>
                        <w:r>
                          <w:rPr>
                            <w:rFonts w:ascii="Theinhardt Bold" w:eastAsia="Theinhardt Bold" w:hAnsi="Theinhardt Bold" w:cs="Theinhardt Bold"/>
                            <w:b/>
                            <w:bCs/>
                            <w:color w:val="231F20"/>
                            <w:spacing w:val="3"/>
                            <w:sz w:val="14"/>
                            <w:szCs w:val="14"/>
                          </w:rPr>
                          <w:t>46</w:t>
                        </w:r>
                        <w:r>
                          <w:rPr>
                            <w:rFonts w:ascii="Theinhardt Bold" w:eastAsia="Theinhardt Bold" w:hAnsi="Theinhardt Bold" w:cs="Theinhardt Bold"/>
                            <w:b/>
                            <w:bCs/>
                            <w:color w:val="231F20"/>
                            <w:sz w:val="14"/>
                            <w:szCs w:val="14"/>
                          </w:rPr>
                          <w:t>8</w:t>
                        </w:r>
                      </w:p>
                    </w:tc>
                  </w:tr>
                </w:tbl>
                <w:p w14:paraId="4202A447" w14:textId="77777777" w:rsidR="00244B64" w:rsidRDefault="00244B64"/>
              </w:txbxContent>
            </v:textbox>
          </v:shape>
        </w:pict>
      </w:r>
      <w:r>
        <w:rPr>
          <w:position w:val="6"/>
        </w:rPr>
        <w:tab/>
      </w:r>
      <w:r>
        <w:pict w14:anchorId="6101BCE2">
          <v:shape id="_x0000_s1027" type="#_x0000_t202" style="width:160.5pt;height:30.4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02"/>
                    <w:gridCol w:w="628"/>
                    <w:gridCol w:w="580"/>
                  </w:tblGrid>
                  <w:tr w:rsidR="00244B64" w14:paraId="22EEC181" w14:textId="77777777">
                    <w:trPr>
                      <w:trHeight w:hRule="exact" w:val="198"/>
                    </w:trPr>
                    <w:tc>
                      <w:tcPr>
                        <w:tcW w:w="20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1DB2B9B" w14:textId="77777777" w:rsidR="00244B64" w:rsidRDefault="00181077">
                        <w:pPr>
                          <w:spacing w:before="17" w:line="181" w:lineRule="exact"/>
                          <w:ind w:left="55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 w:hAnsi="Theinhardt Bold"/>
                            <w:b/>
                            <w:color w:val="231F20"/>
                            <w:spacing w:val="1"/>
                            <w:sz w:val="14"/>
                          </w:rPr>
                          <w:t>Alimentation</w:t>
                        </w:r>
                        <w:r>
                          <w:rPr>
                            <w:rFonts w:ascii="Theinhardt Bold" w:hAnsi="Theinhardt Bold"/>
                            <w:b/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heinhardt Bold" w:hAnsi="Theinhardt Bold"/>
                            <w:b/>
                            <w:color w:val="231F20"/>
                            <w:spacing w:val="1"/>
                            <w:sz w:val="14"/>
                          </w:rPr>
                          <w:t>énergetique:</w:t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0248E49" w14:textId="77777777" w:rsidR="00244B64" w:rsidRDefault="00181077">
                        <w:pPr>
                          <w:spacing w:before="17" w:line="181" w:lineRule="exact"/>
                          <w:ind w:left="224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z w:val="14"/>
                          </w:rPr>
                          <w:t>190</w:t>
                        </w:r>
                      </w:p>
                    </w:tc>
                    <w:tc>
                      <w:tcPr>
                        <w:tcW w:w="5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5734A1B" w14:textId="77777777" w:rsidR="00244B64" w:rsidRDefault="00181077">
                        <w:pPr>
                          <w:spacing w:before="17" w:line="181" w:lineRule="exact"/>
                          <w:ind w:left="154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 w:eastAsia="Theinhardt Bold" w:hAnsi="Theinhardt Bold" w:cs="Theinhardt Bold"/>
                            <w:b/>
                            <w:bCs/>
                            <w:color w:val="231F20"/>
                            <w:spacing w:val="-2"/>
                            <w:sz w:val="14"/>
                            <w:szCs w:val="14"/>
                          </w:rPr>
                          <w:t>9’316</w:t>
                        </w:r>
                      </w:p>
                    </w:tc>
                  </w:tr>
                  <w:tr w:rsidR="00244B64" w14:paraId="6FD41B1C" w14:textId="77777777">
                    <w:trPr>
                      <w:trHeight w:hRule="exact" w:val="159"/>
                    </w:trPr>
                    <w:tc>
                      <w:tcPr>
                        <w:tcW w:w="20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C824795" w14:textId="77777777" w:rsidR="00244B64" w:rsidRDefault="00181077">
                        <w:pPr>
                          <w:spacing w:line="159" w:lineRule="exact"/>
                          <w:ind w:left="55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hAnsi="Theinhardt Regular"/>
                            <w:color w:val="231F20"/>
                            <w:sz w:val="14"/>
                          </w:rPr>
                          <w:t xml:space="preserve">Total </w:t>
                        </w:r>
                        <w:r>
                          <w:rPr>
                            <w:rFonts w:ascii="Theinhardt Regular" w:hAnsi="Theinhardt Regular"/>
                            <w:color w:val="231F20"/>
                            <w:spacing w:val="1"/>
                            <w:sz w:val="14"/>
                          </w:rPr>
                          <w:t>besoins</w:t>
                        </w:r>
                        <w:r>
                          <w:rPr>
                            <w:rFonts w:ascii="Theinhardt Regular" w:hAnsi="Theinhardt Regular"/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heinhardt Regular" w:hAnsi="Theinhardt Regular"/>
                            <w:color w:val="231F20"/>
                            <w:spacing w:val="1"/>
                            <w:sz w:val="14"/>
                          </w:rPr>
                          <w:t>énerg.:</w:t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D00F12C" w14:textId="77777777" w:rsidR="00244B64" w:rsidRDefault="00181077">
                        <w:pPr>
                          <w:spacing w:line="159" w:lineRule="exact"/>
                          <w:ind w:left="225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100</w:t>
                        </w:r>
                      </w:p>
                    </w:tc>
                    <w:tc>
                      <w:tcPr>
                        <w:tcW w:w="5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8312137" w14:textId="77777777" w:rsidR="00244B64" w:rsidRDefault="00181077">
                        <w:pPr>
                          <w:spacing w:line="159" w:lineRule="exact"/>
                          <w:ind w:left="157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eastAsia="Theinhardt Regular" w:hAnsi="Theinhardt Regular" w:cs="Theinhardt Regular"/>
                            <w:color w:val="231F20"/>
                            <w:spacing w:val="-1"/>
                            <w:sz w:val="14"/>
                            <w:szCs w:val="14"/>
                          </w:rPr>
                          <w:t>4’898</w:t>
                        </w:r>
                      </w:p>
                    </w:tc>
                  </w:tr>
                  <w:tr w:rsidR="00244B64" w14:paraId="7D6D4AEB" w14:textId="77777777">
                    <w:trPr>
                      <w:trHeight w:hRule="exact" w:val="252"/>
                    </w:trPr>
                    <w:tc>
                      <w:tcPr>
                        <w:tcW w:w="20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7210319" w14:textId="77777777" w:rsidR="00244B64" w:rsidRDefault="00181077">
                        <w:pPr>
                          <w:spacing w:line="165" w:lineRule="exact"/>
                          <w:ind w:left="55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hAnsi="Theinhardt Regular"/>
                            <w:color w:val="231F20"/>
                            <w:spacing w:val="1"/>
                            <w:sz w:val="14"/>
                          </w:rPr>
                          <w:t>Surplus</w:t>
                        </w:r>
                        <w:r>
                          <w:rPr>
                            <w:rFonts w:ascii="Theinhardt Regular" w:hAnsi="Theinhardt Regular"/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heinhardt Regular" w:hAnsi="Theinhardt Regular"/>
                            <w:color w:val="231F20"/>
                            <w:spacing w:val="1"/>
                            <w:sz w:val="14"/>
                          </w:rPr>
                          <w:t>d'électricité</w:t>
                        </w:r>
                        <w:r>
                          <w:rPr>
                            <w:rFonts w:ascii="Theinhardt Regular" w:hAnsi="Theinhardt Regular"/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heinhardt Regular" w:hAnsi="Theinhardt Regular"/>
                            <w:color w:val="231F20"/>
                            <w:spacing w:val="1"/>
                            <w:sz w:val="14"/>
                          </w:rPr>
                          <w:t>solaire:</w:t>
                        </w:r>
                      </w:p>
                    </w:tc>
                    <w:tc>
                      <w:tcPr>
                        <w:tcW w:w="62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880AEBA" w14:textId="77777777" w:rsidR="00244B64" w:rsidRDefault="00181077">
                        <w:pPr>
                          <w:spacing w:line="165" w:lineRule="exact"/>
                          <w:ind w:left="304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1"/>
                            <w:sz w:val="14"/>
                          </w:rPr>
                          <w:t>90</w:t>
                        </w:r>
                      </w:p>
                    </w:tc>
                    <w:tc>
                      <w:tcPr>
                        <w:tcW w:w="5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4BBBC47A" w14:textId="77777777" w:rsidR="00244B64" w:rsidRDefault="00181077">
                        <w:pPr>
                          <w:spacing w:line="165" w:lineRule="exact"/>
                          <w:ind w:left="168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 w:eastAsia="Theinhardt Bold" w:hAnsi="Theinhardt Bold" w:cs="Theinhardt Bold"/>
                            <w:b/>
                            <w:bCs/>
                            <w:color w:val="231F20"/>
                            <w:spacing w:val="-4"/>
                            <w:sz w:val="14"/>
                            <w:szCs w:val="14"/>
                          </w:rPr>
                          <w:t>4’418</w:t>
                        </w:r>
                      </w:p>
                    </w:tc>
                  </w:tr>
                </w:tbl>
                <w:p w14:paraId="64E007F7" w14:textId="77777777" w:rsidR="00244B64" w:rsidRDefault="00244B64"/>
              </w:txbxContent>
            </v:textbox>
          </v:shape>
        </w:pict>
      </w:r>
      <w:r>
        <w:tab/>
      </w:r>
      <w:r>
        <w:rPr>
          <w:position w:val="6"/>
        </w:rPr>
      </w:r>
      <w:r>
        <w:rPr>
          <w:position w:val="6"/>
        </w:rPr>
        <w:pict w14:anchorId="24E5B366">
          <v:shape id="_x0000_s1026" type="#_x0000_t202" style="width:160.65pt;height:27.6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02"/>
                    <w:gridCol w:w="623"/>
                    <w:gridCol w:w="587"/>
                  </w:tblGrid>
                  <w:tr w:rsidR="00244B64" w14:paraId="145DF74C" w14:textId="77777777">
                    <w:trPr>
                      <w:trHeight w:hRule="exact" w:val="141"/>
                    </w:trPr>
                    <w:tc>
                      <w:tcPr>
                        <w:tcW w:w="20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5B3F3FD" w14:textId="77777777" w:rsidR="00244B64" w:rsidRDefault="00181077">
                        <w:pPr>
                          <w:spacing w:line="141" w:lineRule="exact"/>
                          <w:ind w:left="55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 w:hAnsi="Theinhardt Bold"/>
                            <w:b/>
                            <w:color w:val="231F20"/>
                            <w:spacing w:val="1"/>
                            <w:sz w:val="14"/>
                          </w:rPr>
                          <w:t>Alimentation</w:t>
                        </w:r>
                        <w:r>
                          <w:rPr>
                            <w:rFonts w:ascii="Theinhardt Bold" w:hAnsi="Theinhardt Bold"/>
                            <w:b/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heinhardt Bold" w:hAnsi="Theinhardt Bold"/>
                            <w:b/>
                            <w:color w:val="231F20"/>
                            <w:spacing w:val="1"/>
                            <w:sz w:val="14"/>
                          </w:rPr>
                          <w:t>énergetique: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3A3F3D2" w14:textId="77777777" w:rsidR="00244B64" w:rsidRDefault="00181077">
                        <w:pPr>
                          <w:spacing w:line="141" w:lineRule="exact"/>
                          <w:ind w:left="226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-1"/>
                            <w:sz w:val="14"/>
                          </w:rPr>
                          <w:t>140</w:t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3CDAC75" w14:textId="77777777" w:rsidR="00244B64" w:rsidRDefault="00181077">
                        <w:pPr>
                          <w:spacing w:line="141" w:lineRule="exact"/>
                          <w:ind w:left="149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 w:eastAsia="Theinhardt Bold" w:hAnsi="Theinhardt Bold" w:cs="Theinhardt Bold"/>
                            <w:b/>
                            <w:bCs/>
                            <w:color w:val="231F20"/>
                            <w:spacing w:val="1"/>
                            <w:sz w:val="14"/>
                            <w:szCs w:val="14"/>
                          </w:rPr>
                          <w:t>8’538</w:t>
                        </w:r>
                      </w:p>
                    </w:tc>
                  </w:tr>
                  <w:tr w:rsidR="00244B64" w14:paraId="5BAA2228" w14:textId="77777777">
                    <w:trPr>
                      <w:trHeight w:hRule="exact" w:val="159"/>
                    </w:trPr>
                    <w:tc>
                      <w:tcPr>
                        <w:tcW w:w="20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3E4DC92" w14:textId="77777777" w:rsidR="00244B64" w:rsidRDefault="00181077">
                        <w:pPr>
                          <w:spacing w:line="159" w:lineRule="exact"/>
                          <w:ind w:left="55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hAnsi="Theinhardt Regular"/>
                            <w:color w:val="231F20"/>
                            <w:sz w:val="14"/>
                          </w:rPr>
                          <w:t xml:space="preserve">Total </w:t>
                        </w:r>
                        <w:r>
                          <w:rPr>
                            <w:rFonts w:ascii="Theinhardt Regular" w:hAnsi="Theinhardt Regular"/>
                            <w:color w:val="231F20"/>
                            <w:spacing w:val="1"/>
                            <w:sz w:val="14"/>
                          </w:rPr>
                          <w:t>besoins</w:t>
                        </w:r>
                        <w:r>
                          <w:rPr>
                            <w:rFonts w:ascii="Theinhardt Regular" w:hAnsi="Theinhardt Regular"/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heinhardt Regular" w:hAnsi="Theinhardt Regular"/>
                            <w:color w:val="231F20"/>
                            <w:spacing w:val="1"/>
                            <w:sz w:val="14"/>
                          </w:rPr>
                          <w:t>énerg.: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DEED58F" w14:textId="77777777" w:rsidR="00244B64" w:rsidRDefault="00181077">
                        <w:pPr>
                          <w:spacing w:line="159" w:lineRule="exact"/>
                          <w:ind w:left="224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/>
                            <w:color w:val="231F20"/>
                            <w:sz w:val="14"/>
                          </w:rPr>
                          <w:t>100</w:t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E83A6FE" w14:textId="77777777" w:rsidR="00244B64" w:rsidRDefault="00181077">
                        <w:pPr>
                          <w:spacing w:line="159" w:lineRule="exact"/>
                          <w:ind w:left="161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eastAsia="Theinhardt Regular" w:hAnsi="Theinhardt Regular" w:cs="Theinhardt Regular"/>
                            <w:color w:val="231F20"/>
                            <w:spacing w:val="-1"/>
                            <w:sz w:val="14"/>
                            <w:szCs w:val="14"/>
                          </w:rPr>
                          <w:t>6’091</w:t>
                        </w:r>
                      </w:p>
                    </w:tc>
                  </w:tr>
                  <w:tr w:rsidR="00244B64" w14:paraId="26E94A42" w14:textId="77777777">
                    <w:trPr>
                      <w:trHeight w:hRule="exact" w:val="252"/>
                    </w:trPr>
                    <w:tc>
                      <w:tcPr>
                        <w:tcW w:w="20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8ED481A" w14:textId="77777777" w:rsidR="00244B64" w:rsidRDefault="00181077">
                        <w:pPr>
                          <w:spacing w:line="165" w:lineRule="exact"/>
                          <w:ind w:left="55"/>
                          <w:rPr>
                            <w:rFonts w:ascii="Theinhardt Regular" w:eastAsia="Theinhardt Regular" w:hAnsi="Theinhardt Regular" w:cs="Theinhardt Regular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Regular" w:hAnsi="Theinhardt Regular"/>
                            <w:color w:val="231F20"/>
                            <w:spacing w:val="1"/>
                            <w:sz w:val="14"/>
                          </w:rPr>
                          <w:t>Surplus</w:t>
                        </w:r>
                        <w:r>
                          <w:rPr>
                            <w:rFonts w:ascii="Theinhardt Regular" w:hAnsi="Theinhardt Regular"/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heinhardt Regular" w:hAnsi="Theinhardt Regular"/>
                            <w:color w:val="231F20"/>
                            <w:spacing w:val="1"/>
                            <w:sz w:val="14"/>
                          </w:rPr>
                          <w:t>d'électricité</w:t>
                        </w:r>
                        <w:r>
                          <w:rPr>
                            <w:rFonts w:ascii="Theinhardt Regular" w:hAnsi="Theinhardt Regular"/>
                            <w:color w:val="231F2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heinhardt Regular" w:hAnsi="Theinhardt Regular"/>
                            <w:color w:val="231F20"/>
                            <w:spacing w:val="1"/>
                            <w:sz w:val="14"/>
                          </w:rPr>
                          <w:t>solaire:</w:t>
                        </w:r>
                      </w:p>
                    </w:tc>
                    <w:tc>
                      <w:tcPr>
                        <w:tcW w:w="6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1F3D2AE" w14:textId="77777777" w:rsidR="00244B64" w:rsidRDefault="00181077">
                        <w:pPr>
                          <w:spacing w:line="165" w:lineRule="exact"/>
                          <w:ind w:left="304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/>
                            <w:b/>
                            <w:color w:val="231F20"/>
                            <w:spacing w:val="1"/>
                            <w:sz w:val="14"/>
                          </w:rPr>
                          <w:t>40</w:t>
                        </w:r>
                      </w:p>
                    </w:tc>
                    <w:tc>
                      <w:tcPr>
                        <w:tcW w:w="5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71E630C1" w14:textId="77777777" w:rsidR="00244B64" w:rsidRDefault="00181077">
                        <w:pPr>
                          <w:spacing w:line="165" w:lineRule="exact"/>
                          <w:ind w:left="159"/>
                          <w:rPr>
                            <w:rFonts w:ascii="Theinhardt Bold" w:eastAsia="Theinhardt Bold" w:hAnsi="Theinhardt Bold" w:cs="Theinhardt Bold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heinhardt Bold" w:eastAsia="Theinhardt Bold" w:hAnsi="Theinhardt Bold" w:cs="Theinhardt Bold"/>
                            <w:b/>
                            <w:bCs/>
                            <w:color w:val="231F20"/>
                            <w:spacing w:val="-1"/>
                            <w:sz w:val="14"/>
                            <w:szCs w:val="14"/>
                          </w:rPr>
                          <w:t>2’447</w:t>
                        </w:r>
                      </w:p>
                    </w:tc>
                  </w:tr>
                </w:tbl>
                <w:p w14:paraId="5ED2A06A" w14:textId="77777777" w:rsidR="00244B64" w:rsidRDefault="00244B64"/>
              </w:txbxContent>
            </v:textbox>
          </v:shape>
        </w:pict>
      </w:r>
    </w:p>
    <w:p w14:paraId="0233C9A7" w14:textId="77777777" w:rsidR="00244B64" w:rsidRDefault="00244B64">
      <w:pPr>
        <w:rPr>
          <w:rFonts w:ascii="Theinhardt Regular" w:eastAsia="Theinhardt Regular" w:hAnsi="Theinhardt Regular" w:cs="Theinhardt Regular"/>
          <w:sz w:val="20"/>
          <w:szCs w:val="20"/>
        </w:rPr>
      </w:pPr>
    </w:p>
    <w:p w14:paraId="17CBBE19" w14:textId="77777777" w:rsidR="00244B64" w:rsidRDefault="00244B64">
      <w:pPr>
        <w:spacing w:before="9"/>
        <w:rPr>
          <w:rFonts w:ascii="Theinhardt Regular" w:eastAsia="Theinhardt Regular" w:hAnsi="Theinhardt Regular" w:cs="Theinhardt Regular"/>
          <w:sz w:val="15"/>
          <w:szCs w:val="15"/>
        </w:rPr>
      </w:pPr>
    </w:p>
    <w:p w14:paraId="7E4881EC" w14:textId="77777777" w:rsidR="00244B64" w:rsidRDefault="00181077">
      <w:pPr>
        <w:pStyle w:val="Textkrper"/>
        <w:spacing w:before="70"/>
      </w:pPr>
      <w:r>
        <w:rPr>
          <w:rFonts w:ascii="Theinhardt Heavy"/>
          <w:b/>
          <w:color w:val="231F20"/>
        </w:rPr>
        <w:t xml:space="preserve">62    </w:t>
      </w:r>
      <w:r>
        <w:rPr>
          <w:rFonts w:ascii="Theinhardt Heavy"/>
          <w:b/>
          <w:color w:val="231F20"/>
          <w:spacing w:val="7"/>
        </w:rPr>
        <w:t xml:space="preserve"> </w:t>
      </w:r>
      <w:r>
        <w:rPr>
          <w:color w:val="231F20"/>
        </w:rPr>
        <w:t xml:space="preserve">|   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Schweizer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Solarpreis</w:t>
      </w:r>
      <w:r>
        <w:rPr>
          <w:color w:val="231F20"/>
        </w:rPr>
        <w:t xml:space="preserve"> 2020  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|   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Prix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Solaire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Suisse</w:t>
      </w:r>
      <w:r>
        <w:rPr>
          <w:color w:val="231F20"/>
        </w:rPr>
        <w:t xml:space="preserve"> 2020</w:t>
      </w:r>
    </w:p>
    <w:p w14:paraId="3EAD3E75" w14:textId="77777777" w:rsidR="00244B64" w:rsidRDefault="00244B64">
      <w:pPr>
        <w:sectPr w:rsidR="00244B64">
          <w:type w:val="continuous"/>
          <w:pgSz w:w="11910" w:h="16840"/>
          <w:pgMar w:top="840" w:right="720" w:bottom="280" w:left="400" w:header="720" w:footer="720" w:gutter="0"/>
          <w:cols w:space="720"/>
        </w:sectPr>
      </w:pPr>
    </w:p>
    <w:p w14:paraId="1741F4EF" w14:textId="77777777" w:rsidR="00244B64" w:rsidRDefault="00244B64">
      <w:pPr>
        <w:spacing w:before="9"/>
        <w:rPr>
          <w:rFonts w:ascii="Theinhardt Regular" w:eastAsia="Theinhardt Regular" w:hAnsi="Theinhardt Regular" w:cs="Theinhardt Regular"/>
          <w:sz w:val="6"/>
          <w:szCs w:val="6"/>
        </w:rPr>
      </w:pPr>
    </w:p>
    <w:p w14:paraId="585E33EA" w14:textId="77777777" w:rsidR="00244B64" w:rsidRDefault="00181077">
      <w:pPr>
        <w:spacing w:line="200" w:lineRule="atLeast"/>
        <w:ind w:left="112"/>
        <w:rPr>
          <w:rFonts w:ascii="Theinhardt Regular" w:eastAsia="Theinhardt Regular" w:hAnsi="Theinhardt Regular" w:cs="Theinhardt Regular"/>
          <w:sz w:val="20"/>
          <w:szCs w:val="20"/>
        </w:rPr>
      </w:pPr>
      <w:r>
        <w:rPr>
          <w:rFonts w:ascii="Theinhardt Regular" w:eastAsia="Theinhardt Regular" w:hAnsi="Theinhardt Regular" w:cs="Theinhardt Regular"/>
          <w:noProof/>
          <w:sz w:val="20"/>
          <w:szCs w:val="20"/>
        </w:rPr>
        <w:drawing>
          <wp:inline distT="0" distB="0" distL="0" distR="0" wp14:anchorId="1B202121" wp14:editId="3AA3B6FF">
            <wp:extent cx="6662021" cy="3797808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2021" cy="379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A6F9A" w14:textId="77777777" w:rsidR="00244B64" w:rsidRDefault="00181077">
      <w:pPr>
        <w:pStyle w:val="berschrift5"/>
        <w:spacing w:before="15"/>
        <w:ind w:left="112"/>
        <w:rPr>
          <w:b w:val="0"/>
          <w:bCs w:val="0"/>
        </w:rPr>
      </w:pPr>
      <w:r>
        <w:rPr>
          <w:color w:val="231F20"/>
        </w:rPr>
        <w:t>1</w:t>
      </w:r>
    </w:p>
    <w:p w14:paraId="12982763" w14:textId="77777777" w:rsidR="00244B64" w:rsidRDefault="00244B64">
      <w:pPr>
        <w:rPr>
          <w:rFonts w:ascii="Theinhardt Bold" w:eastAsia="Theinhardt Bold" w:hAnsi="Theinhardt Bold" w:cs="Theinhardt Bold"/>
          <w:b/>
          <w:bCs/>
          <w:sz w:val="2"/>
          <w:szCs w:val="2"/>
        </w:rPr>
      </w:pPr>
    </w:p>
    <w:p w14:paraId="722BBC88" w14:textId="77777777" w:rsidR="00244B64" w:rsidRDefault="00181077">
      <w:pPr>
        <w:tabs>
          <w:tab w:val="left" w:pos="5469"/>
        </w:tabs>
        <w:spacing w:line="200" w:lineRule="atLeast"/>
        <w:ind w:left="112"/>
        <w:rPr>
          <w:rFonts w:ascii="Theinhardt Bold" w:eastAsia="Theinhardt Bold" w:hAnsi="Theinhardt Bold" w:cs="Theinhardt Bold"/>
          <w:sz w:val="20"/>
          <w:szCs w:val="20"/>
        </w:rPr>
      </w:pPr>
      <w:r>
        <w:rPr>
          <w:rFonts w:ascii="Theinhardt Bold"/>
          <w:noProof/>
          <w:sz w:val="20"/>
        </w:rPr>
        <w:drawing>
          <wp:inline distT="0" distB="0" distL="0" distR="0" wp14:anchorId="35B01D78" wp14:editId="40674D59">
            <wp:extent cx="3260301" cy="2871216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0301" cy="287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einhardt Bold"/>
          <w:sz w:val="20"/>
        </w:rPr>
        <w:tab/>
      </w:r>
      <w:r>
        <w:rPr>
          <w:rFonts w:ascii="Theinhardt Bold"/>
          <w:noProof/>
          <w:position w:val="1"/>
          <w:sz w:val="20"/>
        </w:rPr>
        <w:drawing>
          <wp:inline distT="0" distB="0" distL="0" distR="0" wp14:anchorId="560F377B" wp14:editId="20D055F5">
            <wp:extent cx="3256678" cy="2859024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678" cy="285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C96C2" w14:textId="77777777" w:rsidR="00244B64" w:rsidRDefault="00181077">
      <w:pPr>
        <w:tabs>
          <w:tab w:val="left" w:pos="5469"/>
        </w:tabs>
        <w:spacing w:before="12"/>
        <w:ind w:left="112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/>
          <w:b/>
          <w:color w:val="231F20"/>
          <w:sz w:val="14"/>
        </w:rPr>
        <w:t>2</w:t>
      </w:r>
      <w:r>
        <w:rPr>
          <w:rFonts w:ascii="Theinhardt Bold"/>
          <w:b/>
          <w:color w:val="231F20"/>
          <w:sz w:val="14"/>
        </w:rPr>
        <w:tab/>
        <w:t>3</w:t>
      </w:r>
    </w:p>
    <w:p w14:paraId="196052F1" w14:textId="77777777" w:rsidR="00244B64" w:rsidRDefault="00244B64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1F5A9F73" w14:textId="77777777" w:rsidR="00244B64" w:rsidRDefault="00244B64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72A3C595" w14:textId="77777777" w:rsidR="00244B64" w:rsidRDefault="00244B64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0FDFD7EC" w14:textId="77777777" w:rsidR="00244B64" w:rsidRDefault="00244B64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196B36B4" w14:textId="77777777" w:rsidR="00244B64" w:rsidRDefault="00244B64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411E532F" w14:textId="77777777" w:rsidR="00244B64" w:rsidRDefault="00244B64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436A09F7" w14:textId="77777777" w:rsidR="00244B64" w:rsidRDefault="00244B64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560D250B" w14:textId="77777777" w:rsidR="00244B64" w:rsidRDefault="00244B64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5152E871" w14:textId="77777777" w:rsidR="00244B64" w:rsidRDefault="00244B64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74AC21E5" w14:textId="77777777" w:rsidR="00244B64" w:rsidRDefault="00244B64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0A9D4F26" w14:textId="77777777" w:rsidR="00244B64" w:rsidRDefault="00244B64">
      <w:pPr>
        <w:rPr>
          <w:rFonts w:ascii="Theinhardt Bold" w:eastAsia="Theinhardt Bold" w:hAnsi="Theinhardt Bold" w:cs="Theinhardt Bold"/>
          <w:b/>
          <w:bCs/>
          <w:sz w:val="20"/>
          <w:szCs w:val="20"/>
        </w:rPr>
      </w:pPr>
    </w:p>
    <w:p w14:paraId="4FF20925" w14:textId="77777777" w:rsidR="00244B64" w:rsidRDefault="00244B64">
      <w:pPr>
        <w:spacing w:before="6"/>
        <w:rPr>
          <w:rFonts w:ascii="Theinhardt Bold" w:eastAsia="Theinhardt Bold" w:hAnsi="Theinhardt Bold" w:cs="Theinhardt Bold"/>
          <w:b/>
          <w:bCs/>
        </w:rPr>
      </w:pPr>
    </w:p>
    <w:p w14:paraId="1355ADF4" w14:textId="77777777" w:rsidR="00244B64" w:rsidRDefault="00244B64">
      <w:pPr>
        <w:rPr>
          <w:rFonts w:ascii="Theinhardt Bold" w:eastAsia="Theinhardt Bold" w:hAnsi="Theinhardt Bold" w:cs="Theinhardt Bold"/>
        </w:rPr>
        <w:sectPr w:rsidR="00244B64">
          <w:pgSz w:w="11910" w:h="16840"/>
          <w:pgMar w:top="860" w:right="460" w:bottom="280" w:left="740" w:header="720" w:footer="720" w:gutter="0"/>
          <w:cols w:space="720"/>
        </w:sectPr>
      </w:pPr>
    </w:p>
    <w:p w14:paraId="58FF377D" w14:textId="77777777" w:rsidR="00244B64" w:rsidRDefault="00181077">
      <w:pPr>
        <w:numPr>
          <w:ilvl w:val="0"/>
          <w:numId w:val="1"/>
        </w:numPr>
        <w:tabs>
          <w:tab w:val="left" w:pos="333"/>
        </w:tabs>
        <w:spacing w:before="76" w:line="160" w:lineRule="exact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hAnsi="Theinhardt Bold"/>
          <w:b/>
          <w:color w:val="231F20"/>
          <w:sz w:val="14"/>
        </w:rPr>
        <w:t>Les villas A à F sont toutes des bâtiments à</w:t>
      </w:r>
      <w:r>
        <w:rPr>
          <w:rFonts w:ascii="Theinhardt Bold" w:hAnsi="Theinhardt Bold"/>
          <w:b/>
          <w:color w:val="231F20"/>
          <w:spacing w:val="26"/>
          <w:sz w:val="14"/>
        </w:rPr>
        <w:t xml:space="preserve"> </w:t>
      </w:r>
      <w:r>
        <w:rPr>
          <w:rFonts w:ascii="Theinhardt Bold" w:hAnsi="Theinhardt Bold"/>
          <w:b/>
          <w:color w:val="231F20"/>
          <w:spacing w:val="-1"/>
          <w:sz w:val="14"/>
        </w:rPr>
        <w:t>énergie</w:t>
      </w:r>
      <w:r>
        <w:rPr>
          <w:rFonts w:ascii="Theinhardt Bold" w:hAnsi="Theinhardt Bold"/>
          <w:b/>
          <w:color w:val="231F20"/>
          <w:sz w:val="14"/>
        </w:rPr>
        <w:t xml:space="preserve"> positive </w:t>
      </w:r>
      <w:r>
        <w:rPr>
          <w:rFonts w:ascii="Theinhardt Bold" w:hAnsi="Theinhardt Bold"/>
          <w:b/>
          <w:color w:val="231F20"/>
          <w:spacing w:val="-1"/>
          <w:sz w:val="14"/>
        </w:rPr>
        <w:t>assurant</w:t>
      </w:r>
      <w:r>
        <w:rPr>
          <w:rFonts w:ascii="Theinhardt Bold" w:hAnsi="Theinhardt Bold"/>
          <w:b/>
          <w:color w:val="231F20"/>
          <w:sz w:val="14"/>
        </w:rPr>
        <w:t xml:space="preserve"> une autoproduction </w:t>
      </w:r>
      <w:r>
        <w:rPr>
          <w:rFonts w:ascii="Theinhardt Bold" w:hAnsi="Theinhardt Bold"/>
          <w:b/>
          <w:color w:val="231F20"/>
          <w:spacing w:val="-1"/>
          <w:sz w:val="14"/>
        </w:rPr>
        <w:t>de</w:t>
      </w:r>
      <w:r>
        <w:rPr>
          <w:rFonts w:ascii="Theinhardt Bold" w:hAnsi="Theinhardt Bold"/>
          <w:b/>
          <w:color w:val="231F20"/>
          <w:spacing w:val="42"/>
          <w:sz w:val="14"/>
        </w:rPr>
        <w:t xml:space="preserve"> </w:t>
      </w:r>
      <w:r>
        <w:rPr>
          <w:rFonts w:ascii="Theinhardt Bold" w:hAnsi="Theinhardt Bold"/>
          <w:b/>
          <w:color w:val="231F20"/>
          <w:sz w:val="14"/>
        </w:rPr>
        <w:t>114 à 190%.</w:t>
      </w:r>
    </w:p>
    <w:p w14:paraId="5200AC0C" w14:textId="77777777" w:rsidR="00244B64" w:rsidRDefault="00181077">
      <w:pPr>
        <w:numPr>
          <w:ilvl w:val="0"/>
          <w:numId w:val="1"/>
        </w:numPr>
        <w:tabs>
          <w:tab w:val="left" w:pos="333"/>
          <w:tab w:val="left" w:pos="3677"/>
        </w:tabs>
        <w:spacing w:before="68" w:line="172" w:lineRule="exact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br w:type="column"/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La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villa D avec une autoproduction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190%.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ab/>
        <w:t xml:space="preserve">3   </w:t>
      </w:r>
      <w:r>
        <w:rPr>
          <w:rFonts w:ascii="Theinhardt Bold" w:eastAsia="Theinhardt Bold" w:hAnsi="Theinhardt Bold" w:cs="Theinhardt Bold"/>
          <w:b/>
          <w:bCs/>
          <w:color w:val="231F20"/>
          <w:spacing w:val="4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1"/>
          <w:sz w:val="14"/>
          <w:szCs w:val="14"/>
        </w:rPr>
        <w:t>Des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modules solaires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monocristallins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d’une</w:t>
      </w:r>
    </w:p>
    <w:p w14:paraId="7ED528F0" w14:textId="77777777" w:rsidR="00244B64" w:rsidRDefault="00181077">
      <w:pPr>
        <w:spacing w:before="6" w:line="207" w:lineRule="auto"/>
        <w:ind w:left="3904" w:right="110"/>
        <w:rPr>
          <w:rFonts w:ascii="Theinhardt Bold" w:eastAsia="Theinhardt Bold" w:hAnsi="Theinhardt Bold" w:cs="Theinhardt Bold"/>
          <w:sz w:val="14"/>
          <w:szCs w:val="14"/>
        </w:rPr>
      </w:pP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surface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totale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339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m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position w:val="5"/>
          <w:sz w:val="8"/>
          <w:szCs w:val="8"/>
        </w:rPr>
        <w:t>2</w:t>
      </w:r>
      <w:r>
        <w:rPr>
          <w:rFonts w:ascii="Theinhardt Bold" w:eastAsia="Theinhardt Bold" w:hAnsi="Theinhardt Bold" w:cs="Theinhardt Bold"/>
          <w:b/>
          <w:bCs/>
          <w:color w:val="231F20"/>
          <w:spacing w:val="16"/>
          <w:position w:val="5"/>
          <w:sz w:val="8"/>
          <w:szCs w:val="8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couvrent les 415 m</w:t>
      </w:r>
      <w:r>
        <w:rPr>
          <w:rFonts w:ascii="Theinhardt Bold" w:eastAsia="Theinhardt Bold" w:hAnsi="Theinhardt Bold" w:cs="Theinhardt Bold"/>
          <w:b/>
          <w:bCs/>
          <w:color w:val="231F20"/>
          <w:position w:val="5"/>
          <w:sz w:val="8"/>
          <w:szCs w:val="8"/>
        </w:rPr>
        <w:t xml:space="preserve">2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>des</w:t>
      </w:r>
      <w:r>
        <w:rPr>
          <w:rFonts w:ascii="Theinhardt Bold" w:eastAsia="Theinhardt Bold" w:hAnsi="Theinhardt Bold" w:cs="Theinhardt Bold"/>
          <w:b/>
          <w:bCs/>
          <w:color w:val="231F20"/>
          <w:spacing w:val="28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toits plats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de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six villas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BEP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 et produisent au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total</w:t>
      </w:r>
      <w:r>
        <w:rPr>
          <w:rFonts w:ascii="Theinhardt Bold" w:eastAsia="Theinhardt Bold" w:hAnsi="Theinhardt Bold" w:cs="Theinhardt Bold"/>
          <w:b/>
          <w:bCs/>
          <w:color w:val="231F20"/>
          <w:spacing w:val="29"/>
          <w:sz w:val="14"/>
          <w:szCs w:val="14"/>
        </w:rPr>
        <w:t xml:space="preserve"> </w:t>
      </w:r>
      <w:r>
        <w:rPr>
          <w:rFonts w:ascii="Theinhardt Bold" w:eastAsia="Theinhardt Bold" w:hAnsi="Theinhardt Bold" w:cs="Theinhardt Bold"/>
          <w:b/>
          <w:bCs/>
          <w:color w:val="231F20"/>
          <w:sz w:val="14"/>
          <w:szCs w:val="14"/>
        </w:rPr>
        <w:t xml:space="preserve">54’800 </w:t>
      </w:r>
      <w:r>
        <w:rPr>
          <w:rFonts w:ascii="Theinhardt Bold" w:eastAsia="Theinhardt Bold" w:hAnsi="Theinhardt Bold" w:cs="Theinhardt Bold"/>
          <w:b/>
          <w:bCs/>
          <w:color w:val="231F20"/>
          <w:spacing w:val="-1"/>
          <w:sz w:val="14"/>
          <w:szCs w:val="14"/>
        </w:rPr>
        <w:t>kWh/a.</w:t>
      </w:r>
    </w:p>
    <w:p w14:paraId="5290848F" w14:textId="77777777" w:rsidR="00244B64" w:rsidRDefault="00244B64">
      <w:pPr>
        <w:spacing w:line="207" w:lineRule="auto"/>
        <w:rPr>
          <w:rFonts w:ascii="Theinhardt Bold" w:eastAsia="Theinhardt Bold" w:hAnsi="Theinhardt Bold" w:cs="Theinhardt Bold"/>
          <w:sz w:val="14"/>
          <w:szCs w:val="14"/>
        </w:rPr>
        <w:sectPr w:rsidR="00244B64">
          <w:type w:val="continuous"/>
          <w:pgSz w:w="11910" w:h="16840"/>
          <w:pgMar w:top="840" w:right="460" w:bottom="280" w:left="740" w:header="720" w:footer="720" w:gutter="0"/>
          <w:cols w:num="2" w:space="720" w:equalWidth="0">
            <w:col w:w="3438" w:space="134"/>
            <w:col w:w="7138"/>
          </w:cols>
        </w:sectPr>
      </w:pPr>
    </w:p>
    <w:p w14:paraId="0D3A4814" w14:textId="77777777" w:rsidR="00244B64" w:rsidRDefault="00244B64">
      <w:pPr>
        <w:spacing w:before="12"/>
        <w:rPr>
          <w:rFonts w:ascii="Theinhardt Bold" w:eastAsia="Theinhardt Bold" w:hAnsi="Theinhardt Bold" w:cs="Theinhardt Bold"/>
          <w:b/>
          <w:bCs/>
        </w:rPr>
      </w:pPr>
    </w:p>
    <w:p w14:paraId="0FEBF0D9" w14:textId="77777777" w:rsidR="00244B64" w:rsidRDefault="00181077">
      <w:pPr>
        <w:pStyle w:val="Textkrper"/>
        <w:spacing w:before="70"/>
        <w:ind w:left="6666"/>
        <w:rPr>
          <w:rFonts w:ascii="Theinhardt Heavy" w:eastAsia="Theinhardt Heavy" w:hAnsi="Theinhardt Heavy" w:cs="Theinhardt Heavy"/>
        </w:rPr>
      </w:pPr>
      <w:r>
        <w:rPr>
          <w:color w:val="231F20"/>
          <w:spacing w:val="-1"/>
        </w:rPr>
        <w:t>Schweizer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Solarpreis</w:t>
      </w:r>
      <w:r>
        <w:rPr>
          <w:color w:val="231F20"/>
        </w:rPr>
        <w:t xml:space="preserve"> 2020  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|   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</w:rPr>
        <w:t>Prix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Solaire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Suisse</w:t>
      </w:r>
      <w:r>
        <w:rPr>
          <w:color w:val="231F20"/>
        </w:rPr>
        <w:t xml:space="preserve"> 2020  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 xml:space="preserve">|   </w:t>
      </w:r>
      <w:r>
        <w:rPr>
          <w:color w:val="231F20"/>
          <w:spacing w:val="14"/>
        </w:rPr>
        <w:t xml:space="preserve"> </w:t>
      </w:r>
      <w:r>
        <w:rPr>
          <w:rFonts w:ascii="Theinhardt Heavy"/>
          <w:b/>
          <w:color w:val="231F20"/>
        </w:rPr>
        <w:t>63</w:t>
      </w:r>
    </w:p>
    <w:sectPr w:rsidR="00244B64">
      <w:type w:val="continuous"/>
      <w:pgSz w:w="11910" w:h="16840"/>
      <w:pgMar w:top="840" w:right="46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einhardt Bold">
    <w:panose1 w:val="020B0804020202020204"/>
    <w:charset w:val="00"/>
    <w:family w:val="swiss"/>
    <w:notTrueType/>
    <w:pitch w:val="variable"/>
    <w:sig w:usb0="A00000AF" w:usb1="5000206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einhardt Regular">
    <w:panose1 w:val="020B05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Regular Italic">
    <w:altName w:val="Theinhardt Regular Italic"/>
    <w:panose1 w:val="020B0503020202090204"/>
    <w:charset w:val="00"/>
    <w:family w:val="swiss"/>
    <w:notTrueType/>
    <w:pitch w:val="variable"/>
    <w:sig w:usb0="A00000AF" w:usb1="5000206A" w:usb2="00000000" w:usb3="00000000" w:csb0="00000093" w:csb1="00000000"/>
  </w:font>
  <w:font w:name="Theinhardt Black">
    <w:panose1 w:val="020B0A04020202020204"/>
    <w:charset w:val="00"/>
    <w:family w:val="swiss"/>
    <w:notTrueType/>
    <w:pitch w:val="variable"/>
    <w:sig w:usb0="A00000AF" w:usb1="4000206A" w:usb2="00000000" w:usb3="00000000" w:csb0="00000093" w:csb1="00000000"/>
  </w:font>
  <w:font w:name="Theinhardt Heavy">
    <w:altName w:val="Theinhardt Heavy"/>
    <w:panose1 w:val="020B0903020202020204"/>
    <w:charset w:val="00"/>
    <w:family w:val="swiss"/>
    <w:notTrueType/>
    <w:pitch w:val="variable"/>
    <w:sig w:usb0="A00000AF" w:usb1="5000206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AC0246"/>
    <w:multiLevelType w:val="hybridMultilevel"/>
    <w:tmpl w:val="E688AACE"/>
    <w:lvl w:ilvl="0" w:tplc="170A338E">
      <w:start w:val="1"/>
      <w:numFmt w:val="decimal"/>
      <w:lvlText w:val="%1"/>
      <w:lvlJc w:val="left"/>
      <w:pPr>
        <w:ind w:left="333" w:hanging="227"/>
        <w:jc w:val="left"/>
      </w:pPr>
      <w:rPr>
        <w:rFonts w:ascii="Theinhardt Bold" w:eastAsia="Theinhardt Bold" w:hAnsi="Theinhardt Bold" w:hint="default"/>
        <w:b/>
        <w:bCs/>
        <w:color w:val="231F20"/>
        <w:sz w:val="14"/>
        <w:szCs w:val="14"/>
      </w:rPr>
    </w:lvl>
    <w:lvl w:ilvl="1" w:tplc="41222DF6">
      <w:start w:val="1"/>
      <w:numFmt w:val="bullet"/>
      <w:lvlText w:val="•"/>
      <w:lvlJc w:val="left"/>
      <w:pPr>
        <w:ind w:left="643" w:hanging="227"/>
      </w:pPr>
      <w:rPr>
        <w:rFonts w:hint="default"/>
      </w:rPr>
    </w:lvl>
    <w:lvl w:ilvl="2" w:tplc="99CCC278">
      <w:start w:val="1"/>
      <w:numFmt w:val="bullet"/>
      <w:lvlText w:val="•"/>
      <w:lvlJc w:val="left"/>
      <w:pPr>
        <w:ind w:left="953" w:hanging="227"/>
      </w:pPr>
      <w:rPr>
        <w:rFonts w:hint="default"/>
      </w:rPr>
    </w:lvl>
    <w:lvl w:ilvl="3" w:tplc="140A2144">
      <w:start w:val="1"/>
      <w:numFmt w:val="bullet"/>
      <w:lvlText w:val="•"/>
      <w:lvlJc w:val="left"/>
      <w:pPr>
        <w:ind w:left="1264" w:hanging="227"/>
      </w:pPr>
      <w:rPr>
        <w:rFonts w:hint="default"/>
      </w:rPr>
    </w:lvl>
    <w:lvl w:ilvl="4" w:tplc="7D20C18E">
      <w:start w:val="1"/>
      <w:numFmt w:val="bullet"/>
      <w:lvlText w:val="•"/>
      <w:lvlJc w:val="left"/>
      <w:pPr>
        <w:ind w:left="1574" w:hanging="227"/>
      </w:pPr>
      <w:rPr>
        <w:rFonts w:hint="default"/>
      </w:rPr>
    </w:lvl>
    <w:lvl w:ilvl="5" w:tplc="0A98D980">
      <w:start w:val="1"/>
      <w:numFmt w:val="bullet"/>
      <w:lvlText w:val="•"/>
      <w:lvlJc w:val="left"/>
      <w:pPr>
        <w:ind w:left="1885" w:hanging="227"/>
      </w:pPr>
      <w:rPr>
        <w:rFonts w:hint="default"/>
      </w:rPr>
    </w:lvl>
    <w:lvl w:ilvl="6" w:tplc="B7F4ADC8">
      <w:start w:val="1"/>
      <w:numFmt w:val="bullet"/>
      <w:lvlText w:val="•"/>
      <w:lvlJc w:val="left"/>
      <w:pPr>
        <w:ind w:left="2195" w:hanging="227"/>
      </w:pPr>
      <w:rPr>
        <w:rFonts w:hint="default"/>
      </w:rPr>
    </w:lvl>
    <w:lvl w:ilvl="7" w:tplc="4D9A8FF2">
      <w:start w:val="1"/>
      <w:numFmt w:val="bullet"/>
      <w:lvlText w:val="•"/>
      <w:lvlJc w:val="left"/>
      <w:pPr>
        <w:ind w:left="2506" w:hanging="227"/>
      </w:pPr>
      <w:rPr>
        <w:rFonts w:hint="default"/>
      </w:rPr>
    </w:lvl>
    <w:lvl w:ilvl="8" w:tplc="AEF81554">
      <w:start w:val="1"/>
      <w:numFmt w:val="bullet"/>
      <w:lvlText w:val="•"/>
      <w:lvlJc w:val="left"/>
      <w:pPr>
        <w:ind w:left="2816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4B64"/>
    <w:rsid w:val="00181077"/>
    <w:rsid w:val="00244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2"/>
    <o:shapelayout v:ext="edit">
      <o:idmap v:ext="edit" data="1"/>
    </o:shapelayout>
  </w:shapeDefaults>
  <w:decimalSymbol w:val="."/>
  <w:listSeparator w:val=";"/>
  <w14:docId w14:val="783C9A47"/>
  <w15:docId w15:val="{67A5EBD0-33C4-4BAB-B770-AF4600311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uiPriority w:val="9"/>
    <w:qFormat/>
    <w:pPr>
      <w:ind w:left="111"/>
      <w:outlineLvl w:val="0"/>
    </w:pPr>
    <w:rPr>
      <w:rFonts w:ascii="Theinhardt Regular" w:eastAsia="Theinhardt Regular" w:hAnsi="Theinhardt Regular"/>
      <w:sz w:val="20"/>
      <w:szCs w:val="20"/>
    </w:rPr>
  </w:style>
  <w:style w:type="paragraph" w:styleId="berschrift2">
    <w:name w:val="heading 2"/>
    <w:basedOn w:val="Standard"/>
    <w:uiPriority w:val="9"/>
    <w:unhideWhenUsed/>
    <w:qFormat/>
    <w:pPr>
      <w:spacing w:before="28"/>
      <w:ind w:left="166"/>
      <w:outlineLvl w:val="1"/>
    </w:pPr>
    <w:rPr>
      <w:rFonts w:ascii="Theinhardt Bold" w:eastAsia="Theinhardt Bold" w:hAnsi="Theinhardt Bold"/>
      <w:b/>
      <w:bCs/>
      <w:sz w:val="18"/>
      <w:szCs w:val="18"/>
    </w:rPr>
  </w:style>
  <w:style w:type="paragraph" w:styleId="berschrift3">
    <w:name w:val="heading 3"/>
    <w:basedOn w:val="Standard"/>
    <w:uiPriority w:val="9"/>
    <w:unhideWhenUsed/>
    <w:qFormat/>
    <w:pPr>
      <w:ind w:left="166"/>
      <w:outlineLvl w:val="2"/>
    </w:pPr>
    <w:rPr>
      <w:rFonts w:ascii="Theinhardt Regular" w:eastAsia="Theinhardt Regular" w:hAnsi="Theinhardt Regular"/>
      <w:sz w:val="18"/>
      <w:szCs w:val="18"/>
    </w:rPr>
  </w:style>
  <w:style w:type="paragraph" w:styleId="berschrift4">
    <w:name w:val="heading 4"/>
    <w:basedOn w:val="Standard"/>
    <w:uiPriority w:val="9"/>
    <w:unhideWhenUsed/>
    <w:qFormat/>
    <w:pPr>
      <w:ind w:left="166"/>
      <w:outlineLvl w:val="3"/>
    </w:pPr>
    <w:rPr>
      <w:rFonts w:ascii="Theinhardt Regular Italic" w:eastAsia="Theinhardt Regular Italic" w:hAnsi="Theinhardt Regular Italic"/>
      <w:i/>
      <w:sz w:val="18"/>
      <w:szCs w:val="18"/>
    </w:rPr>
  </w:style>
  <w:style w:type="paragraph" w:styleId="berschrift5">
    <w:name w:val="heading 5"/>
    <w:basedOn w:val="Standard"/>
    <w:uiPriority w:val="9"/>
    <w:unhideWhenUsed/>
    <w:qFormat/>
    <w:pPr>
      <w:spacing w:before="67"/>
      <w:ind w:left="166"/>
      <w:outlineLvl w:val="4"/>
    </w:pPr>
    <w:rPr>
      <w:rFonts w:ascii="Theinhardt Bold" w:eastAsia="Theinhardt Bold" w:hAnsi="Theinhardt Bold"/>
      <w:b/>
      <w:bCs/>
      <w:sz w:val="14"/>
      <w:szCs w:val="1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66"/>
    </w:pPr>
    <w:rPr>
      <w:rFonts w:ascii="Theinhardt Regular" w:eastAsia="Theinhardt Regular" w:hAnsi="Theinhardt Regular"/>
      <w:sz w:val="14"/>
      <w:szCs w:val="1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kilian.thonney@electrosol.ch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ebastien.bouvet@homsphere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841</Words>
  <Characters>5304</Characters>
  <Application>Microsoft Office Word</Application>
  <DocSecurity>0</DocSecurity>
  <Lines>44</Lines>
  <Paragraphs>12</Paragraphs>
  <ScaleCrop>false</ScaleCrop>
  <Company/>
  <LinksUpToDate>false</LinksUpToDate>
  <CharactersWithSpaces>6133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SGS</cp:lastModifiedBy>
  <cp:revision>2</cp:revision>
  <dcterms:created xsi:type="dcterms:W3CDTF">2020-10-07T11:50:00Z</dcterms:created>
  <dcterms:modified xsi:type="dcterms:W3CDTF">2020-10-07T09:51:00Z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2020-10-07T00:00:00Z</vt:filetime>
  </property>
  <property fmtid="{D5CDD505-2E9C-101B-9397-08002B2CF9AE}" pid="3" name="LastSaved">
    <vt:filetime>2020-10-07T00:00:00Z</vt:filetime>
  </property>
</Properties>
</file>