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6" w:val="left" w:leader="none"/>
        </w:tabs>
        <w:spacing w:line="230" w:lineRule="exact" w:before="28"/>
        <w:ind w:left="10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559pt;margin-top:13.647326pt;width:.1pt;height:.1pt;mso-position-horizontal-relative:page;mso-position-vertical-relative:paragraph;z-index:-7048" coordorigin="571,273" coordsize="2,2">
            <v:shape style="position:absolute;left:571;top:273;width:2;height:2" coordorigin="571,273" coordsize="0,0" path="m571,273l571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647326pt;width:.1pt;height:.1pt;mso-position-horizontal-relative:page;mso-position-vertical-relative:paragraph;z-index:1120" coordorigin="3015,273" coordsize="2,2">
            <v:shape style="position:absolute;left:3015;top:273;width:2;height:2" coordorigin="3015,273" coordsize="0,0" path="m3015,273l3015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28.559pt;margin-top:25.147326pt;width:.1pt;height:.1pt;mso-position-horizontal-relative:page;mso-position-vertical-relative:paragraph;z-index:-7000" coordorigin="571,503" coordsize="2,2">
            <v:shape style="position:absolute;left:571;top:503;width:2;height:2" coordorigin="571,503" coordsize="0,0" path="m571,503l571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1995pt;margin-top:25.147326pt;width:.1pt;height:.1pt;mso-position-horizontal-relative:page;mso-position-vertical-relative:paragraph;z-index:1168" coordorigin="3015,503" coordsize="2,2">
            <v:shape style="position:absolute;left:3015;top:503;width:2;height:2" coordorigin="3015,503" coordsize="0,0" path="m3015,503l3015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shape style="position:absolute;margin-left:28.347pt;margin-top:52.976925pt;width:82.204400pt;height:60.2048pt;mso-position-horizontal-relative:page;mso-position-vertical-relative:paragraph;z-index:1192" type="#_x0000_t75" stroked="false">
            <v:imagedata r:id="rId5" o:title=""/>
          </v:shape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2020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28"/>
        <w:ind w:left="106" w:right="107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Werkhof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Chlaffenthal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Neuhausen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am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Rheinfall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wird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seit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Frühling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2019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eigenem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Solarstrom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betrieben.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bisherige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fossile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Energieversorgung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460’000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konnte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pacing w:val="7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knapp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127’000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gesenkt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werden.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installierte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Leistung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4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PV-Anlagen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verschie-</w:t>
      </w:r>
      <w:r>
        <w:rPr>
          <w:rFonts w:ascii="Theinhardt Bold" w:hAnsi="Theinhardt Bold" w:cs="Theinhardt Bold" w:eastAsia="Theinhardt Bold"/>
          <w:b/>
          <w:bCs/>
          <w:color w:val="231F20"/>
          <w:spacing w:val="5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denen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Gebäudedächern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Werkhofs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beträgt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insgesamt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217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kW.</w:t>
      </w:r>
      <w:r>
        <w:rPr>
          <w:rFonts w:ascii="Theinhardt Bold" w:hAnsi="Theinhardt Bold" w:cs="Theinhardt Bold" w:eastAsia="Theinhardt Bold"/>
          <w:b/>
          <w:bCs/>
          <w:color w:val="231F20"/>
          <w:spacing w:val="-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Dies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führt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zu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einem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jährlichen</w:t>
      </w:r>
      <w:r>
        <w:rPr>
          <w:rFonts w:ascii="Theinhardt Bold" w:hAnsi="Theinhardt Bold" w:cs="Theinhardt Bold" w:eastAsia="Theinhardt Bold"/>
          <w:b/>
          <w:bCs/>
          <w:color w:val="231F20"/>
          <w:spacing w:val="4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Stromertrag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210’000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kWh.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Bei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einem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Eigenbedarf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127’000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beträgt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Eigen-</w:t>
      </w:r>
      <w:r>
        <w:rPr>
          <w:rFonts w:ascii="Theinhardt Bold" w:hAnsi="Theinhardt Bold" w:cs="Theinhardt Bold" w:eastAsia="Theinhardt Bold"/>
          <w:b/>
          <w:bCs/>
          <w:color w:val="231F20"/>
          <w:spacing w:val="4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energieversorgungsgrad</w:t>
      </w:r>
      <w:r>
        <w:rPr>
          <w:rFonts w:ascii="Theinhardt Bold" w:hAnsi="Theinhardt Bold" w:cs="Theinhardt Bold" w:eastAsia="Theinhardt Bold"/>
          <w:b/>
          <w:bCs/>
          <w:color w:val="231F20"/>
          <w:spacing w:val="3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165%.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3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jährliche</w:t>
      </w:r>
      <w:r>
        <w:rPr>
          <w:rFonts w:ascii="Theinhardt Bold" w:hAnsi="Theinhardt Bold" w:cs="Theinhardt Bold" w:eastAsia="Theinhardt Bold"/>
          <w:b/>
          <w:bCs/>
          <w:color w:val="231F20"/>
          <w:spacing w:val="3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Solarstromüberschuss</w:t>
      </w:r>
      <w:r>
        <w:rPr>
          <w:rFonts w:ascii="Theinhardt Bold" w:hAnsi="Theinhardt Bold" w:cs="Theinhardt Bold" w:eastAsia="Theinhardt Bold"/>
          <w:b/>
          <w:bCs/>
          <w:color w:val="231F20"/>
          <w:spacing w:val="3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beläuft</w:t>
      </w:r>
      <w:r>
        <w:rPr>
          <w:rFonts w:ascii="Theinhardt Bold" w:hAnsi="Theinhardt Bold" w:cs="Theinhardt Bold" w:eastAsia="Theinhardt Bold"/>
          <w:b/>
          <w:bCs/>
          <w:color w:val="231F20"/>
          <w:spacing w:val="3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sich</w:t>
      </w:r>
      <w:r>
        <w:rPr>
          <w:rFonts w:ascii="Theinhardt Bold" w:hAnsi="Theinhardt Bold" w:cs="Theinhardt Bold" w:eastAsia="Theinhardt Bold"/>
          <w:b/>
          <w:bCs/>
          <w:color w:val="231F20"/>
          <w:spacing w:val="3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pacing w:val="3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82’600</w:t>
      </w:r>
      <w:r>
        <w:rPr>
          <w:rFonts w:ascii="Theinhardt Bold" w:hAnsi="Theinhardt Bold" w:cs="Theinhardt Bold" w:eastAsia="Theinhardt Bold"/>
          <w:b/>
          <w:bCs/>
          <w:color w:val="231F20"/>
          <w:spacing w:val="10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kWh.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Damit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könnten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etwa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¼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Werkfahrzeuge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oder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59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Elektroautos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je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12’000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km</w:t>
      </w:r>
      <w:r>
        <w:rPr>
          <w:rFonts w:ascii="Theinhardt Bold" w:hAnsi="Theinhardt Bold" w:cs="Theinhardt Bold" w:eastAsia="Theinhardt Bold"/>
          <w:b/>
          <w:bCs/>
          <w:color w:val="231F20"/>
          <w:spacing w:val="5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CO</w:t>
      </w:r>
      <w:r>
        <w:rPr>
          <w:rFonts w:ascii="Theinhardt Bold" w:hAnsi="Theinhardt Bold" w:cs="Theinhardt Bold" w:eastAsia="Theinhardt Bold"/>
          <w:b/>
          <w:bCs/>
          <w:color w:val="231F20"/>
          <w:position w:val="-5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-frei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zurücklegen.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6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2"/>
          <w:sz w:val="40"/>
        </w:rPr>
        <w:t>165%-PEB-Werkhofsanierung,</w:t>
      </w:r>
      <w:r>
        <w:rPr>
          <w:rFonts w:ascii="Theinhardt Black"/>
          <w:b/>
          <w:color w:val="0067B1"/>
          <w:spacing w:val="-24"/>
          <w:sz w:val="40"/>
        </w:rPr>
        <w:t> </w:t>
      </w:r>
      <w:r>
        <w:rPr>
          <w:rFonts w:ascii="Theinhardt Black"/>
          <w:b/>
          <w:color w:val="0067B1"/>
          <w:sz w:val="40"/>
        </w:rPr>
        <w:t>8212 </w:t>
      </w:r>
      <w:r>
        <w:rPr>
          <w:rFonts w:ascii="Theinhardt Black"/>
          <w:b/>
          <w:color w:val="0067B1"/>
          <w:spacing w:val="2"/>
          <w:sz w:val="40"/>
        </w:rPr>
        <w:t>Neuhausen/SH</w:t>
      </w:r>
      <w:r>
        <w:rPr>
          <w:rFonts w:ascii="Theinhardt Black"/>
          <w:sz w:val="40"/>
        </w:rPr>
      </w:r>
    </w:p>
    <w:p>
      <w:pPr>
        <w:spacing w:line="240" w:lineRule="auto" w:before="1"/>
        <w:rPr>
          <w:rFonts w:ascii="Theinhardt Black" w:hAnsi="Theinhardt Black" w:cs="Theinhardt Black" w:eastAsia="Theinhardt Black"/>
          <w:b/>
          <w:bCs/>
          <w:sz w:val="22"/>
          <w:szCs w:val="22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2"/>
          <w:szCs w:val="22"/>
        </w:rPr>
        <w:sectPr>
          <w:type w:val="continuous"/>
          <w:pgSz w:w="11910" w:h="16840"/>
          <w:pgMar w:top="840" w:bottom="280" w:left="460" w:right="740"/>
        </w:sectPr>
      </w:pPr>
    </w:p>
    <w:p>
      <w:pPr>
        <w:pStyle w:val="BodyText"/>
        <w:spacing w:line="230" w:lineRule="exact" w:before="74"/>
        <w:ind w:right="8"/>
        <w:jc w:val="both"/>
      </w:pPr>
      <w:r>
        <w:rPr>
          <w:color w:val="231F20"/>
        </w:rPr>
        <w:t>Bei</w:t>
      </w:r>
      <w:r>
        <w:rPr>
          <w:color w:val="231F20"/>
          <w:spacing w:val="36"/>
        </w:rPr>
        <w:t> </w:t>
      </w:r>
      <w:r>
        <w:rPr>
          <w:color w:val="231F20"/>
        </w:rPr>
        <w:t>der</w:t>
      </w:r>
      <w:r>
        <w:rPr>
          <w:color w:val="231F20"/>
          <w:spacing w:val="37"/>
        </w:rPr>
        <w:t> </w:t>
      </w:r>
      <w:r>
        <w:rPr>
          <w:color w:val="231F20"/>
        </w:rPr>
        <w:t>Sanierung</w:t>
      </w:r>
      <w:r>
        <w:rPr>
          <w:color w:val="231F20"/>
          <w:spacing w:val="36"/>
        </w:rPr>
        <w:t> </w:t>
      </w:r>
      <w:r>
        <w:rPr>
          <w:color w:val="231F20"/>
        </w:rPr>
        <w:t>des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Werkhofs</w:t>
      </w:r>
      <w:r>
        <w:rPr>
          <w:color w:val="231F20"/>
          <w:spacing w:val="37"/>
        </w:rPr>
        <w:t> </w:t>
      </w:r>
      <w:r>
        <w:rPr>
          <w:color w:val="231F20"/>
        </w:rPr>
        <w:t>der</w:t>
      </w:r>
      <w:r>
        <w:rPr>
          <w:color w:val="231F20"/>
          <w:spacing w:val="36"/>
        </w:rPr>
        <w:t> </w:t>
      </w:r>
      <w:r>
        <w:rPr>
          <w:color w:val="231F20"/>
        </w:rPr>
        <w:t>Ge-</w:t>
      </w:r>
      <w:r>
        <w:rPr>
          <w:color w:val="231F20"/>
          <w:spacing w:val="24"/>
        </w:rPr>
        <w:t> </w:t>
      </w:r>
      <w:r>
        <w:rPr>
          <w:color w:val="231F20"/>
        </w:rPr>
        <w:t>meinde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Neuhausen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am</w:t>
      </w:r>
      <w:r>
        <w:rPr>
          <w:color w:val="231F20"/>
          <w:spacing w:val="28"/>
        </w:rPr>
        <w:t> </w:t>
      </w:r>
      <w:r>
        <w:rPr>
          <w:color w:val="231F20"/>
        </w:rPr>
        <w:t>Rheinfall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wurde</w:t>
      </w:r>
      <w:r>
        <w:rPr>
          <w:color w:val="231F20"/>
          <w:spacing w:val="30"/>
        </w:rPr>
        <w:t> </w:t>
      </w:r>
      <w:r>
        <w:rPr>
          <w:color w:val="231F20"/>
        </w:rPr>
        <w:t>nebst</w:t>
      </w:r>
      <w:r>
        <w:rPr>
          <w:color w:val="231F20"/>
          <w:spacing w:val="47"/>
        </w:rPr>
        <w:t> </w:t>
      </w:r>
      <w:r>
        <w:rPr>
          <w:color w:val="231F20"/>
        </w:rPr>
        <w:t>vier</w:t>
      </w:r>
      <w:r>
        <w:rPr>
          <w:color w:val="231F20"/>
          <w:spacing w:val="48"/>
        </w:rPr>
        <w:t> </w:t>
      </w:r>
      <w:r>
        <w:rPr>
          <w:color w:val="231F20"/>
          <w:spacing w:val="-2"/>
        </w:rPr>
        <w:t>grossen</w:t>
      </w:r>
      <w:r>
        <w:rPr>
          <w:color w:val="231F20"/>
          <w:spacing w:val="47"/>
        </w:rPr>
        <w:t> </w:t>
      </w:r>
      <w:r>
        <w:rPr>
          <w:color w:val="231F20"/>
          <w:spacing w:val="-2"/>
        </w:rPr>
        <w:t>PV-Anlagen</w:t>
      </w:r>
      <w:r>
        <w:rPr>
          <w:color w:val="231F20"/>
          <w:spacing w:val="48"/>
        </w:rPr>
        <w:t> </w:t>
      </w:r>
      <w:r>
        <w:rPr>
          <w:color w:val="231F20"/>
        </w:rPr>
        <w:t>die</w:t>
      </w:r>
      <w:r>
        <w:rPr>
          <w:color w:val="231F20"/>
          <w:spacing w:val="48"/>
        </w:rPr>
        <w:t> </w:t>
      </w:r>
      <w:r>
        <w:rPr>
          <w:color w:val="231F20"/>
        </w:rPr>
        <w:t>Ener-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gieversorgung</w:t>
      </w:r>
      <w:r>
        <w:rPr>
          <w:color w:val="231F20"/>
          <w:spacing w:val="1"/>
        </w:rPr>
        <w:t> </w:t>
      </w:r>
      <w:r>
        <w:rPr>
          <w:color w:val="231F20"/>
        </w:rPr>
        <w:t>erneuert.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Erdölheizung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wurde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durch</w:t>
      </w:r>
      <w:r>
        <w:rPr>
          <w:color w:val="231F20"/>
          <w:spacing w:val="-3"/>
        </w:rPr>
        <w:t> </w:t>
      </w:r>
      <w:r>
        <w:rPr>
          <w:color w:val="231F20"/>
        </w:rPr>
        <w:t>eine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Erdsonden-Wärmepumpe</w:t>
      </w:r>
      <w:r>
        <w:rPr>
          <w:color w:val="231F20"/>
          <w:spacing w:val="53"/>
        </w:rPr>
        <w:t> </w:t>
      </w:r>
      <w:r>
        <w:rPr>
          <w:color w:val="231F20"/>
          <w:spacing w:val="1"/>
        </w:rPr>
        <w:t>ersetzt.</w:t>
      </w:r>
      <w:r>
        <w:rPr>
          <w:color w:val="231F20"/>
          <w:spacing w:val="33"/>
        </w:rPr>
        <w:t> </w:t>
      </w:r>
      <w:r>
        <w:rPr>
          <w:color w:val="231F20"/>
        </w:rPr>
        <w:t>Der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Energiebedarf</w:t>
      </w:r>
      <w:r>
        <w:rPr>
          <w:color w:val="231F20"/>
          <w:spacing w:val="44"/>
        </w:rPr>
        <w:t> </w:t>
      </w:r>
      <w:r>
        <w:rPr>
          <w:color w:val="231F20"/>
        </w:rPr>
        <w:t>des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gesamten</w:t>
      </w:r>
      <w:r>
        <w:rPr>
          <w:color w:val="231F20"/>
          <w:spacing w:val="44"/>
        </w:rPr>
        <w:t> </w:t>
      </w:r>
      <w:r>
        <w:rPr>
          <w:color w:val="231F20"/>
          <w:spacing w:val="-2"/>
        </w:rPr>
        <w:t>Werkhofs</w:t>
      </w:r>
      <w:r>
        <w:rPr>
          <w:color w:val="231F20"/>
          <w:spacing w:val="34"/>
        </w:rPr>
        <w:t> </w:t>
      </w:r>
      <w:r>
        <w:rPr>
          <w:color w:val="231F20"/>
        </w:rPr>
        <w:t>inkl.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Büro-</w:t>
      </w:r>
      <w:r>
        <w:rPr>
          <w:color w:val="231F20"/>
          <w:spacing w:val="35"/>
        </w:rPr>
        <w:t> </w:t>
      </w:r>
      <w:r>
        <w:rPr>
          <w:color w:val="231F20"/>
        </w:rPr>
        <w:t>und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Werkstattgebäu-</w:t>
      </w:r>
      <w:r>
        <w:rPr>
          <w:color w:val="231F20"/>
          <w:spacing w:val="39"/>
        </w:rPr>
        <w:t> </w:t>
      </w:r>
      <w:r>
        <w:rPr>
          <w:color w:val="231F20"/>
        </w:rPr>
        <w:t>de, zweier</w:t>
      </w:r>
      <w:r>
        <w:rPr>
          <w:color w:val="231F20"/>
          <w:spacing w:val="11"/>
        </w:rPr>
        <w:t> </w:t>
      </w:r>
      <w:r>
        <w:rPr>
          <w:color w:val="231F20"/>
        </w:rPr>
        <w:t>Einstellhallen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sowie</w:t>
      </w:r>
      <w:r>
        <w:rPr>
          <w:color w:val="231F20"/>
          <w:spacing w:val="11"/>
        </w:rPr>
        <w:t> </w:t>
      </w:r>
      <w:r>
        <w:rPr>
          <w:color w:val="231F20"/>
        </w:rPr>
        <w:t>der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Gärtne-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rei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konnte</w:t>
      </w:r>
      <w:r>
        <w:rPr>
          <w:color w:val="231F20"/>
          <w:spacing w:val="-13"/>
        </w:rPr>
        <w:t> </w:t>
      </w:r>
      <w:r>
        <w:rPr>
          <w:color w:val="231F20"/>
        </w:rPr>
        <w:t>von</w:t>
      </w:r>
      <w:r>
        <w:rPr>
          <w:color w:val="231F20"/>
          <w:spacing w:val="-13"/>
        </w:rPr>
        <w:t> </w:t>
      </w:r>
      <w:r>
        <w:rPr>
          <w:color w:val="231F20"/>
        </w:rPr>
        <w:t>460’000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23"/>
        </w:rPr>
        <w:t> </w:t>
      </w:r>
      <w:r>
        <w:rPr>
          <w:color w:val="231F20"/>
        </w:rPr>
        <w:t>auf</w:t>
      </w:r>
      <w:r>
        <w:rPr>
          <w:color w:val="231F20"/>
          <w:spacing w:val="-13"/>
        </w:rPr>
        <w:t> </w:t>
      </w:r>
      <w:r>
        <w:rPr>
          <w:color w:val="231F20"/>
        </w:rPr>
        <w:t>127’000</w:t>
      </w:r>
      <w:r>
        <w:rPr/>
      </w:r>
    </w:p>
    <w:p>
      <w:pPr>
        <w:pStyle w:val="BodyText"/>
        <w:spacing w:line="228" w:lineRule="auto" w:before="18"/>
        <w:ind w:right="0"/>
        <w:jc w:val="both"/>
      </w:pPr>
      <w:r>
        <w:rPr>
          <w:color w:val="231F20"/>
          <w:spacing w:val="-2"/>
        </w:rPr>
        <w:t>kWh/a</w:t>
      </w:r>
      <w:r>
        <w:rPr>
          <w:color w:val="231F20"/>
          <w:spacing w:val="12"/>
        </w:rPr>
        <w:t> </w:t>
      </w:r>
      <w:r>
        <w:rPr>
          <w:color w:val="231F20"/>
        </w:rPr>
        <w:t>inkl.</w:t>
      </w:r>
      <w:r>
        <w:rPr>
          <w:color w:val="231F20"/>
          <w:spacing w:val="1"/>
        </w:rPr>
        <w:t> </w:t>
      </w:r>
      <w:r>
        <w:rPr>
          <w:color w:val="231F20"/>
        </w:rPr>
        <w:t>138</w:t>
      </w:r>
      <w:r>
        <w:rPr>
          <w:color w:val="231F20"/>
          <w:spacing w:val="13"/>
        </w:rPr>
        <w:t> </w:t>
      </w:r>
      <w:r>
        <w:rPr>
          <w:color w:val="231F20"/>
        </w:rPr>
        <w:t>t</w:t>
      </w:r>
      <w:r>
        <w:rPr>
          <w:color w:val="231F20"/>
          <w:spacing w:val="12"/>
        </w:rPr>
        <w:t> </w:t>
      </w:r>
      <w:r>
        <w:rPr>
          <w:color w:val="231F20"/>
        </w:rPr>
        <w:t>CO</w:t>
      </w:r>
      <w:r>
        <w:rPr>
          <w:color w:val="231F20"/>
          <w:position w:val="-5"/>
          <w:sz w:val="10"/>
          <w:szCs w:val="10"/>
        </w:rPr>
        <w:t>2</w:t>
      </w:r>
      <w:r>
        <w:rPr>
          <w:color w:val="231F20"/>
        </w:rPr>
        <w:t>-Emissionen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gesenkt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werden.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31"/>
        </w:rPr>
        <w:t> </w:t>
      </w:r>
      <w:r>
        <w:rPr>
          <w:color w:val="231F20"/>
        </w:rPr>
        <w:t>217</w:t>
      </w:r>
      <w:r>
        <w:rPr>
          <w:color w:val="231F20"/>
          <w:spacing w:val="32"/>
        </w:rPr>
        <w:t> </w:t>
      </w:r>
      <w:r>
        <w:rPr>
          <w:color w:val="231F20"/>
        </w:rPr>
        <w:t>kW</w:t>
      </w:r>
      <w:r>
        <w:rPr>
          <w:color w:val="231F20"/>
          <w:spacing w:val="31"/>
        </w:rPr>
        <w:t> </w:t>
      </w:r>
      <w:r>
        <w:rPr>
          <w:color w:val="231F20"/>
        </w:rPr>
        <w:t>gut</w:t>
      </w:r>
      <w:r>
        <w:rPr>
          <w:color w:val="231F20"/>
          <w:spacing w:val="32"/>
        </w:rPr>
        <w:t> </w:t>
      </w:r>
      <w:r>
        <w:rPr>
          <w:color w:val="231F20"/>
        </w:rPr>
        <w:t>dachintegrierten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PV-Anlagen</w:t>
      </w:r>
      <w:r>
        <w:rPr>
          <w:color w:val="231F20"/>
          <w:spacing w:val="9"/>
        </w:rPr>
        <w:t> </w:t>
      </w:r>
      <w:r>
        <w:rPr>
          <w:color w:val="231F20"/>
        </w:rPr>
        <w:t>auf</w:t>
      </w:r>
      <w:r>
        <w:rPr>
          <w:color w:val="231F20"/>
          <w:spacing w:val="9"/>
        </w:rPr>
        <w:t> </w:t>
      </w:r>
      <w:r>
        <w:rPr>
          <w:color w:val="231F20"/>
        </w:rPr>
        <w:t>vier</w:t>
      </w:r>
      <w:r>
        <w:rPr>
          <w:color w:val="231F20"/>
          <w:spacing w:val="9"/>
        </w:rPr>
        <w:t> </w:t>
      </w:r>
      <w:r>
        <w:rPr>
          <w:color w:val="231F20"/>
        </w:rPr>
        <w:t>Dächern</w:t>
      </w:r>
      <w:r>
        <w:rPr>
          <w:color w:val="231F20"/>
          <w:spacing w:val="9"/>
        </w:rPr>
        <w:t> </w:t>
      </w:r>
      <w:r>
        <w:rPr>
          <w:color w:val="231F20"/>
        </w:rPr>
        <w:t>des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Werkhofs</w:t>
      </w:r>
      <w:r>
        <w:rPr>
          <w:color w:val="231F20"/>
          <w:spacing w:val="35"/>
        </w:rPr>
        <w:t> </w:t>
      </w:r>
      <w:r>
        <w:rPr>
          <w:color w:val="231F20"/>
        </w:rPr>
        <w:t>erzeugen</w:t>
      </w:r>
      <w:r>
        <w:rPr>
          <w:color w:val="231F20"/>
          <w:spacing w:val="9"/>
        </w:rPr>
        <w:t> </w:t>
      </w:r>
      <w:r>
        <w:rPr>
          <w:color w:val="231F20"/>
        </w:rPr>
        <w:t>210’000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9"/>
        </w:rPr>
        <w:t> </w:t>
      </w:r>
      <w:r>
        <w:rPr>
          <w:color w:val="231F20"/>
        </w:rPr>
        <w:t>und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erreichen</w:t>
      </w:r>
      <w:r>
        <w:rPr>
          <w:color w:val="231F20"/>
          <w:spacing w:val="24"/>
        </w:rPr>
        <w:t> </w:t>
      </w:r>
      <w:r>
        <w:rPr>
          <w:color w:val="231F20"/>
        </w:rPr>
        <w:t>einen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Solarstromüberschuss</w:t>
      </w:r>
      <w:r>
        <w:rPr>
          <w:color w:val="231F20"/>
          <w:spacing w:val="22"/>
        </w:rPr>
        <w:t> </w:t>
      </w:r>
      <w:r>
        <w:rPr>
          <w:color w:val="231F20"/>
        </w:rPr>
        <w:t>von</w:t>
      </w:r>
      <w:r>
        <w:rPr>
          <w:color w:val="231F20"/>
          <w:spacing w:val="22"/>
        </w:rPr>
        <w:t> </w:t>
      </w:r>
      <w:r>
        <w:rPr>
          <w:color w:val="231F20"/>
        </w:rPr>
        <w:t>82’600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kWh/a.</w:t>
      </w:r>
      <w:r>
        <w:rPr>
          <w:color w:val="231F20"/>
          <w:spacing w:val="23"/>
        </w:rPr>
        <w:t> </w:t>
      </w:r>
      <w:r>
        <w:rPr>
          <w:color w:val="231F20"/>
        </w:rPr>
        <w:t>Der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Eigenversorgungsgrad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beträgt</w:t>
      </w:r>
      <w:r>
        <w:rPr>
          <w:color w:val="231F20"/>
          <w:spacing w:val="23"/>
        </w:rPr>
        <w:t> </w:t>
      </w:r>
      <w:r>
        <w:rPr>
          <w:color w:val="231F20"/>
        </w:rPr>
        <w:t>165%.</w:t>
      </w:r>
      <w:r>
        <w:rPr>
          <w:color w:val="231F20"/>
          <w:spacing w:val="-10"/>
        </w:rPr>
        <w:t> </w:t>
      </w:r>
      <w:r>
        <w:rPr>
          <w:color w:val="231F20"/>
        </w:rPr>
        <w:t>Der </w:t>
      </w:r>
      <w:r>
        <w:rPr>
          <w:color w:val="231F20"/>
          <w:spacing w:val="-1"/>
        </w:rPr>
        <w:t>Fahrzeugpark</w:t>
      </w:r>
      <w:r>
        <w:rPr>
          <w:color w:val="231F20"/>
        </w:rPr>
        <w:t> der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Techn.</w:t>
      </w:r>
      <w:r>
        <w:rPr>
          <w:color w:val="231F20"/>
          <w:spacing w:val="-10"/>
        </w:rPr>
        <w:t> </w:t>
      </w:r>
      <w:r>
        <w:rPr>
          <w:color w:val="231F20"/>
        </w:rPr>
        <w:t>Betrie-</w:t>
      </w:r>
      <w:r>
        <w:rPr>
          <w:color w:val="231F20"/>
          <w:spacing w:val="27"/>
        </w:rPr>
        <w:t> </w:t>
      </w:r>
      <w:r>
        <w:rPr>
          <w:color w:val="231F20"/>
        </w:rPr>
        <w:t>be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Neuhausen</w:t>
      </w:r>
      <w:r>
        <w:rPr>
          <w:color w:val="231F20"/>
          <w:spacing w:val="18"/>
        </w:rPr>
        <w:t> </w:t>
      </w:r>
      <w:r>
        <w:rPr>
          <w:color w:val="231F20"/>
        </w:rPr>
        <w:t>umfasst</w:t>
      </w:r>
      <w:r>
        <w:rPr>
          <w:color w:val="231F20"/>
          <w:spacing w:val="18"/>
        </w:rPr>
        <w:t> </w:t>
      </w:r>
      <w:r>
        <w:rPr>
          <w:color w:val="231F20"/>
        </w:rPr>
        <w:t>37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Werkfahrzeuge.</w:t>
      </w:r>
      <w:r>
        <w:rPr/>
      </w:r>
    </w:p>
    <w:p>
      <w:pPr>
        <w:pStyle w:val="BodyText"/>
        <w:spacing w:line="225" w:lineRule="auto" w:before="6"/>
        <w:ind w:right="8"/>
        <w:jc w:val="both"/>
      </w:pPr>
      <w:r>
        <w:rPr/>
        <w:pict>
          <v:shape style="position:absolute;margin-left:28.346001pt;margin-top:65.387283pt;width:345.827pt;height:206.929pt;mso-position-horizontal-relative:page;mso-position-vertical-relative:paragraph;z-index:1216" type="#_x0000_t75" stroked="false">
            <v:imagedata r:id="rId6" o:title=""/>
          </v:shape>
        </w:pict>
      </w:r>
      <w:r>
        <w:rPr>
          <w:color w:val="231F20"/>
        </w:rPr>
        <w:t>Sie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verbrauchen</w:t>
      </w:r>
      <w:r>
        <w:rPr>
          <w:color w:val="231F20"/>
          <w:spacing w:val="-11"/>
        </w:rPr>
        <w:t> </w:t>
      </w:r>
      <w:r>
        <w:rPr>
          <w:color w:val="231F20"/>
        </w:rPr>
        <w:t>jährlich</w:t>
      </w:r>
      <w:r>
        <w:rPr>
          <w:color w:val="231F20"/>
          <w:spacing w:val="-11"/>
        </w:rPr>
        <w:t> </w:t>
      </w:r>
      <w:r>
        <w:rPr>
          <w:color w:val="231F20"/>
        </w:rPr>
        <w:t>22’000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Liter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Diesel</w:t>
      </w:r>
      <w:r>
        <w:rPr>
          <w:color w:val="231F20"/>
          <w:spacing w:val="31"/>
        </w:rPr>
        <w:t> </w:t>
      </w:r>
      <w:r>
        <w:rPr>
          <w:color w:val="231F20"/>
        </w:rPr>
        <w:t>und</w:t>
      </w:r>
      <w:r>
        <w:rPr>
          <w:color w:val="231F20"/>
          <w:spacing w:val="-20"/>
        </w:rPr>
        <w:t> </w:t>
      </w:r>
      <w:r>
        <w:rPr>
          <w:color w:val="231F20"/>
        </w:rPr>
        <w:t>13’000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Liter</w:t>
      </w:r>
      <w:r>
        <w:rPr>
          <w:color w:val="231F20"/>
          <w:spacing w:val="-20"/>
        </w:rPr>
        <w:t> </w:t>
      </w:r>
      <w:r>
        <w:rPr>
          <w:color w:val="231F20"/>
        </w:rPr>
        <w:t>Benzin</w:t>
      </w:r>
      <w:r>
        <w:rPr>
          <w:color w:val="231F20"/>
          <w:spacing w:val="-20"/>
        </w:rPr>
        <w:t> </w:t>
      </w:r>
      <w:r>
        <w:rPr>
          <w:color w:val="231F20"/>
        </w:rPr>
        <w:t>und</w:t>
      </w:r>
      <w:r>
        <w:rPr>
          <w:color w:val="231F20"/>
          <w:spacing w:val="-20"/>
        </w:rPr>
        <w:t> </w:t>
      </w:r>
      <w:r>
        <w:rPr>
          <w:color w:val="231F20"/>
        </w:rPr>
        <w:t>emittieren</w:t>
      </w:r>
      <w:r>
        <w:rPr>
          <w:color w:val="231F20"/>
          <w:spacing w:val="-20"/>
        </w:rPr>
        <w:t> </w:t>
      </w:r>
      <w:r>
        <w:rPr>
          <w:color w:val="231F20"/>
        </w:rPr>
        <w:t>rund</w:t>
      </w:r>
      <w:r>
        <w:rPr>
          <w:color w:val="231F20"/>
          <w:spacing w:val="26"/>
        </w:rPr>
        <w:t> </w:t>
      </w:r>
      <w:r>
        <w:rPr>
          <w:color w:val="231F20"/>
        </w:rPr>
        <w:t>105</w:t>
      </w:r>
      <w:r>
        <w:rPr>
          <w:color w:val="231F20"/>
          <w:spacing w:val="-16"/>
        </w:rPr>
        <w:t> </w:t>
      </w:r>
      <w:r>
        <w:rPr>
          <w:color w:val="231F20"/>
        </w:rPr>
        <w:t>t</w:t>
      </w:r>
      <w:r>
        <w:rPr>
          <w:color w:val="231F20"/>
          <w:spacing w:val="-16"/>
        </w:rPr>
        <w:t> </w:t>
      </w:r>
      <w:r>
        <w:rPr>
          <w:color w:val="231F20"/>
        </w:rPr>
        <w:t>CO</w:t>
      </w:r>
      <w:r>
        <w:rPr>
          <w:color w:val="231F20"/>
          <w:position w:val="-5"/>
          <w:sz w:val="10"/>
          <w:szCs w:val="10"/>
        </w:rPr>
        <w:t>2</w:t>
      </w:r>
      <w:r>
        <w:rPr>
          <w:color w:val="231F20"/>
        </w:rPr>
        <w:t>.</w:t>
      </w:r>
      <w:r>
        <w:rPr>
          <w:color w:val="231F20"/>
          <w:spacing w:val="-27"/>
        </w:rPr>
        <w:t> </w:t>
      </w:r>
      <w:r>
        <w:rPr>
          <w:color w:val="231F20"/>
        </w:rPr>
        <w:t>Ein</w:t>
      </w:r>
      <w:r>
        <w:rPr>
          <w:color w:val="231F20"/>
          <w:spacing w:val="-15"/>
        </w:rPr>
        <w:t> </w:t>
      </w:r>
      <w:r>
        <w:rPr>
          <w:color w:val="231F20"/>
        </w:rPr>
        <w:t>Umstieg</w:t>
      </w:r>
      <w:r>
        <w:rPr>
          <w:color w:val="231F20"/>
          <w:spacing w:val="-16"/>
        </w:rPr>
        <w:t> </w:t>
      </w:r>
      <w:r>
        <w:rPr>
          <w:color w:val="231F20"/>
        </w:rPr>
        <w:t>auf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elektrische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Werk-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fahrzeuge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könnte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diese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Verkehrsemissionen</w:t>
      </w:r>
      <w:r>
        <w:rPr>
          <w:color w:val="231F20"/>
          <w:spacing w:val="67"/>
        </w:rPr>
        <w:t> </w:t>
      </w:r>
      <w:r>
        <w:rPr>
          <w:color w:val="231F20"/>
          <w:spacing w:val="-2"/>
        </w:rPr>
        <w:t>senken.</w:t>
      </w:r>
      <w:r>
        <w:rPr>
          <w:color w:val="231F20"/>
          <w:spacing w:val="-9"/>
        </w:rPr>
        <w:t> </w:t>
      </w:r>
      <w:r>
        <w:rPr>
          <w:color w:val="231F20"/>
        </w:rPr>
        <w:t>Mit</w:t>
      </w:r>
      <w:r>
        <w:rPr>
          <w:color w:val="231F20"/>
          <w:spacing w:val="1"/>
        </w:rPr>
        <w:t> </w:t>
      </w:r>
      <w:r>
        <w:rPr>
          <w:color w:val="231F20"/>
        </w:rPr>
        <w:t>dem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Solarstromüberschuss</w:t>
      </w:r>
      <w:r>
        <w:rPr>
          <w:color w:val="231F20"/>
          <w:spacing w:val="1"/>
        </w:rPr>
        <w:t> </w:t>
      </w:r>
      <w:r>
        <w:rPr>
          <w:color w:val="231F20"/>
        </w:rPr>
        <w:t>von</w:t>
      </w:r>
      <w:r>
        <w:rPr/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1"/>
          <w:szCs w:val="21"/>
        </w:rPr>
      </w:pPr>
    </w:p>
    <w:p>
      <w:pPr>
        <w:spacing w:before="0"/>
        <w:ind w:left="106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sz w:val="14"/>
        </w:rPr>
      </w:r>
    </w:p>
    <w:p>
      <w:pPr>
        <w:numPr>
          <w:ilvl w:val="0"/>
          <w:numId w:val="1"/>
        </w:numPr>
        <w:tabs>
          <w:tab w:pos="334" w:val="left" w:leader="none"/>
        </w:tabs>
        <w:spacing w:line="160" w:lineRule="exact" w:before="35"/>
        <w:ind w:left="333" w:right="145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Die 217 kW PV-Anlagen des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Werkhofs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sind auf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vier Dächer verteilt und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erzeugen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pacing w:val="3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210’000 kWh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Solarstrom.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4" w:val="left" w:leader="none"/>
        </w:tabs>
        <w:spacing w:line="207" w:lineRule="auto" w:before="10"/>
        <w:ind w:left="333" w:right="64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Der Energiebedarf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37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Werkfahrzeuge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beträgt heute 35’000 Liter Diesel und Benzin.</w:t>
      </w:r>
      <w:r>
        <w:rPr>
          <w:rFonts w:ascii="Theinhardt Bold" w:hAnsi="Theinhardt Bold" w:cs="Theinhardt Bold" w:eastAsia="Theinhardt Bold"/>
          <w:b/>
          <w:bCs/>
          <w:color w:val="231F20"/>
          <w:spacing w:val="2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Die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jährlichen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CO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position w:val="-4"/>
          <w:sz w:val="8"/>
          <w:szCs w:val="8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position w:val="-4"/>
          <w:sz w:val="8"/>
          <w:szCs w:val="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Emissionen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belaufen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sich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auf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pStyle w:val="BodyText"/>
        <w:spacing w:line="234" w:lineRule="exact" w:before="83"/>
        <w:ind w:left="107" w:right="0"/>
        <w:jc w:val="both"/>
      </w:pPr>
      <w:r>
        <w:rPr/>
        <w:br w:type="column"/>
      </w:r>
      <w:r>
        <w:rPr>
          <w:color w:val="231F20"/>
        </w:rPr>
        <w:t>82’600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konnten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insgesamt</w:t>
      </w:r>
      <w:r>
        <w:rPr>
          <w:color w:val="231F20"/>
          <w:spacing w:val="40"/>
        </w:rPr>
        <w:t> </w:t>
      </w:r>
      <w:r>
        <w:rPr>
          <w:color w:val="231F20"/>
        </w:rPr>
        <w:t>(138</w:t>
      </w:r>
      <w:r>
        <w:rPr>
          <w:color w:val="231F20"/>
          <w:spacing w:val="40"/>
        </w:rPr>
        <w:t> </w:t>
      </w:r>
      <w:r>
        <w:rPr>
          <w:color w:val="231F20"/>
        </w:rPr>
        <w:t>t</w:t>
      </w:r>
      <w:r>
        <w:rPr/>
      </w:r>
    </w:p>
    <w:p>
      <w:pPr>
        <w:pStyle w:val="BodyText"/>
        <w:spacing w:line="211" w:lineRule="auto" w:before="17"/>
        <w:ind w:right="0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4.178802pt;margin-top:61.254189pt;width:348.7pt;height:17.2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13"/>
                    <w:gridCol w:w="1602"/>
                    <w:gridCol w:w="740"/>
                    <w:gridCol w:w="413"/>
                    <w:gridCol w:w="706"/>
                  </w:tblGrid>
                  <w:tr>
                    <w:trPr>
                      <w:trHeight w:val="155" w:hRule="exact"/>
                    </w:trPr>
                    <w:tc>
                      <w:tcPr>
                        <w:tcW w:w="3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Mit 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dem 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sz w:val="18"/>
                          </w:rPr>
                          <w:t>Solarstromüberschuss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 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sz w:val="18"/>
                          </w:rPr>
                          <w:t>könnten</w:t>
                        </w:r>
                        <w:r>
                          <w:rPr>
                            <w:rFonts w:ascii="Theinhardt Regular" w:hAnsi="Theinhardt Regular"/>
                            <w:sz w:val="18"/>
                          </w:rPr>
                        </w:r>
                      </w:p>
                    </w:tc>
                    <w:tc>
                      <w:tcPr>
                        <w:tcW w:w="1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left="11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/>
                            <w:color w:val="231F20"/>
                            <w:spacing w:val="2"/>
                            <w:sz w:val="14"/>
                          </w:rPr>
                          <w:t>Elektrizität/Wärme:</w:t>
                        </w:r>
                        <w:r>
                          <w:rPr>
                            <w:rFonts w:ascii="Theinhardt Regular" w:hAns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left="30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153.8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left="74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100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left="96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1"/>
                            <w:sz w:val="14"/>
                            <w:szCs w:val="14"/>
                          </w:rPr>
                          <w:t>460’000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89" w:hRule="exact"/>
                    </w:trPr>
                    <w:tc>
                      <w:tcPr>
                        <w:tcW w:w="3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59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"/>
                            <w:sz w:val="18"/>
                            <w:szCs w:val="18"/>
                          </w:rPr>
                          <w:t>E-Autos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jährlich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2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je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12’000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km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2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"/>
                            <w:position w:val="-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"/>
                            <w:sz w:val="18"/>
                            <w:szCs w:val="18"/>
                          </w:rPr>
                          <w:t>-frei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113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pacing w:val="2"/>
                            <w:sz w:val="14"/>
                          </w:rPr>
                          <w:t>Gesamt-EB: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288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z w:val="14"/>
                          </w:rPr>
                          <w:t>153.8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74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100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90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spacing w:val="2"/>
                            <w:sz w:val="14"/>
                            <w:szCs w:val="14"/>
                          </w:rPr>
                          <w:t>460’000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231F20"/>
        </w:rPr>
        <w:t>+</w:t>
      </w:r>
      <w:r>
        <w:rPr>
          <w:color w:val="231F20"/>
          <w:spacing w:val="24"/>
        </w:rPr>
        <w:t> </w:t>
      </w:r>
      <w:r>
        <w:rPr>
          <w:color w:val="231F20"/>
        </w:rPr>
        <w:t>44</w:t>
      </w:r>
      <w:r>
        <w:rPr>
          <w:color w:val="231F20"/>
          <w:spacing w:val="25"/>
        </w:rPr>
        <w:t> </w:t>
      </w:r>
      <w:r>
        <w:rPr>
          <w:color w:val="231F20"/>
        </w:rPr>
        <w:t>t)</w:t>
      </w:r>
      <w:r>
        <w:rPr>
          <w:color w:val="231F20"/>
          <w:spacing w:val="25"/>
        </w:rPr>
        <w:t> </w:t>
      </w:r>
      <w:r>
        <w:rPr>
          <w:color w:val="231F20"/>
        </w:rPr>
        <w:t>≈</w:t>
      </w:r>
      <w:r>
        <w:rPr>
          <w:color w:val="231F20"/>
          <w:spacing w:val="25"/>
        </w:rPr>
        <w:t> </w:t>
      </w:r>
      <w:r>
        <w:rPr>
          <w:color w:val="231F20"/>
        </w:rPr>
        <w:t>182</w:t>
      </w:r>
      <w:r>
        <w:rPr>
          <w:color w:val="231F20"/>
          <w:spacing w:val="25"/>
        </w:rPr>
        <w:t> </w:t>
      </w:r>
      <w:r>
        <w:rPr>
          <w:color w:val="231F20"/>
        </w:rPr>
        <w:t>t</w:t>
      </w:r>
      <w:r>
        <w:rPr>
          <w:color w:val="231F20"/>
          <w:spacing w:val="25"/>
        </w:rPr>
        <w:t> </w:t>
      </w:r>
      <w:r>
        <w:rPr>
          <w:color w:val="231F20"/>
        </w:rPr>
        <w:t>CO</w:t>
      </w:r>
      <w:r>
        <w:rPr>
          <w:color w:val="231F20"/>
          <w:position w:val="-5"/>
          <w:sz w:val="10"/>
          <w:szCs w:val="10"/>
        </w:rPr>
        <w:t>2</w:t>
      </w:r>
      <w:r>
        <w:rPr>
          <w:color w:val="231F20"/>
        </w:rPr>
        <w:t>-Emissionen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gesenkt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werden.</w:t>
      </w:r>
      <w:r>
        <w:rPr>
          <w:color w:val="231F20"/>
          <w:spacing w:val="-21"/>
        </w:rPr>
        <w:t> </w:t>
      </w:r>
      <w:r>
        <w:rPr>
          <w:color w:val="231F20"/>
        </w:rPr>
        <w:t>Mit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weiteren</w:t>
      </w:r>
      <w:r>
        <w:rPr>
          <w:color w:val="231F20"/>
          <w:spacing w:val="-10"/>
        </w:rPr>
        <w:t> </w:t>
      </w:r>
      <w:r>
        <w:rPr>
          <w:color w:val="231F20"/>
        </w:rPr>
        <w:t>114’000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-10"/>
        </w:rPr>
        <w:t> </w:t>
      </w:r>
      <w:r>
        <w:rPr>
          <w:color w:val="231F20"/>
        </w:rPr>
        <w:t>Solar-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strom </w:t>
      </w:r>
      <w:r>
        <w:rPr>
          <w:color w:val="231F20"/>
        </w:rPr>
        <w:t>für</w:t>
      </w:r>
      <w:r>
        <w:rPr>
          <w:color w:val="231F20"/>
          <w:spacing w:val="-2"/>
        </w:rPr>
        <w:t> </w:t>
      </w:r>
      <w:r>
        <w:rPr>
          <w:color w:val="231F20"/>
        </w:rPr>
        <w:t>den</w:t>
      </w:r>
      <w:r>
        <w:rPr>
          <w:color w:val="231F20"/>
          <w:spacing w:val="-1"/>
        </w:rPr>
        <w:t> CO</w:t>
      </w:r>
      <w:r>
        <w:rPr>
          <w:color w:val="231F20"/>
          <w:spacing w:val="-1"/>
          <w:position w:val="-5"/>
          <w:sz w:val="10"/>
          <w:szCs w:val="10"/>
        </w:rPr>
        <w:t>2</w:t>
      </w:r>
      <w:r>
        <w:rPr>
          <w:color w:val="231F20"/>
          <w:spacing w:val="-1"/>
        </w:rPr>
        <w:t>-freien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Verkehr</w:t>
      </w:r>
      <w:r>
        <w:rPr>
          <w:color w:val="231F20"/>
          <w:spacing w:val="-2"/>
        </w:rPr>
        <w:t> könnte</w:t>
      </w:r>
      <w:r>
        <w:rPr>
          <w:color w:val="231F20"/>
          <w:spacing w:val="-1"/>
        </w:rPr>
        <w:t> </w:t>
      </w:r>
      <w:r>
        <w:rPr>
          <w:color w:val="231F20"/>
        </w:rPr>
        <w:t>die</w:t>
      </w:r>
      <w:r>
        <w:rPr>
          <w:color w:val="231F20"/>
          <w:spacing w:val="33"/>
        </w:rPr>
        <w:t> </w:t>
      </w:r>
      <w:r>
        <w:rPr>
          <w:color w:val="231F20"/>
        </w:rPr>
        <w:t>Gemeinde</w:t>
      </w:r>
      <w:r>
        <w:rPr>
          <w:color w:val="231F20"/>
          <w:spacing w:val="14"/>
        </w:rPr>
        <w:t> </w:t>
      </w:r>
      <w:r>
        <w:rPr>
          <w:color w:val="231F20"/>
        </w:rPr>
        <w:t>über</w:t>
      </w:r>
      <w:r>
        <w:rPr>
          <w:color w:val="231F20"/>
          <w:spacing w:val="14"/>
        </w:rPr>
        <w:t> </w:t>
      </w:r>
      <w:r>
        <w:rPr>
          <w:color w:val="231F20"/>
        </w:rPr>
        <w:t>den</w:t>
      </w:r>
      <w:r>
        <w:rPr>
          <w:color w:val="231F20"/>
          <w:spacing w:val="15"/>
        </w:rPr>
        <w:t> </w:t>
      </w:r>
      <w:r>
        <w:rPr>
          <w:color w:val="231F20"/>
        </w:rPr>
        <w:t>ersten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  <w:szCs w:val="10"/>
        </w:rPr>
        <w:t>2</w:t>
      </w:r>
      <w:r>
        <w:rPr>
          <w:color w:val="231F20"/>
          <w:spacing w:val="-1"/>
        </w:rPr>
        <w:t>-frei</w:t>
      </w:r>
      <w:r>
        <w:rPr>
          <w:color w:val="231F20"/>
          <w:spacing w:val="15"/>
        </w:rPr>
        <w:t> </w:t>
      </w:r>
      <w:r>
        <w:rPr>
          <w:color w:val="231F20"/>
        </w:rPr>
        <w:t>funkti-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onierenden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Werkhof</w:t>
      </w:r>
      <w:r>
        <w:rPr>
          <w:color w:val="231F20"/>
          <w:spacing w:val="11"/>
        </w:rPr>
        <w:t> </w:t>
      </w:r>
      <w:r>
        <w:rPr>
          <w:color w:val="231F20"/>
        </w:rPr>
        <w:t>der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Schweiz</w:t>
      </w:r>
      <w:r>
        <w:rPr>
          <w:color w:val="231F20"/>
          <w:spacing w:val="11"/>
        </w:rPr>
        <w:t> </w:t>
      </w:r>
      <w:r>
        <w:rPr>
          <w:color w:val="231F20"/>
        </w:rPr>
        <w:t>verfügen.</w:t>
      </w:r>
      <w:r>
        <w:rPr/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2"/>
        <w:rPr>
          <w:rFonts w:ascii="Theinhardt Regular" w:hAnsi="Theinhardt Regular" w:cs="Theinhardt Regular" w:eastAsia="Theinhardt Regular"/>
          <w:sz w:val="16"/>
          <w:szCs w:val="16"/>
        </w:rPr>
      </w:pPr>
    </w:p>
    <w:p>
      <w:pPr>
        <w:pStyle w:val="BodyText"/>
        <w:spacing w:line="230" w:lineRule="exact"/>
        <w:ind w:right="8"/>
        <w:jc w:val="both"/>
      </w:pPr>
      <w:r>
        <w:rPr>
          <w:color w:val="231F20"/>
          <w:spacing w:val="-1"/>
        </w:rPr>
        <w:t>fahren.</w:t>
      </w:r>
      <w:r>
        <w:rPr>
          <w:color w:val="231F20"/>
          <w:spacing w:val="-3"/>
        </w:rPr>
        <w:t> Werden</w:t>
      </w:r>
      <w:r>
        <w:rPr>
          <w:color w:val="231F20"/>
          <w:spacing w:val="8"/>
        </w:rPr>
        <w:t> </w:t>
      </w:r>
      <w:r>
        <w:rPr>
          <w:color w:val="231F20"/>
        </w:rPr>
        <w:t>59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Diesel</w:t>
      </w:r>
      <w:r>
        <w:rPr>
          <w:color w:val="231F20"/>
          <w:spacing w:val="8"/>
        </w:rPr>
        <w:t> </w:t>
      </w:r>
      <w:r>
        <w:rPr>
          <w:color w:val="231F20"/>
        </w:rPr>
        <w:t>(7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L/100</w:t>
      </w:r>
      <w:r>
        <w:rPr>
          <w:color w:val="231F20"/>
          <w:spacing w:val="8"/>
        </w:rPr>
        <w:t> </w:t>
      </w:r>
      <w:r>
        <w:rPr>
          <w:color w:val="231F20"/>
        </w:rPr>
        <w:t>km)</w:t>
      </w:r>
      <w:r>
        <w:rPr>
          <w:color w:val="231F20"/>
          <w:spacing w:val="8"/>
        </w:rPr>
        <w:t> </w:t>
      </w:r>
      <w:r>
        <w:rPr>
          <w:color w:val="231F20"/>
        </w:rPr>
        <w:t>er-</w:t>
      </w:r>
      <w:r>
        <w:rPr>
          <w:color w:val="231F20"/>
          <w:spacing w:val="28"/>
        </w:rPr>
        <w:t> </w:t>
      </w:r>
      <w:r>
        <w:rPr>
          <w:color w:val="231F20"/>
          <w:spacing w:val="1"/>
        </w:rPr>
        <w:t>setzt,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können</w:t>
      </w:r>
      <w:r>
        <w:rPr>
          <w:color w:val="231F20"/>
          <w:spacing w:val="27"/>
        </w:rPr>
        <w:t> </w:t>
      </w:r>
      <w:r>
        <w:rPr>
          <w:color w:val="231F20"/>
        </w:rPr>
        <w:t>die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PEB-Überschüsse</w:t>
      </w:r>
      <w:r>
        <w:rPr>
          <w:color w:val="231F20"/>
          <w:spacing w:val="27"/>
        </w:rPr>
        <w:t> </w:t>
      </w:r>
      <w:r>
        <w:rPr>
          <w:color w:val="231F20"/>
        </w:rPr>
        <w:t>148</w:t>
      </w:r>
      <w:r>
        <w:rPr>
          <w:color w:val="231F20"/>
          <w:spacing w:val="28"/>
        </w:rPr>
        <w:t> </w:t>
      </w:r>
      <w:r>
        <w:rPr>
          <w:color w:val="231F20"/>
        </w:rPr>
        <w:t>t</w:t>
      </w:r>
      <w:r>
        <w:rPr>
          <w:color w:val="231F20"/>
          <w:spacing w:val="31"/>
        </w:rPr>
        <w:t> </w:t>
      </w:r>
      <w:r>
        <w:rPr>
          <w:color w:val="231F20"/>
        </w:rPr>
        <w:t>CO</w:t>
      </w:r>
      <w:r>
        <w:rPr>
          <w:color w:val="231F20"/>
          <w:position w:val="-5"/>
          <w:sz w:val="10"/>
          <w:szCs w:val="10"/>
        </w:rPr>
        <w:t>2</w:t>
      </w:r>
      <w:r>
        <w:rPr>
          <w:color w:val="231F20"/>
          <w:spacing w:val="10"/>
          <w:position w:val="-5"/>
          <w:sz w:val="10"/>
          <w:szCs w:val="10"/>
        </w:rPr>
        <w:t> </w:t>
      </w:r>
      <w:r>
        <w:rPr>
          <w:color w:val="231F20"/>
        </w:rPr>
        <w:t>ersetzen,</w:t>
      </w:r>
      <w:r>
        <w:rPr>
          <w:color w:val="231F20"/>
          <w:spacing w:val="-21"/>
        </w:rPr>
        <w:t> </w:t>
      </w:r>
      <w:r>
        <w:rPr>
          <w:color w:val="231F20"/>
        </w:rPr>
        <w:t>total</w:t>
      </w:r>
      <w:r>
        <w:rPr>
          <w:color w:val="231F20"/>
          <w:spacing w:val="-11"/>
        </w:rPr>
        <w:t> </w:t>
      </w:r>
      <w:r>
        <w:rPr>
          <w:color w:val="231F20"/>
        </w:rPr>
        <w:t>(138+148)</w:t>
      </w:r>
      <w:r>
        <w:rPr>
          <w:color w:val="231F20"/>
          <w:spacing w:val="-10"/>
        </w:rPr>
        <w:t> </w:t>
      </w:r>
      <w:r>
        <w:rPr>
          <w:color w:val="231F20"/>
        </w:rPr>
        <w:t>≈</w:t>
      </w:r>
      <w:r>
        <w:rPr>
          <w:color w:val="231F20"/>
          <w:spacing w:val="-10"/>
        </w:rPr>
        <w:t> </w:t>
      </w:r>
      <w:r>
        <w:rPr>
          <w:color w:val="231F20"/>
        </w:rPr>
        <w:t>286</w:t>
      </w:r>
      <w:r>
        <w:rPr>
          <w:color w:val="231F20"/>
          <w:spacing w:val="-11"/>
        </w:rPr>
        <w:t> </w:t>
      </w:r>
      <w:r>
        <w:rPr>
          <w:color w:val="231F20"/>
        </w:rPr>
        <w:t>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  <w:szCs w:val="10"/>
        </w:rPr>
        <w:t>2</w:t>
      </w:r>
      <w:r>
        <w:rPr>
          <w:color w:val="231F20"/>
          <w:spacing w:val="-1"/>
        </w:rPr>
        <w:t>-</w:t>
      </w:r>
      <w:r>
        <w:rPr>
          <w:color w:val="231F20"/>
          <w:spacing w:val="27"/>
        </w:rPr>
        <w:t> </w:t>
      </w:r>
      <w:r>
        <w:rPr>
          <w:color w:val="231F20"/>
        </w:rPr>
        <w:t>Emissionen.</w:t>
      </w:r>
      <w:r>
        <w:rPr/>
      </w: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17"/>
          <w:szCs w:val="17"/>
        </w:rPr>
      </w:pPr>
    </w:p>
    <w:p>
      <w:pPr>
        <w:spacing w:line="230" w:lineRule="exact" w:before="0"/>
        <w:ind w:left="106" w:right="8" w:firstLine="0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Depuis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printemps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2019,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centre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re-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cyclage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Chlaffenthal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près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Neuhausen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am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Rheinfall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(SH)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fonctionne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manière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au-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tonome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l’énergie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verte.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D’une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puissance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totale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217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5"/>
          <w:sz w:val="18"/>
          <w:szCs w:val="18"/>
        </w:rPr>
        <w:t>kW,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quatre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installations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PV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placées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sur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différents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toits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bâtiments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génèrent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210’000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kWh.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5"/>
          <w:sz w:val="18"/>
          <w:szCs w:val="18"/>
        </w:rPr>
        <w:t>L’ensemble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du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site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consomme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127’000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kWh/a,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ce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qui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représen-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te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 une autoproduction de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165%.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40" w:lineRule="auto" w:before="0"/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</w:pPr>
    </w:p>
    <w:p>
      <w:pPr>
        <w:spacing w:line="240" w:lineRule="auto" w:before="0"/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</w:pPr>
    </w:p>
    <w:p>
      <w:pPr>
        <w:spacing w:line="240" w:lineRule="auto" w:before="0"/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</w:pPr>
    </w:p>
    <w:p>
      <w:pPr>
        <w:spacing w:line="240" w:lineRule="auto" w:before="0"/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</w:pPr>
    </w:p>
    <w:p>
      <w:pPr>
        <w:spacing w:line="240" w:lineRule="auto" w:before="0"/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</w:pPr>
    </w:p>
    <w:p>
      <w:pPr>
        <w:spacing w:line="240" w:lineRule="auto" w:before="0"/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</w:pPr>
    </w:p>
    <w:p>
      <w:pPr>
        <w:spacing w:line="240" w:lineRule="auto" w:before="0"/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</w:pPr>
    </w:p>
    <w:p>
      <w:pPr>
        <w:spacing w:line="240" w:lineRule="auto" w:before="0"/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</w:pPr>
    </w:p>
    <w:p>
      <w:pPr>
        <w:spacing w:line="240" w:lineRule="auto" w:before="0"/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</w:pPr>
    </w:p>
    <w:p>
      <w:pPr>
        <w:spacing w:line="240" w:lineRule="auto" w:before="0"/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</w:pPr>
    </w:p>
    <w:p>
      <w:pPr>
        <w:spacing w:line="240" w:lineRule="auto" w:before="0"/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</w:pPr>
    </w:p>
    <w:p>
      <w:pPr>
        <w:spacing w:line="240" w:lineRule="auto" w:before="0"/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</w:pPr>
    </w:p>
    <w:p>
      <w:pPr>
        <w:spacing w:line="240" w:lineRule="auto" w:before="0"/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</w:pPr>
    </w:p>
    <w:p>
      <w:pPr>
        <w:spacing w:line="240" w:lineRule="auto" w:before="0"/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</w:pPr>
    </w:p>
    <w:p>
      <w:pPr>
        <w:spacing w:line="240" w:lineRule="auto" w:before="0"/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</w:pPr>
    </w:p>
    <w:p>
      <w:pPr>
        <w:spacing w:line="240" w:lineRule="auto" w:before="0"/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</w:pPr>
    </w:p>
    <w:p>
      <w:pPr>
        <w:spacing w:line="240" w:lineRule="auto" w:before="0"/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</w:pPr>
    </w:p>
    <w:p>
      <w:pPr>
        <w:spacing w:line="240" w:lineRule="auto" w:before="0"/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</w:pPr>
    </w:p>
    <w:p>
      <w:pPr>
        <w:spacing w:line="240" w:lineRule="auto" w:before="9"/>
        <w:rPr>
          <w:rFonts w:ascii="Theinhardt Regular Italic" w:hAnsi="Theinhardt Regular Italic" w:cs="Theinhardt Regular Italic" w:eastAsia="Theinhardt Regular Italic"/>
          <w:i/>
          <w:sz w:val="20"/>
          <w:szCs w:val="20"/>
        </w:rPr>
      </w:pPr>
    </w:p>
    <w:p>
      <w:pPr>
        <w:spacing w:line="160" w:lineRule="exact" w:before="0"/>
        <w:ind w:left="333" w:right="145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105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t.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Bei einer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Umstellung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auf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Elektroantrieb</w:t>
      </w:r>
      <w:r>
        <w:rPr>
          <w:rFonts w:ascii="Theinhardt Bold" w:hAnsi="Theinhardt Bold" w:cs="Theinhardt Bold" w:eastAsia="Theinhardt Bold"/>
          <w:b/>
          <w:bCs/>
          <w:color w:val="231F20"/>
          <w:spacing w:val="4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könnte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Energiebedarf auf rund 30’000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reduziert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werden.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12"/>
          <w:szCs w:val="12"/>
        </w:rPr>
      </w:pPr>
    </w:p>
    <w:p>
      <w:pPr>
        <w:spacing w:line="207" w:lineRule="auto" w:before="0"/>
        <w:ind w:left="333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Anmerkung: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Energiebedarf vor Sanierung rund</w:t>
      </w:r>
      <w:r>
        <w:rPr>
          <w:rFonts w:ascii="Theinhardt Bold" w:hAnsi="Theinhardt Bold" w:cs="Theinhardt Bold" w:eastAsia="Theinhardt Bold"/>
          <w:b/>
          <w:bCs/>
          <w:color w:val="231F20"/>
          <w:spacing w:val="2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460’000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≈ 164 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CO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position w:val="-4"/>
          <w:sz w:val="8"/>
          <w:szCs w:val="8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.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Beheizte Räume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before="67"/>
        <w:ind w:left="108" w:right="0" w:firstLine="0"/>
        <w:jc w:val="both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</w:t>
      </w:r>
      <w:r>
        <w:rPr>
          <w:rFonts w:ascii="Theinhardt Black"/>
          <w:b/>
          <w:color w:val="231F20"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8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240" w:lineRule="auto" w:before="2"/>
        <w:rPr>
          <w:rFonts w:ascii="Theinhardt Black" w:hAnsi="Theinhardt Black" w:cs="Theinhardt Black" w:eastAsia="Theinhardt Black"/>
          <w:b/>
          <w:bCs/>
          <w:sz w:val="8"/>
          <w:szCs w:val="8"/>
        </w:rPr>
      </w:pPr>
    </w:p>
    <w:tbl>
      <w:tblPr>
        <w:tblW w:w="0" w:type="auto"/>
        <w:jc w:val="left"/>
        <w:tblInd w:w="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"/>
        <w:gridCol w:w="840"/>
        <w:gridCol w:w="769"/>
        <w:gridCol w:w="996"/>
      </w:tblGrid>
      <w:tr>
        <w:trPr>
          <w:trHeight w:val="251" w:hRule="exact"/>
        </w:trPr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5" w:lineRule="exact"/>
              <w:ind w:left="55" w:right="-12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/>
                <w:b/>
                <w:color w:val="231F20"/>
                <w:spacing w:val="1"/>
                <w:sz w:val="14"/>
              </w:rPr>
              <w:t>Wärmedäm</w:t>
            </w:r>
            <w:r>
              <w:rPr>
                <w:rFonts w:ascii="Theinhardt Bold" w:hAnsi="Theinhardt Bold"/>
                <w:sz w:val="14"/>
              </w:rPr>
            </w:r>
          </w:p>
          <w:p>
            <w:pPr>
              <w:pStyle w:val="TableParagraph"/>
              <w:spacing w:line="166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Wand: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5" w:lineRule="exact"/>
              <w:ind w:left="11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mu</w:t>
            </w:r>
            <w:r>
              <w:rPr>
                <w:rFonts w:ascii="Theinhardt Bold"/>
                <w:b/>
                <w:color w:val="231F20"/>
                <w:spacing w:val="2"/>
                <w:sz w:val="14"/>
              </w:rPr>
              <w:t>n</w:t>
            </w:r>
            <w:r>
              <w:rPr>
                <w:rFonts w:ascii="Theinhardt Bold"/>
                <w:b/>
                <w:color w:val="231F20"/>
                <w:sz w:val="14"/>
              </w:rPr>
              <w:t>g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spacing w:line="166" w:lineRule="exact"/>
              <w:ind w:left="3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4"/>
                <w:sz w:val="14"/>
              </w:rPr>
              <w:t>14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cm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72"/>
              <w:ind w:left="10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U-Wert: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72"/>
              <w:ind w:left="20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5"/>
                <w:sz w:val="14"/>
              </w:rPr>
              <w:t>0.18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W/m</w:t>
            </w:r>
            <w:r>
              <w:rPr>
                <w:rFonts w:ascii="Theinhardt Regular"/>
                <w:color w:val="231F20"/>
                <w:spacing w:val="-2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K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60" w:hRule="exact"/>
        </w:trPr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Dach: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4"/>
                <w:sz w:val="14"/>
              </w:rPr>
              <w:t>14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cm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0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U-Wert: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5"/>
                <w:sz w:val="14"/>
              </w:rPr>
              <w:t>0.18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W/m</w:t>
            </w:r>
            <w:r>
              <w:rPr>
                <w:rFonts w:ascii="Theinhardt Regular"/>
                <w:color w:val="231F20"/>
                <w:spacing w:val="-2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K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60" w:hRule="exact"/>
        </w:trPr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Boden: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4"/>
                <w:sz w:val="14"/>
              </w:rPr>
              <w:t>12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cm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0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U-Wert: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9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0.21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W/m</w:t>
            </w:r>
            <w:r>
              <w:rPr>
                <w:rFonts w:ascii="Theinhardt Regular"/>
                <w:color w:val="231F20"/>
                <w:spacing w:val="-2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K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90" w:hRule="exact"/>
        </w:trPr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6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Fenster: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6" w:lineRule="exact"/>
              <w:ind w:left="23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dreifach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6" w:lineRule="exact"/>
              <w:ind w:left="10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U-Wert: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6" w:lineRule="exact"/>
              <w:ind w:left="19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3"/>
                <w:sz w:val="14"/>
              </w:rPr>
              <w:t>0.70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W/m</w:t>
            </w:r>
            <w:r>
              <w:rPr>
                <w:rFonts w:ascii="Theinhardt Regular"/>
                <w:color w:val="231F20"/>
                <w:spacing w:val="-2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K</w:t>
            </w:r>
            <w:r>
              <w:rPr>
                <w:rFonts w:ascii="Theinhardt Regular"/>
                <w:sz w:val="14"/>
              </w:rPr>
            </w:r>
          </w:p>
        </w:tc>
      </w:tr>
    </w:tbl>
    <w:p>
      <w:pPr>
        <w:spacing w:line="172" w:lineRule="exact" w:before="8"/>
        <w:ind w:left="108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Energiebedarf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vor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der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Sanierung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(100%)</w:t>
      </w:r>
      <w:r>
        <w:rPr>
          <w:rFonts w:ascii="Theinhardt Bold"/>
          <w:sz w:val="14"/>
        </w:rPr>
      </w:r>
    </w:p>
    <w:p>
      <w:pPr>
        <w:tabs>
          <w:tab w:pos="1695" w:val="left" w:leader="none"/>
        </w:tabs>
        <w:spacing w:line="172" w:lineRule="exact" w:before="0"/>
        <w:ind w:left="108" w:right="0" w:hanging="1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EBF: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2’990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      </w:t>
      </w:r>
      <w:r>
        <w:rPr>
          <w:rFonts w:ascii="Theinhardt Regular" w:hAnsi="Theinhardt Regular" w:cs="Theinhardt Regular" w:eastAsia="Theinhardt Regular"/>
          <w:color w:val="231F20"/>
          <w:spacing w:val="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%       </w:t>
      </w:r>
      <w:r>
        <w:rPr>
          <w:rFonts w:ascii="Theinhardt Regular" w:hAnsi="Theinhardt Regular" w:cs="Theinhardt Regular" w:eastAsia="Theinhardt Regular"/>
          <w:color w:val="231F20"/>
          <w:spacing w:val="3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kWh/a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12"/>
          <w:szCs w:val="12"/>
        </w:rPr>
      </w:pPr>
    </w:p>
    <w:p>
      <w:pPr>
        <w:spacing w:line="172" w:lineRule="exact" w:before="0"/>
        <w:ind w:left="108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Energiebedarf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nach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der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Sanierung</w:t>
      </w:r>
      <w:r>
        <w:rPr>
          <w:rFonts w:ascii="Theinhardt Bold"/>
          <w:b/>
          <w:color w:val="231F20"/>
          <w:sz w:val="14"/>
        </w:rPr>
        <w:t> (28%)</w:t>
      </w:r>
      <w:r>
        <w:rPr>
          <w:rFonts w:ascii="Theinhardt Bold"/>
          <w:sz w:val="14"/>
        </w:rPr>
      </w:r>
    </w:p>
    <w:p>
      <w:pPr>
        <w:tabs>
          <w:tab w:pos="1695" w:val="left" w:leader="none"/>
          <w:tab w:pos="1979" w:val="left" w:leader="none"/>
          <w:tab w:pos="2531" w:val="left" w:leader="none"/>
          <w:tab w:pos="2871" w:val="left" w:leader="none"/>
        </w:tabs>
        <w:spacing w:line="207" w:lineRule="auto" w:before="6"/>
        <w:ind w:left="108" w:right="166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EBF: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2’990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</w:t>
        <w:tab/>
        <w:t>%</w:t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3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Elektrizität:</w:t>
        <w:tab/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42.4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3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126’782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965" w:val="left" w:leader="none"/>
        </w:tabs>
        <w:spacing w:line="167" w:lineRule="exact" w:before="0"/>
        <w:ind w:left="108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Gesamt-EB: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42.4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  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126’782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08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967" w:val="left" w:leader="none"/>
          <w:tab w:pos="1905" w:val="left" w:leader="none"/>
          <w:tab w:pos="2531" w:val="left" w:leader="none"/>
          <w:tab w:pos="2866" w:val="left" w:leader="none"/>
        </w:tabs>
        <w:spacing w:line="207" w:lineRule="auto" w:before="6"/>
        <w:ind w:left="108" w:right="165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Eigen-EV: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       </w:t>
      </w:r>
      <w:r>
        <w:rPr>
          <w:rFonts w:ascii="Theinhardt Regular" w:hAnsi="Theinhardt Regular" w:cs="Theinhardt Regular" w:eastAsia="Theinhardt Regular"/>
          <w:color w:val="231F20"/>
          <w:spacing w:val="12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kWp   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</w:t>
        <w:tab/>
        <w:t>%</w:t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3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PV-Dach: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1’215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216.6</w:t>
        <w:tab/>
        <w:t>172.4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165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209’418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531" w:val="left" w:leader="none"/>
        </w:tabs>
        <w:spacing w:line="172" w:lineRule="exact" w:before="38"/>
        <w:ind w:left="108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Energiebilanz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(Endenergie)</w:t>
        <w:tab/>
      </w:r>
      <w:r>
        <w:rPr>
          <w:rFonts w:ascii="Theinhardt Regular"/>
          <w:color w:val="231F20"/>
          <w:sz w:val="14"/>
        </w:rPr>
        <w:t>%       </w:t>
      </w:r>
      <w:r>
        <w:rPr>
          <w:rFonts w:ascii="Theinhardt Regular"/>
          <w:color w:val="231F20"/>
          <w:spacing w:val="31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kWh/a</w:t>
      </w:r>
      <w:r>
        <w:rPr>
          <w:rFonts w:ascii="Theinhardt Regular"/>
          <w:sz w:val="14"/>
        </w:rPr>
      </w:r>
    </w:p>
    <w:p>
      <w:pPr>
        <w:tabs>
          <w:tab w:pos="2412" w:val="left" w:leader="none"/>
        </w:tabs>
        <w:spacing w:line="160" w:lineRule="exact" w:before="0"/>
        <w:ind w:left="108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165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   </w:t>
      </w:r>
      <w:r>
        <w:rPr>
          <w:rFonts w:ascii="Theinhardt Bold" w:hAnsi="Theinhardt Bold" w:cs="Theinhardt Bold" w:eastAsia="Theinhardt Bold"/>
          <w:b/>
          <w:bCs/>
          <w:color w:val="231F20"/>
          <w:spacing w:val="3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209’418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12" w:val="left" w:leader="none"/>
        </w:tabs>
        <w:spacing w:line="160" w:lineRule="exact" w:before="0"/>
        <w:ind w:left="108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Gesamtenergiebedarf: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126’782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92" w:val="left" w:leader="none"/>
        </w:tabs>
        <w:spacing w:line="172" w:lineRule="exact" w:before="0"/>
        <w:ind w:left="108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Solarstromüberschuss: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65      </w:t>
      </w:r>
      <w:r>
        <w:rPr>
          <w:rFonts w:ascii="Theinhardt Regular" w:hAnsi="Theinhardt Regular" w:cs="Theinhardt Regular" w:eastAsia="Theinhardt Regular"/>
          <w:color w:val="231F20"/>
          <w:spacing w:val="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82’636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39"/>
        <w:ind w:left="108" w:right="1018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Bestätigt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von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EKS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am</w:t>
      </w:r>
      <w:r>
        <w:rPr>
          <w:rFonts w:ascii="Theinhardt Regular" w:hAnsi="Theinhardt Regular"/>
          <w:color w:val="231F20"/>
          <w:spacing w:val="-3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14.04.2020</w:t>
      </w:r>
      <w:r>
        <w:rPr>
          <w:rFonts w:ascii="Theinhardt Regular" w:hAnsi="Theinhardt Regular"/>
          <w:color w:val="231F20"/>
          <w:spacing w:val="28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Luca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Slanzi,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52</w:t>
      </w:r>
      <w:r>
        <w:rPr>
          <w:rFonts w:ascii="Theinhardt Regular" w:hAnsi="Theinhardt Regular"/>
          <w:color w:val="231F20"/>
          <w:sz w:val="14"/>
        </w:rPr>
        <w:t> 633 55 55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56"/>
        <w:ind w:left="108" w:right="108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Anm.:</w:t>
      </w:r>
      <w:r>
        <w:rPr>
          <w:rFonts w:ascii="Theinhardt Bold" w:hAnsi="Theinhardt Bold"/>
          <w:b/>
          <w:color w:val="231F20"/>
          <w:spacing w:val="6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pacing w:val="3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Solarertrag</w:t>
      </w:r>
      <w:r>
        <w:rPr>
          <w:rFonts w:ascii="Theinhardt Regular" w:hAnsi="Theinhardt Regular"/>
          <w:color w:val="231F20"/>
          <w:spacing w:val="3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war</w:t>
      </w:r>
      <w:r>
        <w:rPr>
          <w:rFonts w:ascii="Theinhardt Regular" w:hAnsi="Theinhardt Regular"/>
          <w:color w:val="231F20"/>
          <w:spacing w:val="3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in</w:t>
      </w:r>
      <w:r>
        <w:rPr>
          <w:rFonts w:ascii="Theinhardt Regular" w:hAnsi="Theinhardt Regular"/>
          <w:color w:val="231F20"/>
          <w:spacing w:val="3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pacing w:val="3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1.</w:t>
      </w:r>
      <w:r>
        <w:rPr>
          <w:rFonts w:ascii="Theinhardt Regular" w:hAnsi="Theinhardt Regular"/>
          <w:color w:val="231F20"/>
          <w:spacing w:val="3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Hälfte</w:t>
      </w:r>
      <w:r>
        <w:rPr>
          <w:rFonts w:ascii="Theinhardt Regular" w:hAnsi="Theinhardt Regular"/>
          <w:color w:val="231F20"/>
          <w:spacing w:val="3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2020</w:t>
      </w:r>
      <w:r>
        <w:rPr>
          <w:rFonts w:ascii="Theinhardt Regular" w:hAnsi="Theinhardt Regular"/>
          <w:color w:val="231F20"/>
          <w:spacing w:val="3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über-</w:t>
      </w:r>
      <w:r>
        <w:rPr>
          <w:rFonts w:ascii="Theinhardt Regular" w:hAnsi="Theinhardt Regular"/>
          <w:color w:val="231F20"/>
          <w:spacing w:val="4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durchschnittlich.</w:t>
      </w:r>
      <w:r>
        <w:rPr>
          <w:rFonts w:ascii="Theinhardt Regular" w:hAnsi="Theinhardt Regular"/>
          <w:color w:val="231F20"/>
          <w:spacing w:val="16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Alle</w:t>
      </w:r>
      <w:r>
        <w:rPr>
          <w:rFonts w:ascii="Theinhardt Regular" w:hAnsi="Theinhardt Regular"/>
          <w:color w:val="231F20"/>
          <w:spacing w:val="16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müssen</w:t>
      </w:r>
      <w:r>
        <w:rPr>
          <w:rFonts w:ascii="Theinhardt Regular" w:hAnsi="Theinhardt Regular"/>
          <w:color w:val="231F20"/>
          <w:spacing w:val="16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rechtsgleich</w:t>
      </w:r>
      <w:r>
        <w:rPr>
          <w:rFonts w:ascii="Theinhardt Regular" w:hAnsi="Theinhardt Regular"/>
          <w:color w:val="231F20"/>
          <w:spacing w:val="16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behandelt</w:t>
      </w:r>
      <w:r>
        <w:rPr>
          <w:rFonts w:ascii="Theinhardt Regular" w:hAnsi="Theinhardt Regular"/>
          <w:color w:val="231F20"/>
          <w:spacing w:val="5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werden</w:t>
      </w:r>
      <w:r>
        <w:rPr>
          <w:rFonts w:ascii="Theinhardt Regular" w:hAnsi="Theinhardt Regular"/>
          <w:color w:val="231F20"/>
          <w:sz w:val="14"/>
        </w:rPr>
        <w:t> (vgl. </w:t>
      </w:r>
      <w:r>
        <w:rPr>
          <w:rFonts w:ascii="Theinhardt Regular" w:hAnsi="Theinhardt Regular"/>
          <w:color w:val="231F20"/>
          <w:spacing w:val="2"/>
          <w:sz w:val="14"/>
        </w:rPr>
        <w:t>Rechtsfragen,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S.</w:t>
      </w:r>
      <w:r>
        <w:rPr>
          <w:rFonts w:ascii="Theinhardt Regular" w:hAnsi="Theinhardt Regular"/>
          <w:color w:val="231F20"/>
          <w:sz w:val="14"/>
        </w:rPr>
        <w:t> 44).</w:t>
      </w:r>
      <w:r>
        <w:rPr>
          <w:rFonts w:ascii="Theinhardt Regular" w:hAnsi="Theinhardt Regular"/>
          <w:sz w:val="14"/>
        </w:rPr>
      </w:r>
    </w:p>
    <w:p>
      <w:pPr>
        <w:spacing w:before="49"/>
        <w:ind w:left="108" w:right="0" w:firstLine="0"/>
        <w:jc w:val="both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1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> Personen</w:t>
      </w:r>
      <w:r>
        <w:rPr>
          <w:rFonts w:ascii="Theinhardt Black"/>
          <w:sz w:val="14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8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8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Standort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und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Bauherrschaft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8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Chlaffentalstrasse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108,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8212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Neuhausen</w:t>
      </w:r>
      <w:r>
        <w:rPr>
          <w:rFonts w:ascii="Theinhardt Regular"/>
          <w:color w:val="231F20"/>
          <w:sz w:val="14"/>
        </w:rPr>
        <w:t> am </w:t>
      </w:r>
      <w:r>
        <w:rPr>
          <w:rFonts w:ascii="Theinhardt Regular"/>
          <w:color w:val="231F20"/>
          <w:spacing w:val="1"/>
          <w:sz w:val="14"/>
        </w:rPr>
        <w:t>Rheinfall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08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hyperlink r:id="rId7">
        <w:r>
          <w:rPr>
            <w:rFonts w:ascii="Theinhardt Regular"/>
            <w:color w:val="231F20"/>
            <w:spacing w:val="-1"/>
            <w:sz w:val="14"/>
          </w:rPr>
          <w:t>thomas.mueller@neuhausen.ch</w:t>
        </w:r>
        <w:r>
          <w:rPr>
            <w:rFonts w:ascii="Theinhardt Regular"/>
            <w:color w:val="EC008C"/>
            <w:spacing w:val="-1"/>
            <w:sz w:val="14"/>
          </w:rPr>
          <w:t>,</w:t>
        </w:r>
      </w:hyperlink>
      <w:r>
        <w:rPr>
          <w:rFonts w:ascii="Theinhardt Regular"/>
          <w:color w:val="EC008C"/>
          <w:spacing w:val="-6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Tel.</w:t>
      </w:r>
      <w:r>
        <w:rPr>
          <w:rFonts w:ascii="Theinhardt Regular"/>
          <w:color w:val="231F20"/>
          <w:spacing w:val="-6"/>
          <w:sz w:val="14"/>
        </w:rPr>
        <w:t> +41 </w:t>
      </w:r>
      <w:r>
        <w:rPr>
          <w:rFonts w:ascii="Theinhardt Regular"/>
          <w:color w:val="231F20"/>
          <w:spacing w:val="-3"/>
          <w:sz w:val="14"/>
        </w:rPr>
        <w:t>52</w:t>
      </w:r>
      <w:r>
        <w:rPr>
          <w:rFonts w:ascii="Theinhardt Regular"/>
          <w:color w:val="231F20"/>
          <w:spacing w:val="-6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632</w:t>
      </w:r>
      <w:r>
        <w:rPr>
          <w:rFonts w:ascii="Theinhardt Regular"/>
          <w:color w:val="231F20"/>
          <w:spacing w:val="-6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66</w:t>
      </w:r>
      <w:r>
        <w:rPr>
          <w:rFonts w:ascii="Theinhardt Regular"/>
          <w:color w:val="231F20"/>
          <w:spacing w:val="-6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10</w:t>
      </w:r>
      <w:r>
        <w:rPr>
          <w:rFonts w:ascii="Theinhardt Regular"/>
          <w:sz w:val="14"/>
        </w:rPr>
      </w:r>
    </w:p>
    <w:p>
      <w:pPr>
        <w:spacing w:line="172" w:lineRule="exact" w:before="32"/>
        <w:ind w:left="108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Weitere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2"/>
          <w:sz w:val="14"/>
        </w:rPr>
        <w:t>Projektbeteiligte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8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EKS</w:t>
      </w:r>
      <w:r>
        <w:rPr>
          <w:rFonts w:ascii="Theinhardt Regular"/>
          <w:color w:val="231F20"/>
          <w:spacing w:val="1"/>
          <w:sz w:val="14"/>
        </w:rPr>
        <w:t>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Rheinstrasse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37,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8201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Schaffhausen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08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52</w:t>
      </w:r>
      <w:r>
        <w:rPr>
          <w:rFonts w:ascii="Theinhardt Regular"/>
          <w:color w:val="231F20"/>
          <w:sz w:val="14"/>
        </w:rPr>
        <w:t> 633 55 </w:t>
      </w:r>
      <w:r>
        <w:rPr>
          <w:rFonts w:ascii="Theinhardt Regular"/>
          <w:color w:val="231F20"/>
          <w:spacing w:val="-1"/>
          <w:sz w:val="14"/>
        </w:rPr>
        <w:t>55</w:t>
      </w:r>
      <w:hyperlink r:id="rId8">
        <w:r>
          <w:rPr>
            <w:rFonts w:ascii="Theinhardt Regular"/>
            <w:color w:val="231F20"/>
            <w:spacing w:val="-1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info@eks.ch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08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Wipf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Wärmetechnik</w:t>
      </w:r>
      <w:r>
        <w:rPr>
          <w:rFonts w:ascii="Theinhardt Bold" w:hAnsi="Theinhardt Bold"/>
          <w:b/>
          <w:color w:val="231F20"/>
          <w:sz w:val="14"/>
        </w:rPr>
        <w:t> AG</w:t>
      </w:r>
      <w:r>
        <w:rPr>
          <w:rFonts w:ascii="Theinhardt Bold" w:hAnsi="Theinhardt Bold"/>
          <w:sz w:val="14"/>
        </w:rPr>
      </w:r>
    </w:p>
    <w:p>
      <w:pPr>
        <w:spacing w:line="160" w:lineRule="exact" w:before="0"/>
        <w:ind w:left="108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Zentralstrasse</w:t>
      </w:r>
      <w:r>
        <w:rPr>
          <w:rFonts w:ascii="Theinhardt Regular"/>
          <w:color w:val="231F20"/>
          <w:sz w:val="14"/>
        </w:rPr>
        <w:t> 80, </w:t>
      </w:r>
      <w:r>
        <w:rPr>
          <w:rFonts w:ascii="Theinhardt Regular"/>
          <w:color w:val="231F20"/>
          <w:spacing w:val="-4"/>
          <w:sz w:val="14"/>
        </w:rPr>
        <w:t>8212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Neuhausen</w:t>
      </w:r>
      <w:r>
        <w:rPr>
          <w:rFonts w:ascii="Theinhardt Regular"/>
          <w:color w:val="231F20"/>
          <w:sz w:val="14"/>
        </w:rPr>
        <w:t> am </w:t>
      </w:r>
      <w:r>
        <w:rPr>
          <w:rFonts w:ascii="Theinhardt Regular"/>
          <w:color w:val="231F20"/>
          <w:spacing w:val="1"/>
          <w:sz w:val="14"/>
        </w:rPr>
        <w:t>Rheinfall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08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52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672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72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7</w:t>
      </w:r>
      <w:hyperlink r:id="rId9">
        <w:r>
          <w:rPr>
            <w:rFonts w:ascii="Theinhardt Regular"/>
            <w:color w:val="231F20"/>
            <w:spacing w:val="-1"/>
            <w:sz w:val="14"/>
          </w:rPr>
          <w:t>2,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wipf@wipfinfo.ch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08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Bachmann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Neukomm</w:t>
      </w:r>
      <w:r>
        <w:rPr>
          <w:rFonts w:ascii="Theinhardt Bold"/>
          <w:b/>
          <w:color w:val="231F20"/>
          <w:sz w:val="14"/>
        </w:rPr>
        <w:t> AG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8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2"/>
          <w:sz w:val="14"/>
        </w:rPr>
        <w:t>Mühlenstrasse</w:t>
      </w:r>
      <w:r>
        <w:rPr>
          <w:rFonts w:ascii="Theinhardt Regular" w:hAnsi="Theinhardt Regular"/>
          <w:color w:val="231F20"/>
          <w:sz w:val="14"/>
        </w:rPr>
        <w:t> 66, </w:t>
      </w:r>
      <w:r>
        <w:rPr>
          <w:rFonts w:ascii="Theinhardt Regular" w:hAnsi="Theinhardt Regular"/>
          <w:color w:val="231F20"/>
          <w:spacing w:val="1"/>
          <w:sz w:val="14"/>
        </w:rPr>
        <w:t>8200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Schaffhausen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0"/>
        <w:ind w:left="108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52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632</w:t>
      </w:r>
      <w:r>
        <w:rPr>
          <w:rFonts w:ascii="Theinhardt Regular"/>
          <w:color w:val="231F20"/>
          <w:sz w:val="14"/>
        </w:rPr>
        <w:t> 07 </w:t>
      </w:r>
      <w:r>
        <w:rPr>
          <w:rFonts w:ascii="Theinhardt Regular"/>
          <w:color w:val="231F20"/>
          <w:spacing w:val="-4"/>
          <w:sz w:val="14"/>
        </w:rPr>
        <w:t>07</w:t>
      </w:r>
      <w:hyperlink r:id="rId10">
        <w:r>
          <w:rPr>
            <w:rFonts w:ascii="Theinhardt Regular"/>
            <w:color w:val="231F20"/>
            <w:spacing w:val="-4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info@bnag.ch</w:t>
        </w:r>
        <w:r>
          <w:rPr>
            <w:rFonts w:ascii="Theinhardt Regular"/>
            <w:sz w:val="14"/>
          </w:rPr>
        </w:r>
      </w:hyperlink>
    </w:p>
    <w:p>
      <w:pPr>
        <w:spacing w:line="240" w:lineRule="auto" w:before="9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108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23"/>
          <w:szCs w:val="23"/>
        </w:rPr>
      </w:pPr>
    </w:p>
    <w:p>
      <w:pPr>
        <w:spacing w:line="200" w:lineRule="atLeast"/>
        <w:ind w:left="108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31183" cy="1246632"/>
            <wp:effectExtent l="0" t="0" r="0" b="0"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183" cy="124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9"/>
        <w:ind w:left="106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196" w:lineRule="auto" w:before="41"/>
        <w:ind w:left="349" w:right="327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(≈1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’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700 m</w:t>
      </w:r>
      <w:r>
        <w:rPr>
          <w:rFonts w:ascii="Theinhardt Bold" w:hAnsi="Theinhardt Bold" w:cs="Theinhardt Bold" w:eastAsia="Theinhardt Bold"/>
          <w:b/>
          <w:bCs/>
          <w:color w:val="231F20"/>
          <w:position w:val="5"/>
          <w:sz w:val="8"/>
          <w:szCs w:val="8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) und teilbeheizte Räume (≈1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’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700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m</w:t>
      </w:r>
      <w:r>
        <w:rPr>
          <w:rFonts w:ascii="Theinhardt Bold" w:hAnsi="Theinhardt Bold" w:cs="Theinhardt Bold" w:eastAsia="Theinhardt Bold"/>
          <w:b/>
          <w:bCs/>
          <w:color w:val="231F20"/>
          <w:position w:val="5"/>
          <w:sz w:val="8"/>
          <w:szCs w:val="8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)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werden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nach energet.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Rückzahlung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PV-Herstellungsenergie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von ca.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1.5 Jahren</w:t>
      </w:r>
      <w:r>
        <w:rPr>
          <w:rFonts w:ascii="Theinhardt Bold" w:hAnsi="Theinhardt Bold" w:cs="Theinhardt Bold" w:eastAsia="Theinhardt Bold"/>
          <w:b/>
          <w:bCs/>
          <w:color w:val="231F20"/>
          <w:spacing w:val="3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CO</w:t>
      </w:r>
      <w:r>
        <w:rPr>
          <w:rFonts w:ascii="Theinhardt Bold" w:hAnsi="Theinhardt Bold" w:cs="Theinhardt Bold" w:eastAsia="Theinhardt Bold"/>
          <w:b/>
          <w:bCs/>
          <w:color w:val="231F20"/>
          <w:position w:val="-4"/>
          <w:sz w:val="8"/>
          <w:szCs w:val="8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-frei versorgt.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Mit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Solarstromüber-</w:t>
      </w:r>
      <w:r>
        <w:rPr>
          <w:rFonts w:ascii="Theinhardt Bold" w:hAnsi="Theinhardt Bold" w:cs="Theinhardt Bold" w:eastAsia="Theinhardt Bold"/>
          <w:b/>
          <w:bCs/>
          <w:color w:val="231F20"/>
          <w:spacing w:val="2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schuss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können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noch 44 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CO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position w:val="-4"/>
          <w:sz w:val="8"/>
          <w:szCs w:val="8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-Emissionen</w:t>
      </w:r>
      <w:r>
        <w:rPr>
          <w:rFonts w:ascii="Theinhardt Bold" w:hAnsi="Theinhardt Bold" w:cs="Theinhardt Bold" w:eastAsia="Theinhardt Bold"/>
          <w:b/>
          <w:bCs/>
          <w:color w:val="231F20"/>
          <w:spacing w:val="3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reduziert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werden.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96" w:lineRule="auto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63" w:space="109"/>
            <w:col w:w="3463" w:space="107"/>
            <w:col w:w="3568"/>
          </w:cols>
        </w:sectPr>
      </w:pPr>
    </w:p>
    <w:p>
      <w:pPr>
        <w:spacing w:line="240" w:lineRule="auto" w:before="8"/>
        <w:rPr>
          <w:rFonts w:ascii="Theinhardt Bold" w:hAnsi="Theinhardt Bold" w:cs="Theinhardt Bold" w:eastAsia="Theinhardt Bold"/>
          <w:b/>
          <w:bCs/>
          <w:sz w:val="19"/>
          <w:szCs w:val="19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60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2020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2020</w:t>
      </w:r>
      <w:r>
        <w:rPr>
          <w:rFonts w:ascii="Theinhardt Regular"/>
          <w:sz w:val="14"/>
        </w:rPr>
      </w:r>
    </w:p>
    <w:sectPr>
      <w:type w:val="continuous"/>
      <w:pgSz w:w="11910" w:h="16840"/>
      <w:pgMar w:top="84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3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333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4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6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6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7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1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thomas.mueller@neuhausen.ch" TargetMode="External"/><Relationship Id="rId8" Type="http://schemas.openxmlformats.org/officeDocument/2006/relationships/hyperlink" Target="mailto:info@eks.ch" TargetMode="External"/><Relationship Id="rId9" Type="http://schemas.openxmlformats.org/officeDocument/2006/relationships/hyperlink" Target="mailto:wipf@wipfinfo.ch" TargetMode="External"/><Relationship Id="rId10" Type="http://schemas.openxmlformats.org/officeDocument/2006/relationships/hyperlink" Target="mailto:info@bnag.ch" TargetMode="External"/><Relationship Id="rId11" Type="http://schemas.openxmlformats.org/officeDocument/2006/relationships/image" Target="media/image3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2020-10-07T11:43:58Z</dcterms:created>
  <dcterms:modified xsi:type="dcterms:W3CDTF">2020-10-07T11:43:58Z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LastSaved">
    <vt:filetime>2020-10-07T00:00:00Z</vt:filetime>
  </property>
</Properties>
</file>