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2534" w:val="left" w:leader="none"/>
        </w:tabs>
        <w:spacing w:line="230" w:lineRule="exact" w:before="28"/>
        <w:ind w:left="104" w:right="0" w:firstLine="0"/>
        <w:jc w:val="both"/>
        <w:rPr>
          <w:rFonts w:ascii="Theinhardt Regular" w:hAnsi="Theinhardt Regular" w:cs="Theinhardt Regular" w:eastAsia="Theinhardt Regular"/>
          <w:sz w:val="18"/>
          <w:szCs w:val="18"/>
        </w:rPr>
      </w:pPr>
      <w:r>
        <w:rPr/>
        <w:pict>
          <v:group style="position:absolute;margin-left:28.4217pt;margin-top:13.647326pt;width:.1pt;height:.1pt;mso-position-horizontal-relative:page;mso-position-vertical-relative:paragraph;z-index:-6544" coordorigin="568,273" coordsize="2,2">
            <v:shape style="position:absolute;left:568;top:273;width:2;height:2" coordorigin="568,273" coordsize="0,0" path="m568,273l568,27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50.160706pt;margin-top:13.647326pt;width:.1pt;height:.1pt;mso-position-horizontal-relative:page;mso-position-vertical-relative:paragraph;z-index:1096" coordorigin="3003,273" coordsize="2,2">
            <v:shape style="position:absolute;left:3003;top:273;width:2;height:2" coordorigin="3003,273" coordsize="0,0" path="m3003,273l3003,27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28.4217pt;margin-top:25.147326pt;width:.1pt;height:.1pt;mso-position-horizontal-relative:page;mso-position-vertical-relative:paragraph;z-index:-6496" coordorigin="568,503" coordsize="2,2">
            <v:shape style="position:absolute;left:568;top:503;width:2;height:2" coordorigin="568,503" coordsize="0,0" path="m568,503l568,50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50.160706pt;margin-top:25.147326pt;width:.1pt;height:.1pt;mso-position-horizontal-relative:page;mso-position-vertical-relative:paragraph;z-index:1144" coordorigin="3003,503" coordsize="2,2">
            <v:shape style="position:absolute;left:3003;top:503;width:2;height:2" coordorigin="3003,503" coordsize="0,0" path="m3003,503l3003,503e" filled="false" stroked="true" strokeweight=".425pt" strokecolor="#231f20">
              <v:path arrowok="t"/>
            </v:shape>
            <w10:wrap type="none"/>
          </v:group>
        </w:pict>
      </w:r>
      <w:r>
        <w:rPr>
          <w:rFonts w:ascii="Theinhardt Heavy" w:hAnsi="Theinhardt Heavy"/>
          <w:b/>
          <w:color w:val="231F20"/>
          <w:sz w:val="18"/>
        </w:rPr>
      </w:r>
      <w:r>
        <w:rPr>
          <w:rFonts w:ascii="Theinhardt Heavy" w:hAnsi="Theinhardt Heavy"/>
          <w:b/>
          <w:color w:val="231F20"/>
          <w:sz w:val="18"/>
          <w:u w:val="dotted" w:color="231F20"/>
        </w:rPr>
        <w:t>Kategorie                </w:t>
      </w:r>
      <w:r>
        <w:rPr>
          <w:rFonts w:ascii="Theinhardt Heavy" w:hAnsi="Theinhardt Heavy"/>
          <w:b/>
          <w:color w:val="231F20"/>
          <w:spacing w:val="2"/>
          <w:sz w:val="18"/>
          <w:u w:val="dotted" w:color="231F20"/>
        </w:rPr>
        <w:t> </w:t>
      </w:r>
      <w:r>
        <w:rPr>
          <w:rFonts w:ascii="Theinhardt Heavy" w:hAnsi="Theinhardt Heavy"/>
          <w:b/>
          <w:color w:val="231F20"/>
          <w:sz w:val="18"/>
          <w:u w:val="dotted" w:color="231F20"/>
        </w:rPr>
        <w:t>B</w:t>
      </w:r>
      <w:r>
        <w:rPr>
          <w:rFonts w:ascii="Theinhardt Heavy" w:hAnsi="Theinhardt Heavy"/>
          <w:b/>
          <w:color w:val="231F20"/>
          <w:sz w:val="18"/>
          <w:u w:val="dotted" w:color="231F20"/>
        </w:rPr>
        <w:t> </w:t>
        <w:tab/>
      </w:r>
      <w:r>
        <w:rPr>
          <w:rFonts w:ascii="Theinhardt Heavy" w:hAnsi="Theinhardt Heavy"/>
          <w:b/>
          <w:color w:val="231F20"/>
          <w:sz w:val="18"/>
        </w:rPr>
      </w:r>
      <w:r>
        <w:rPr>
          <w:rFonts w:ascii="Theinhardt Heavy" w:hAnsi="Theinhardt Heavy"/>
          <w:b/>
          <w:color w:val="231F20"/>
          <w:sz w:val="18"/>
        </w:rPr>
        <w:t> </w:t>
      </w:r>
      <w:r>
        <w:rPr>
          <w:rFonts w:ascii="Theinhardt Heavy" w:hAnsi="Theinhardt Heavy"/>
          <w:b/>
          <w:color w:val="231F20"/>
          <w:w w:val="95"/>
          <w:sz w:val="18"/>
          <w:u w:val="dotted" w:color="231F20"/>
        </w:rPr>
        <w:t>Gebäude: </w:t>
      </w:r>
      <w:r>
        <w:rPr>
          <w:rFonts w:ascii="Theinhardt Heavy" w:hAnsi="Theinhardt Heavy"/>
          <w:b/>
          <w:color w:val="231F20"/>
          <w:spacing w:val="3"/>
          <w:w w:val="95"/>
          <w:sz w:val="18"/>
          <w:u w:val="dotted" w:color="231F20"/>
        </w:rPr>
        <w:t> </w:t>
      </w:r>
      <w:r>
        <w:rPr>
          <w:rFonts w:ascii="Theinhardt Heavy" w:hAnsi="Theinhardt Heavy"/>
          <w:b/>
          <w:color w:val="231F20"/>
          <w:sz w:val="18"/>
          <w:u w:val="dotted" w:color="231F20"/>
        </w:rPr>
        <w:t>Neubauten</w:t>
      </w:r>
      <w:r>
        <w:rPr>
          <w:rFonts w:ascii="Theinhardt Heavy" w:hAnsi="Theinhardt Heavy"/>
          <w:b/>
          <w:color w:val="231F20"/>
          <w:sz w:val="18"/>
          <w:u w:val="dotted" w:color="231F20"/>
        </w:rPr>
        <w:t> </w:t>
        <w:tab/>
      </w:r>
      <w:r>
        <w:rPr>
          <w:rFonts w:ascii="Theinhardt Heavy" w:hAnsi="Theinhardt Heavy"/>
          <w:b/>
          <w:color w:val="231F20"/>
          <w:sz w:val="18"/>
        </w:rPr>
      </w:r>
      <w:r>
        <w:rPr>
          <w:rFonts w:ascii="Theinhardt Heavy" w:hAnsi="Theinhardt Heavy"/>
          <w:b/>
          <w:color w:val="231F20"/>
          <w:spacing w:val="26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Schweizer</w:t>
      </w:r>
      <w:r>
        <w:rPr>
          <w:rFonts w:ascii="Theinhardt Regular" w:hAnsi="Theinhardt Regular"/>
          <w:color w:val="231F20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Solarpreis</w:t>
      </w:r>
      <w:r>
        <w:rPr>
          <w:rFonts w:ascii="Theinhardt Regular" w:hAnsi="Theinhardt Regular"/>
          <w:color w:val="231F20"/>
          <w:sz w:val="18"/>
        </w:rPr>
        <w:t> 2020</w:t>
      </w:r>
      <w:r>
        <w:rPr>
          <w:rFonts w:ascii="Theinhardt Regular" w:hAnsi="Theinhardt Regular"/>
          <w:sz w:val="18"/>
        </w:rPr>
      </w:r>
    </w:p>
    <w:p>
      <w:pPr>
        <w:spacing w:line="230" w:lineRule="exact" w:before="28"/>
        <w:ind w:left="104" w:right="107" w:firstLine="0"/>
        <w:jc w:val="both"/>
        <w:rPr>
          <w:rFonts w:ascii="Theinhardt Bold" w:hAnsi="Theinhardt Bold" w:cs="Theinhardt Bold" w:eastAsia="Theinhardt Bold"/>
          <w:sz w:val="18"/>
          <w:szCs w:val="18"/>
        </w:rPr>
      </w:pPr>
      <w:r>
        <w:rPr/>
        <w:br w:type="column"/>
      </w:r>
      <w:r>
        <w:rPr>
          <w:rFonts w:ascii="Theinhardt Bold" w:hAnsi="Theinhardt Bold" w:cs="Theinhardt Bold" w:eastAsia="Theinhardt Bold"/>
          <w:b/>
          <w:bCs/>
          <w:color w:val="0C1C23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0C1C23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im</w:t>
      </w:r>
      <w:r>
        <w:rPr>
          <w:rFonts w:ascii="Theinhardt Bold" w:hAnsi="Theinhardt Bold" w:cs="Theinhardt Bold" w:eastAsia="Theinhardt Bold"/>
          <w:b/>
          <w:bCs/>
          <w:color w:val="0C1C23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November</w:t>
      </w:r>
      <w:r>
        <w:rPr>
          <w:rFonts w:ascii="Theinhardt Bold" w:hAnsi="Theinhardt Bold" w:cs="Theinhardt Bold" w:eastAsia="Theinhardt Bold"/>
          <w:b/>
          <w:bCs/>
          <w:color w:val="0C1C23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2019</w:t>
      </w:r>
      <w:r>
        <w:rPr>
          <w:rFonts w:ascii="Theinhardt Bold" w:hAnsi="Theinhardt Bold" w:cs="Theinhardt Bold" w:eastAsia="Theinhardt Bold"/>
          <w:b/>
          <w:bCs/>
          <w:color w:val="0C1C23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erbaute</w:t>
      </w:r>
      <w:r>
        <w:rPr>
          <w:rFonts w:ascii="Theinhardt Bold" w:hAnsi="Theinhardt Bold" w:cs="Theinhardt Bold" w:eastAsia="Theinhardt Bold"/>
          <w:b/>
          <w:bCs/>
          <w:color w:val="0C1C23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Supermarkt</w:t>
      </w:r>
      <w:r>
        <w:rPr>
          <w:rFonts w:ascii="Theinhardt Bold" w:hAnsi="Theinhardt Bold" w:cs="Theinhardt Bold" w:eastAsia="Theinhardt Bold"/>
          <w:b/>
          <w:bCs/>
          <w:color w:val="0C1C23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0C1C23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Migros</w:t>
      </w:r>
      <w:r>
        <w:rPr>
          <w:rFonts w:ascii="Theinhardt Bold" w:hAnsi="Theinhardt Bold" w:cs="Theinhardt Bold" w:eastAsia="Theinhardt Bold"/>
          <w:b/>
          <w:bCs/>
          <w:color w:val="0C1C23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Ostschweiz</w:t>
      </w:r>
      <w:r>
        <w:rPr>
          <w:rFonts w:ascii="Theinhardt Bold" w:hAnsi="Theinhardt Bold" w:cs="Theinhardt Bold" w:eastAsia="Theinhardt Bold"/>
          <w:b/>
          <w:bCs/>
          <w:color w:val="0C1C23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in</w:t>
      </w:r>
      <w:r>
        <w:rPr>
          <w:rFonts w:ascii="Theinhardt Bold" w:hAnsi="Theinhardt Bold" w:cs="Theinhardt Bold" w:eastAsia="Theinhardt Bold"/>
          <w:b/>
          <w:bCs/>
          <w:color w:val="0C1C23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Heiden/AR</w:t>
      </w:r>
      <w:r>
        <w:rPr>
          <w:rFonts w:ascii="Theinhardt Bold" w:hAnsi="Theinhardt Bold" w:cs="Theinhardt Bold" w:eastAsia="Theinhardt Bold"/>
          <w:b/>
          <w:bCs/>
          <w:color w:val="0C1C23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verfügt</w:t>
      </w:r>
      <w:r>
        <w:rPr>
          <w:rFonts w:ascii="Theinhardt Bold" w:hAnsi="Theinhardt Bold" w:cs="Theinhardt Bold" w:eastAsia="Theinhardt Bold"/>
          <w:b/>
          <w:bCs/>
          <w:color w:val="0C1C23"/>
          <w:spacing w:val="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über</w:t>
      </w:r>
      <w:r>
        <w:rPr>
          <w:rFonts w:ascii="Theinhardt Bold" w:hAnsi="Theinhardt Bold" w:cs="Theinhardt Bold" w:eastAsia="Theinhardt Bold"/>
          <w:b/>
          <w:bCs/>
          <w:color w:val="0C1C23"/>
          <w:spacing w:val="5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eine</w:t>
      </w:r>
      <w:r>
        <w:rPr>
          <w:rFonts w:ascii="Theinhardt Bold" w:hAnsi="Theinhardt Bold" w:cs="Theinhardt Bold" w:eastAsia="Theinhardt Bold"/>
          <w:b/>
          <w:bCs/>
          <w:color w:val="0C1C23"/>
          <w:spacing w:val="-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114</w:t>
      </w:r>
      <w:r>
        <w:rPr>
          <w:rFonts w:ascii="Theinhardt Bold" w:hAnsi="Theinhardt Bold" w:cs="Theinhardt Bold" w:eastAsia="Theinhardt Bold"/>
          <w:b/>
          <w:bCs/>
          <w:color w:val="0C1C23"/>
          <w:spacing w:val="-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kW</w:t>
      </w:r>
      <w:r>
        <w:rPr>
          <w:rFonts w:ascii="Theinhardt Bold" w:hAnsi="Theinhardt Bold" w:cs="Theinhardt Bold" w:eastAsia="Theinhardt Bold"/>
          <w:b/>
          <w:bCs/>
          <w:color w:val="0C1C23"/>
          <w:spacing w:val="-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starke,</w:t>
      </w:r>
      <w:r>
        <w:rPr>
          <w:rFonts w:ascii="Theinhardt Bold" w:hAnsi="Theinhardt Bold" w:cs="Theinhardt Bold" w:eastAsia="Theinhardt Bold"/>
          <w:b/>
          <w:bCs/>
          <w:color w:val="0C1C23"/>
          <w:spacing w:val="-1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perfekt</w:t>
      </w:r>
      <w:r>
        <w:rPr>
          <w:rFonts w:ascii="Theinhardt Bold" w:hAnsi="Theinhardt Bold" w:cs="Theinhardt Bold" w:eastAsia="Theinhardt Bold"/>
          <w:b/>
          <w:bCs/>
          <w:color w:val="0C1C23"/>
          <w:spacing w:val="-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fassadenintegrierte</w:t>
      </w:r>
      <w:r>
        <w:rPr>
          <w:rFonts w:ascii="Theinhardt Bold" w:hAnsi="Theinhardt Bold" w:cs="Theinhardt Bold" w:eastAsia="Theinhardt Bold"/>
          <w:b/>
          <w:bCs/>
          <w:color w:val="0C1C23"/>
          <w:spacing w:val="-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0C1C23"/>
          <w:spacing w:val="-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eine</w:t>
      </w:r>
      <w:r>
        <w:rPr>
          <w:rFonts w:ascii="Theinhardt Bold" w:hAnsi="Theinhardt Bold" w:cs="Theinhardt Bold" w:eastAsia="Theinhardt Bold"/>
          <w:b/>
          <w:bCs/>
          <w:color w:val="0C1C23"/>
          <w:spacing w:val="-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148</w:t>
      </w:r>
      <w:r>
        <w:rPr>
          <w:rFonts w:ascii="Theinhardt Bold" w:hAnsi="Theinhardt Bold" w:cs="Theinhardt Bold" w:eastAsia="Theinhardt Bold"/>
          <w:b/>
          <w:bCs/>
          <w:color w:val="0C1C23"/>
          <w:spacing w:val="-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kW</w:t>
      </w:r>
      <w:r>
        <w:rPr>
          <w:rFonts w:ascii="Theinhardt Bold" w:hAnsi="Theinhardt Bold" w:cs="Theinhardt Bold" w:eastAsia="Theinhardt Bold"/>
          <w:b/>
          <w:bCs/>
          <w:color w:val="0C1C23"/>
          <w:spacing w:val="-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PV-Dachanlage,</w:t>
      </w:r>
      <w:r>
        <w:rPr>
          <w:rFonts w:ascii="Theinhardt Bold" w:hAnsi="Theinhardt Bold" w:cs="Theinhardt Bold" w:eastAsia="Theinhardt Bold"/>
          <w:b/>
          <w:bCs/>
          <w:color w:val="0C1C23"/>
          <w:spacing w:val="-1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0C1C23"/>
          <w:spacing w:val="-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zusammen</w:t>
      </w:r>
      <w:r>
        <w:rPr>
          <w:rFonts w:ascii="Theinhardt Bold" w:hAnsi="Theinhardt Bold" w:cs="Theinhardt Bold" w:eastAsia="Theinhardt Bold"/>
          <w:b/>
          <w:bCs/>
          <w:color w:val="0C1C23"/>
          <w:spacing w:val="5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z w:val="18"/>
          <w:szCs w:val="18"/>
        </w:rPr>
        <w:t>ca.</w:t>
      </w:r>
      <w:r>
        <w:rPr>
          <w:rFonts w:ascii="Theinhardt Bold" w:hAnsi="Theinhardt Bold" w:cs="Theinhardt Bold" w:eastAsia="Theinhardt Bold"/>
          <w:b/>
          <w:bCs/>
          <w:color w:val="0C1C23"/>
          <w:spacing w:val="2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277’600</w:t>
      </w:r>
      <w:r>
        <w:rPr>
          <w:rFonts w:ascii="Theinhardt Bold" w:hAnsi="Theinhardt Bold" w:cs="Theinhardt Bold" w:eastAsia="Theinhardt Bold"/>
          <w:b/>
          <w:bCs/>
          <w:color w:val="0C1C23"/>
          <w:spacing w:val="3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3"/>
          <w:sz w:val="18"/>
          <w:szCs w:val="18"/>
        </w:rPr>
        <w:t>kWh/a</w:t>
      </w:r>
      <w:r>
        <w:rPr>
          <w:rFonts w:ascii="Theinhardt Bold" w:hAnsi="Theinhardt Bold" w:cs="Theinhardt Bold" w:eastAsia="Theinhardt Bold"/>
          <w:b/>
          <w:bCs/>
          <w:color w:val="0C1C23"/>
          <w:spacing w:val="3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produzieren.</w:t>
      </w:r>
      <w:r>
        <w:rPr>
          <w:rFonts w:ascii="Theinhardt Bold" w:hAnsi="Theinhardt Bold" w:cs="Theinhardt Bold" w:eastAsia="Theinhardt Bold"/>
          <w:b/>
          <w:bCs/>
          <w:color w:val="0C1C23"/>
          <w:spacing w:val="2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Dank</w:t>
      </w:r>
      <w:r>
        <w:rPr>
          <w:rFonts w:ascii="Theinhardt Bold" w:hAnsi="Theinhardt Bold" w:cs="Theinhardt Bold" w:eastAsia="Theinhardt Bold"/>
          <w:b/>
          <w:bCs/>
          <w:color w:val="0C1C23"/>
          <w:spacing w:val="3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0C1C23"/>
          <w:spacing w:val="3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vorbildlichen</w:t>
      </w:r>
      <w:r>
        <w:rPr>
          <w:rFonts w:ascii="Theinhardt Bold" w:hAnsi="Theinhardt Bold" w:cs="Theinhardt Bold" w:eastAsia="Theinhardt Bold"/>
          <w:b/>
          <w:bCs/>
          <w:color w:val="0C1C23"/>
          <w:spacing w:val="3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Wärmedämmung,</w:t>
      </w:r>
      <w:r>
        <w:rPr>
          <w:rFonts w:ascii="Theinhardt Bold" w:hAnsi="Theinhardt Bold" w:cs="Theinhardt Bold" w:eastAsia="Theinhardt Bold"/>
          <w:b/>
          <w:bCs/>
          <w:color w:val="0C1C23"/>
          <w:spacing w:val="2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energieeffizienten</w:t>
      </w:r>
      <w:r>
        <w:rPr>
          <w:rFonts w:ascii="Theinhardt Bold" w:hAnsi="Theinhardt Bold" w:cs="Theinhardt Bold" w:eastAsia="Theinhardt Bold"/>
          <w:b/>
          <w:bCs/>
          <w:color w:val="0C1C23"/>
          <w:spacing w:val="5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Geräten,</w:t>
      </w:r>
      <w:r>
        <w:rPr>
          <w:rFonts w:ascii="Theinhardt Bold" w:hAnsi="Theinhardt Bold" w:cs="Theinhardt Bold" w:eastAsia="Theinhardt Bold"/>
          <w:b/>
          <w:bCs/>
          <w:color w:val="0C1C23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einer</w:t>
      </w:r>
      <w:r>
        <w:rPr>
          <w:rFonts w:ascii="Theinhardt Bold" w:hAnsi="Theinhardt Bold" w:cs="Theinhardt Bold" w:eastAsia="Theinhardt Bold"/>
          <w:b/>
          <w:bCs/>
          <w:color w:val="0C1C23"/>
          <w:spacing w:val="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100%igen</w:t>
      </w:r>
      <w:r>
        <w:rPr>
          <w:rFonts w:ascii="Theinhardt Bold" w:hAnsi="Theinhardt Bold" w:cs="Theinhardt Bold" w:eastAsia="Theinhardt Bold"/>
          <w:b/>
          <w:bCs/>
          <w:color w:val="0C1C23"/>
          <w:spacing w:val="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LED-Beleuchtung</w:t>
      </w:r>
      <w:r>
        <w:rPr>
          <w:rFonts w:ascii="Theinhardt Bold" w:hAnsi="Theinhardt Bold" w:cs="Theinhardt Bold" w:eastAsia="Theinhardt Bold"/>
          <w:b/>
          <w:bCs/>
          <w:color w:val="0C1C23"/>
          <w:spacing w:val="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0C1C23"/>
          <w:spacing w:val="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einer</w:t>
      </w:r>
      <w:r>
        <w:rPr>
          <w:rFonts w:ascii="Theinhardt Bold" w:hAnsi="Theinhardt Bold" w:cs="Theinhardt Bold" w:eastAsia="Theinhardt Bold"/>
          <w:b/>
          <w:bCs/>
          <w:color w:val="0C1C23"/>
          <w:spacing w:val="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konsequenten</w:t>
      </w:r>
      <w:r>
        <w:rPr>
          <w:rFonts w:ascii="Theinhardt Bold" w:hAnsi="Theinhardt Bold" w:cs="Theinhardt Bold" w:eastAsia="Theinhardt Bold"/>
          <w:b/>
          <w:bCs/>
          <w:color w:val="0C1C23"/>
          <w:spacing w:val="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Abwärmenutzung</w:t>
      </w:r>
      <w:r>
        <w:rPr>
          <w:rFonts w:ascii="Theinhardt Bold" w:hAnsi="Theinhardt Bold" w:cs="Theinhardt Bold" w:eastAsia="Theinhardt Bold"/>
          <w:b/>
          <w:bCs/>
          <w:color w:val="0C1C23"/>
          <w:spacing w:val="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beträgt</w:t>
      </w:r>
      <w:r>
        <w:rPr>
          <w:rFonts w:ascii="Theinhardt Bold" w:hAnsi="Theinhardt Bold" w:cs="Theinhardt Bold" w:eastAsia="Theinhardt Bold"/>
          <w:b/>
          <w:bCs/>
          <w:color w:val="0C1C23"/>
          <w:spacing w:val="6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0C1C23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Gesamtenergiebedarf</w:t>
      </w:r>
      <w:r>
        <w:rPr>
          <w:rFonts w:ascii="Theinhardt Bold" w:hAnsi="Theinhardt Bold" w:cs="Theinhardt Bold" w:eastAsia="Theinhardt Bold"/>
          <w:b/>
          <w:bCs/>
          <w:color w:val="0C1C23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0C1C23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Migros</w:t>
      </w:r>
      <w:r>
        <w:rPr>
          <w:rFonts w:ascii="Theinhardt Bold" w:hAnsi="Theinhardt Bold" w:cs="Theinhardt Bold" w:eastAsia="Theinhardt Bold"/>
          <w:b/>
          <w:bCs/>
          <w:color w:val="0C1C23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Heiden</w:t>
      </w:r>
      <w:r>
        <w:rPr>
          <w:rFonts w:ascii="Theinhardt Bold" w:hAnsi="Theinhardt Bold" w:cs="Theinhardt Bold" w:eastAsia="Theinhardt Bold"/>
          <w:b/>
          <w:bCs/>
          <w:color w:val="0C1C23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insgesamt</w:t>
      </w:r>
      <w:r>
        <w:rPr>
          <w:rFonts w:ascii="Theinhardt Bold" w:hAnsi="Theinhardt Bold" w:cs="Theinhardt Bold" w:eastAsia="Theinhardt Bold"/>
          <w:b/>
          <w:bCs/>
          <w:color w:val="0C1C23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rund</w:t>
      </w:r>
      <w:r>
        <w:rPr>
          <w:rFonts w:ascii="Theinhardt Bold" w:hAnsi="Theinhardt Bold" w:cs="Theinhardt Bold" w:eastAsia="Theinhardt Bold"/>
          <w:b/>
          <w:bCs/>
          <w:color w:val="0C1C23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254’000</w:t>
      </w:r>
      <w:r>
        <w:rPr>
          <w:rFonts w:ascii="Theinhardt Bold" w:hAnsi="Theinhardt Bold" w:cs="Theinhardt Bold" w:eastAsia="Theinhardt Bold"/>
          <w:b/>
          <w:bCs/>
          <w:color w:val="0C1C23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3"/>
          <w:sz w:val="18"/>
          <w:szCs w:val="18"/>
        </w:rPr>
        <w:t>kWh/a,</w:t>
      </w:r>
      <w:r>
        <w:rPr>
          <w:rFonts w:ascii="Theinhardt Bold" w:hAnsi="Theinhardt Bold" w:cs="Theinhardt Bold" w:eastAsia="Theinhardt Bold"/>
          <w:b/>
          <w:bCs/>
          <w:color w:val="0C1C23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für</w:t>
      </w:r>
      <w:r>
        <w:rPr>
          <w:rFonts w:ascii="Theinhardt Bold" w:hAnsi="Theinhardt Bold" w:cs="Theinhardt Bold" w:eastAsia="Theinhardt Bold"/>
          <w:b/>
          <w:bCs/>
          <w:color w:val="0C1C23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Einkaufszent-</w:t>
      </w:r>
      <w:r>
        <w:rPr>
          <w:rFonts w:ascii="Theinhardt Bold" w:hAnsi="Theinhardt Bold" w:cs="Theinhardt Bold" w:eastAsia="Theinhardt Bold"/>
          <w:b/>
          <w:bCs/>
          <w:color w:val="0C1C23"/>
          <w:spacing w:val="6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ren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ein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bemerkenswert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niedriger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Energiebedarf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von bloss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149.4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 kWh/m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position w:val="6"/>
          <w:sz w:val="10"/>
          <w:szCs w:val="10"/>
        </w:rPr>
        <w:t>2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a.</w:t>
      </w:r>
      <w:r>
        <w:rPr>
          <w:rFonts w:ascii="Theinhardt Bold" w:hAnsi="Theinhardt Bold" w:cs="Theinhardt Bold" w:eastAsia="Theinhardt Bold"/>
          <w:b/>
          <w:bCs/>
          <w:color w:val="0C1C23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Dieser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wird zu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109%</w:t>
      </w:r>
      <w:r>
        <w:rPr>
          <w:rFonts w:ascii="Theinhardt Bold" w:hAnsi="Theinhardt Bold" w:cs="Theinhardt Bold" w:eastAsia="Theinhardt Bold"/>
          <w:b/>
          <w:bCs/>
          <w:color w:val="0C1C23"/>
          <w:spacing w:val="4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durch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den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Solarstrom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z w:val="18"/>
          <w:szCs w:val="18"/>
        </w:rPr>
        <w:t>gedeckt.</w:t>
      </w:r>
      <w:r>
        <w:rPr>
          <w:rFonts w:ascii="Theinhardt Bold" w:hAnsi="Theinhardt Bold" w:cs="Theinhardt Bold" w:eastAsia="Theinhardt Bold"/>
          <w:sz w:val="18"/>
          <w:szCs w:val="18"/>
        </w:rPr>
      </w:r>
    </w:p>
    <w:p>
      <w:pPr>
        <w:spacing w:after="0" w:line="230" w:lineRule="exact"/>
        <w:jc w:val="both"/>
        <w:rPr>
          <w:rFonts w:ascii="Theinhardt Bold" w:hAnsi="Theinhardt Bold" w:cs="Theinhardt Bold" w:eastAsia="Theinhardt Bold"/>
          <w:sz w:val="18"/>
          <w:szCs w:val="18"/>
        </w:rPr>
        <w:sectPr>
          <w:type w:val="continuous"/>
          <w:pgSz w:w="11910" w:h="16840"/>
          <w:pgMar w:top="840" w:bottom="280" w:left="460" w:right="740"/>
          <w:cols w:num="2" w:equalWidth="0">
            <w:col w:w="2535" w:space="146"/>
            <w:col w:w="8029"/>
          </w:cols>
        </w:sect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12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before="5"/>
        <w:ind w:left="106" w:right="0" w:firstLine="0"/>
        <w:jc w:val="left"/>
        <w:rPr>
          <w:rFonts w:ascii="Theinhardt Black" w:hAnsi="Theinhardt Black" w:cs="Theinhardt Black" w:eastAsia="Theinhardt Black"/>
          <w:sz w:val="40"/>
          <w:szCs w:val="40"/>
        </w:rPr>
      </w:pPr>
      <w:r>
        <w:rPr>
          <w:rFonts w:ascii="Theinhardt Black"/>
          <w:b/>
          <w:color w:val="0067B1"/>
          <w:spacing w:val="-4"/>
          <w:sz w:val="40"/>
        </w:rPr>
        <w:t>109%</w:t>
      </w:r>
      <w:r>
        <w:rPr>
          <w:rFonts w:ascii="Theinhardt Black"/>
          <w:b/>
          <w:color w:val="0067B1"/>
          <w:sz w:val="40"/>
        </w:rPr>
        <w:t>-P</w:t>
      </w:r>
      <w:r>
        <w:rPr>
          <w:rFonts w:ascii="Theinhardt Black"/>
          <w:b/>
          <w:color w:val="0067B1"/>
          <w:spacing w:val="-2"/>
          <w:sz w:val="40"/>
        </w:rPr>
        <w:t>l</w:t>
      </w:r>
      <w:r>
        <w:rPr>
          <w:rFonts w:ascii="Theinhardt Black"/>
          <w:b/>
          <w:color w:val="0067B1"/>
          <w:spacing w:val="4"/>
          <w:sz w:val="40"/>
        </w:rPr>
        <w:t>u</w:t>
      </w:r>
      <w:r>
        <w:rPr>
          <w:rFonts w:ascii="Theinhardt Black"/>
          <w:b/>
          <w:color w:val="0067B1"/>
          <w:spacing w:val="-4"/>
          <w:sz w:val="40"/>
        </w:rPr>
        <w:t>s</w:t>
      </w:r>
      <w:r>
        <w:rPr>
          <w:rFonts w:ascii="Theinhardt Black"/>
          <w:b/>
          <w:color w:val="0067B1"/>
          <w:sz w:val="40"/>
        </w:rPr>
        <w:t>E</w:t>
      </w:r>
      <w:r>
        <w:rPr>
          <w:rFonts w:ascii="Theinhardt Black"/>
          <w:b/>
          <w:color w:val="0067B1"/>
          <w:spacing w:val="-3"/>
          <w:sz w:val="40"/>
        </w:rPr>
        <w:t>n</w:t>
      </w:r>
      <w:r>
        <w:rPr>
          <w:rFonts w:ascii="Theinhardt Black"/>
          <w:b/>
          <w:color w:val="0067B1"/>
          <w:spacing w:val="-2"/>
          <w:sz w:val="40"/>
        </w:rPr>
        <w:t>e</w:t>
      </w:r>
      <w:r>
        <w:rPr>
          <w:rFonts w:ascii="Theinhardt Black"/>
          <w:b/>
          <w:color w:val="0067B1"/>
          <w:spacing w:val="4"/>
          <w:sz w:val="40"/>
        </w:rPr>
        <w:t>r</w:t>
      </w:r>
      <w:r>
        <w:rPr>
          <w:rFonts w:ascii="Theinhardt Black"/>
          <w:b/>
          <w:color w:val="0067B1"/>
          <w:spacing w:val="-2"/>
          <w:sz w:val="40"/>
        </w:rPr>
        <w:t>gi</w:t>
      </w:r>
      <w:r>
        <w:rPr>
          <w:rFonts w:ascii="Theinhardt Black"/>
          <w:b/>
          <w:color w:val="0067B1"/>
          <w:spacing w:val="-4"/>
          <w:sz w:val="40"/>
        </w:rPr>
        <w:t>e</w:t>
      </w:r>
      <w:r>
        <w:rPr>
          <w:rFonts w:ascii="Theinhardt Black"/>
          <w:b/>
          <w:color w:val="0067B1"/>
          <w:spacing w:val="-20"/>
          <w:sz w:val="40"/>
        </w:rPr>
        <w:t>-</w:t>
      </w:r>
      <w:r>
        <w:rPr>
          <w:rFonts w:ascii="Theinhardt Black"/>
          <w:b/>
          <w:color w:val="0067B1"/>
          <w:sz w:val="40"/>
        </w:rPr>
        <w:t>S</w:t>
      </w:r>
      <w:r>
        <w:rPr>
          <w:rFonts w:ascii="Theinhardt Black"/>
          <w:b/>
          <w:color w:val="0067B1"/>
          <w:spacing w:val="-2"/>
          <w:sz w:val="40"/>
        </w:rPr>
        <w:t>u</w:t>
      </w:r>
      <w:r>
        <w:rPr>
          <w:rFonts w:ascii="Theinhardt Black"/>
          <w:b/>
          <w:color w:val="0067B1"/>
          <w:spacing w:val="2"/>
          <w:sz w:val="40"/>
        </w:rPr>
        <w:t>p</w:t>
      </w:r>
      <w:r>
        <w:rPr>
          <w:rFonts w:ascii="Theinhardt Black"/>
          <w:b/>
          <w:color w:val="0067B1"/>
          <w:spacing w:val="-2"/>
          <w:sz w:val="40"/>
        </w:rPr>
        <w:t>e</w:t>
      </w:r>
      <w:r>
        <w:rPr>
          <w:rFonts w:ascii="Theinhardt Black"/>
          <w:b/>
          <w:color w:val="0067B1"/>
          <w:spacing w:val="4"/>
          <w:sz w:val="40"/>
        </w:rPr>
        <w:t>r</w:t>
      </w:r>
      <w:r>
        <w:rPr>
          <w:rFonts w:ascii="Theinhardt Black"/>
          <w:b/>
          <w:color w:val="0067B1"/>
          <w:spacing w:val="1"/>
          <w:sz w:val="40"/>
        </w:rPr>
        <w:t>m</w:t>
      </w:r>
      <w:r>
        <w:rPr>
          <w:rFonts w:ascii="Theinhardt Black"/>
          <w:b/>
          <w:color w:val="0067B1"/>
          <w:spacing w:val="-1"/>
          <w:sz w:val="40"/>
        </w:rPr>
        <w:t>a</w:t>
      </w:r>
      <w:r>
        <w:rPr>
          <w:rFonts w:ascii="Theinhardt Black"/>
          <w:b/>
          <w:color w:val="0067B1"/>
          <w:spacing w:val="6"/>
          <w:sz w:val="40"/>
        </w:rPr>
        <w:t>r</w:t>
      </w:r>
      <w:r>
        <w:rPr>
          <w:rFonts w:ascii="Theinhardt Black"/>
          <w:b/>
          <w:color w:val="0067B1"/>
          <w:spacing w:val="18"/>
          <w:sz w:val="40"/>
        </w:rPr>
        <w:t>k</w:t>
      </w:r>
      <w:r>
        <w:rPr>
          <w:rFonts w:ascii="Theinhardt Black"/>
          <w:b/>
          <w:color w:val="0067B1"/>
          <w:spacing w:val="10"/>
          <w:sz w:val="40"/>
        </w:rPr>
        <w:t>t</w:t>
      </w:r>
      <w:r>
        <w:rPr>
          <w:rFonts w:ascii="Theinhardt Black"/>
          <w:b/>
          <w:color w:val="0067B1"/>
          <w:sz w:val="40"/>
        </w:rPr>
        <w:t>,</w:t>
      </w:r>
      <w:r>
        <w:rPr>
          <w:rFonts w:ascii="Theinhardt Black"/>
          <w:b/>
          <w:color w:val="0067B1"/>
          <w:spacing w:val="-32"/>
          <w:sz w:val="40"/>
        </w:rPr>
        <w:t> </w:t>
      </w:r>
      <w:r>
        <w:rPr>
          <w:rFonts w:ascii="Theinhardt Black"/>
          <w:b/>
          <w:color w:val="0067B1"/>
          <w:spacing w:val="-4"/>
          <w:sz w:val="40"/>
        </w:rPr>
        <w:t>941</w:t>
      </w:r>
      <w:r>
        <w:rPr>
          <w:rFonts w:ascii="Theinhardt Black"/>
          <w:b/>
          <w:color w:val="0067B1"/>
          <w:sz w:val="40"/>
        </w:rPr>
        <w:t>0</w:t>
      </w:r>
      <w:r>
        <w:rPr>
          <w:rFonts w:ascii="Theinhardt Black"/>
          <w:b/>
          <w:color w:val="0067B1"/>
          <w:spacing w:val="-8"/>
          <w:sz w:val="40"/>
        </w:rPr>
        <w:t> </w:t>
      </w:r>
      <w:r>
        <w:rPr>
          <w:rFonts w:ascii="Theinhardt Black"/>
          <w:b/>
          <w:color w:val="0067B1"/>
          <w:sz w:val="40"/>
        </w:rPr>
        <w:t>H</w:t>
      </w:r>
      <w:r>
        <w:rPr>
          <w:rFonts w:ascii="Theinhardt Black"/>
          <w:b/>
          <w:color w:val="0067B1"/>
          <w:spacing w:val="-2"/>
          <w:sz w:val="40"/>
        </w:rPr>
        <w:t>eide</w:t>
      </w:r>
      <w:r>
        <w:rPr>
          <w:rFonts w:ascii="Theinhardt Black"/>
          <w:b/>
          <w:color w:val="0067B1"/>
          <w:spacing w:val="6"/>
          <w:sz w:val="40"/>
        </w:rPr>
        <w:t>n</w:t>
      </w:r>
      <w:r>
        <w:rPr>
          <w:rFonts w:ascii="Theinhardt Black"/>
          <w:b/>
          <w:color w:val="0067B1"/>
          <w:spacing w:val="-30"/>
          <w:sz w:val="40"/>
        </w:rPr>
        <w:t>/</w:t>
      </w:r>
      <w:r>
        <w:rPr>
          <w:rFonts w:ascii="Theinhardt Black"/>
          <w:b/>
          <w:color w:val="0067B1"/>
          <w:spacing w:val="-2"/>
          <w:sz w:val="40"/>
        </w:rPr>
        <w:t>AR</w:t>
      </w:r>
      <w:r>
        <w:rPr>
          <w:rFonts w:ascii="Theinhardt Black"/>
          <w:sz w:val="40"/>
        </w:rPr>
      </w:r>
    </w:p>
    <w:p>
      <w:pPr>
        <w:spacing w:line="240" w:lineRule="auto" w:before="1"/>
        <w:rPr>
          <w:rFonts w:ascii="Theinhardt Black" w:hAnsi="Theinhardt Black" w:cs="Theinhardt Black" w:eastAsia="Theinhardt Black"/>
          <w:b/>
          <w:bCs/>
          <w:sz w:val="22"/>
          <w:szCs w:val="22"/>
        </w:rPr>
      </w:pPr>
    </w:p>
    <w:p>
      <w:pPr>
        <w:spacing w:after="0" w:line="240" w:lineRule="auto"/>
        <w:rPr>
          <w:rFonts w:ascii="Theinhardt Black" w:hAnsi="Theinhardt Black" w:cs="Theinhardt Black" w:eastAsia="Theinhardt Black"/>
          <w:sz w:val="22"/>
          <w:szCs w:val="22"/>
        </w:rPr>
        <w:sectPr>
          <w:type w:val="continuous"/>
          <w:pgSz w:w="11910" w:h="16840"/>
          <w:pgMar w:top="840" w:bottom="280" w:left="460" w:right="740"/>
        </w:sectPr>
      </w:pPr>
    </w:p>
    <w:p>
      <w:pPr>
        <w:pStyle w:val="BodyText"/>
        <w:tabs>
          <w:tab w:pos="2063" w:val="left" w:leader="none"/>
        </w:tabs>
        <w:spacing w:line="230" w:lineRule="exact" w:before="74"/>
        <w:ind w:right="0" w:firstLine="0"/>
        <w:jc w:val="right"/>
      </w:pPr>
      <w:r>
        <w:rPr>
          <w:color w:val="231F20"/>
          <w:spacing w:val="-1"/>
        </w:rPr>
        <w:t>Der </w:t>
      </w:r>
      <w:r>
        <w:rPr>
          <w:color w:val="231F20"/>
          <w:spacing w:val="-2"/>
        </w:rPr>
        <w:t>Supermarkt</w:t>
      </w:r>
      <w:r>
        <w:rPr>
          <w:color w:val="231F20"/>
          <w:spacing w:val="-1"/>
        </w:rPr>
        <w:t> in </w:t>
      </w:r>
      <w:r>
        <w:rPr>
          <w:color w:val="231F20"/>
          <w:spacing w:val="-3"/>
        </w:rPr>
        <w:t>Heiden/AR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ist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bereits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der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dritte</w:t>
      </w:r>
      <w:r>
        <w:rPr>
          <w:color w:val="231F20"/>
          <w:spacing w:val="26"/>
        </w:rPr>
        <w:t> </w:t>
      </w:r>
      <w:r>
        <w:rPr>
          <w:color w:val="231F20"/>
          <w:spacing w:val="-3"/>
        </w:rPr>
        <w:t>PEB-Supermarkt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der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Genossenschaft</w:t>
      </w:r>
      <w:r>
        <w:rPr>
          <w:color w:val="231F20"/>
          <w:spacing w:val="31"/>
        </w:rPr>
        <w:t> </w:t>
      </w:r>
      <w:r>
        <w:rPr>
          <w:color w:val="231F20"/>
          <w:spacing w:val="-3"/>
        </w:rPr>
        <w:t>Migros</w:t>
      </w:r>
      <w:r>
        <w:rPr>
          <w:color w:val="231F20"/>
          <w:spacing w:val="17"/>
        </w:rPr>
        <w:t> </w:t>
      </w:r>
      <w:r>
        <w:rPr>
          <w:color w:val="231F20"/>
          <w:spacing w:val="-3"/>
        </w:rPr>
        <w:t>Ostschweiz.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Er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zeichnet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sich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im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Be-</w:t>
      </w:r>
      <w:r>
        <w:rPr>
          <w:color w:val="231F20"/>
          <w:spacing w:val="37"/>
        </w:rPr>
        <w:t> </w:t>
      </w:r>
      <w:r>
        <w:rPr>
          <w:color w:val="231F20"/>
          <w:spacing w:val="-3"/>
        </w:rPr>
        <w:t>reich</w:t>
      </w:r>
      <w:r>
        <w:rPr>
          <w:color w:val="231F20"/>
          <w:spacing w:val="-2"/>
        </w:rPr>
        <w:t> der Energieeffi</w:t>
        <w:tab/>
      </w:r>
      <w:r>
        <w:rPr>
          <w:color w:val="231F20"/>
          <w:spacing w:val="-3"/>
        </w:rPr>
        <w:t>durch</w:t>
      </w:r>
      <w:r>
        <w:rPr>
          <w:color w:val="231F20"/>
          <w:spacing w:val="-2"/>
        </w:rPr>
        <w:t> eine </w:t>
      </w:r>
      <w:r>
        <w:rPr>
          <w:color w:val="231F20"/>
          <w:spacing w:val="-3"/>
        </w:rPr>
        <w:t>Weiter-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entwicklung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der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bisherigen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Technologie </w:t>
      </w:r>
      <w:r>
        <w:rPr>
          <w:color w:val="231F20"/>
          <w:spacing w:val="-2"/>
        </w:rPr>
        <w:t>aus.</w:t>
      </w:r>
      <w:r>
        <w:rPr>
          <w:color w:val="231F20"/>
          <w:spacing w:val="29"/>
        </w:rPr>
        <w:t> </w:t>
      </w:r>
      <w:r>
        <w:rPr>
          <w:color w:val="231F20"/>
        </w:rPr>
        <w:t>Das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Gebäude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ist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zu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100%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mit</w:t>
      </w:r>
      <w:r>
        <w:rPr>
          <w:color w:val="231F20"/>
          <w:spacing w:val="23"/>
        </w:rPr>
        <w:t> </w:t>
      </w:r>
      <w:r>
        <w:rPr>
          <w:color w:val="231F20"/>
          <w:spacing w:val="-3"/>
        </w:rPr>
        <w:t>LED-Be-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leuchtung</w:t>
      </w:r>
      <w:r>
        <w:rPr>
          <w:color w:val="231F20"/>
        </w:rPr>
        <w:t> 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ausgestattet.</w:t>
      </w:r>
      <w:r>
        <w:rPr>
          <w:color w:val="231F20"/>
        </w:rPr>
        <w:t> 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Der</w:t>
      </w:r>
      <w:r>
        <w:rPr>
          <w:color w:val="231F20"/>
        </w:rPr>
        <w:t> 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Wärmebedarf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des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Supermarkts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ist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dank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der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Abwärmenut-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zung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von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der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Kälteanlage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und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der</w:t>
      </w:r>
      <w:r>
        <w:rPr>
          <w:color w:val="231F20"/>
          <w:spacing w:val="14"/>
        </w:rPr>
        <w:t> </w:t>
      </w:r>
      <w:r>
        <w:rPr>
          <w:color w:val="231F20"/>
          <w:spacing w:val="-3"/>
        </w:rPr>
        <w:t>beispiel-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haften</w:t>
      </w:r>
      <w:r>
        <w:rPr>
          <w:color w:val="231F20"/>
          <w:spacing w:val="34"/>
        </w:rPr>
        <w:t> </w:t>
      </w:r>
      <w:r>
        <w:rPr>
          <w:color w:val="231F20"/>
          <w:spacing w:val="-3"/>
        </w:rPr>
        <w:t>Wärmedämmung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der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Gebäudehülle</w:t>
      </w:r>
      <w:r>
        <w:rPr/>
      </w:r>
    </w:p>
    <w:p>
      <w:pPr>
        <w:pStyle w:val="BodyText"/>
        <w:spacing w:line="234" w:lineRule="exact" w:before="9"/>
        <w:ind w:right="0" w:firstLine="0"/>
        <w:jc w:val="left"/>
      </w:pPr>
      <w:r>
        <w:rPr>
          <w:color w:val="231F20"/>
          <w:spacing w:val="-2"/>
        </w:rPr>
        <w:t>wegweisend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tief.</w:t>
      </w:r>
      <w:r>
        <w:rPr/>
      </w:r>
    </w:p>
    <w:p>
      <w:pPr>
        <w:pStyle w:val="BodyText"/>
        <w:spacing w:line="232" w:lineRule="auto" w:before="2"/>
        <w:ind w:right="0"/>
        <w:jc w:val="both"/>
      </w:pPr>
      <w:r>
        <w:rPr>
          <w:color w:val="231F20"/>
        </w:rPr>
        <w:t>Das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Gebäude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mit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einer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Energiebezugsflä-</w:t>
      </w:r>
      <w:r>
        <w:rPr>
          <w:color w:val="231F20"/>
          <w:spacing w:val="49"/>
        </w:rPr>
        <w:t> </w:t>
      </w:r>
      <w:r>
        <w:rPr>
          <w:color w:val="231F20"/>
          <w:spacing w:val="-2"/>
        </w:rPr>
        <w:t>che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von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1’700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m</w:t>
      </w:r>
      <w:r>
        <w:rPr>
          <w:color w:val="231F20"/>
          <w:spacing w:val="-1"/>
          <w:position w:val="6"/>
          <w:sz w:val="10"/>
          <w:szCs w:val="10"/>
        </w:rPr>
        <w:t>2</w:t>
      </w:r>
      <w:r>
        <w:rPr>
          <w:color w:val="231F20"/>
          <w:spacing w:val="9"/>
          <w:position w:val="6"/>
          <w:sz w:val="10"/>
          <w:szCs w:val="10"/>
        </w:rPr>
        <w:t> </w:t>
      </w:r>
      <w:r>
        <w:rPr>
          <w:color w:val="231F20"/>
          <w:spacing w:val="-2"/>
        </w:rPr>
        <w:t>benötigt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insgesamt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rund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254’000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kW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Strom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pro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Jahr.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Für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den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öffentli-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chen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Gebrauch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sind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zudem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zwei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Elektroauto-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ladestationen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installiert.</w:t>
      </w:r>
      <w:r>
        <w:rPr/>
      </w:r>
    </w:p>
    <w:p>
      <w:pPr>
        <w:pStyle w:val="BodyText"/>
        <w:spacing w:line="232" w:lineRule="auto"/>
        <w:ind w:right="0"/>
        <w:jc w:val="both"/>
      </w:pPr>
      <w:r>
        <w:rPr>
          <w:color w:val="231F20"/>
          <w:spacing w:val="-1"/>
        </w:rPr>
        <w:t>An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der</w:t>
      </w:r>
      <w:r>
        <w:rPr>
          <w:color w:val="231F20"/>
          <w:spacing w:val="22"/>
        </w:rPr>
        <w:t> </w:t>
      </w:r>
      <w:r>
        <w:rPr>
          <w:color w:val="231F20"/>
          <w:spacing w:val="-3"/>
        </w:rPr>
        <w:t>Nord-,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Ost-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und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Südfassade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des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modernen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Holzbaus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sind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hochwertige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114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kW</w:t>
      </w:r>
      <w:r>
        <w:rPr>
          <w:color w:val="231F20"/>
          <w:spacing w:val="16"/>
        </w:rPr>
        <w:t> </w:t>
      </w:r>
      <w:r>
        <w:rPr>
          <w:color w:val="231F20"/>
          <w:spacing w:val="-3"/>
        </w:rPr>
        <w:t>starke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PV-Module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perfekt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fassadenbün-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dig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integriert.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Sie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weisen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hervorragende</w:t>
      </w:r>
      <w:r>
        <w:rPr>
          <w:color w:val="231F20"/>
          <w:spacing w:val="29"/>
        </w:rPr>
        <w:t> </w:t>
      </w:r>
      <w:r>
        <w:rPr>
          <w:color w:val="231F20"/>
          <w:spacing w:val="-3"/>
        </w:rPr>
        <w:t>Leistungen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bis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121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kWh/m</w:t>
      </w:r>
      <w:r>
        <w:rPr>
          <w:color w:val="231F20"/>
          <w:spacing w:val="-2"/>
          <w:position w:val="6"/>
          <w:sz w:val="10"/>
          <w:szCs w:val="10"/>
        </w:rPr>
        <w:t>2</w:t>
      </w:r>
      <w:r>
        <w:rPr>
          <w:color w:val="231F20"/>
          <w:spacing w:val="-2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auf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und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erzeu-</w:t>
      </w:r>
      <w:r>
        <w:rPr>
          <w:color w:val="231F20"/>
          <w:spacing w:val="43"/>
        </w:rPr>
        <w:t> </w:t>
      </w:r>
      <w:r>
        <w:rPr>
          <w:color w:val="231F20"/>
          <w:spacing w:val="-2"/>
        </w:rPr>
        <w:t>gen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mit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72’800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kWh/a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28.7%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des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Gesamt-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energiebedarfs.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Diese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moderne</w:t>
      </w:r>
      <w:r>
        <w:rPr>
          <w:color w:val="231F20"/>
          <w:spacing w:val="10"/>
        </w:rPr>
        <w:t> </w:t>
      </w:r>
      <w:r>
        <w:rPr>
          <w:color w:val="231F20"/>
          <w:spacing w:val="-3"/>
        </w:rPr>
        <w:t>PV-Fassade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gehört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zu</w:t>
      </w:r>
      <w:r>
        <w:rPr>
          <w:color w:val="231F20"/>
          <w:spacing w:val="41"/>
        </w:rPr>
        <w:t> </w:t>
      </w:r>
      <w:r>
        <w:rPr>
          <w:color w:val="231F20"/>
          <w:spacing w:val="-2"/>
        </w:rPr>
        <w:t>den</w:t>
      </w:r>
      <w:r>
        <w:rPr>
          <w:color w:val="231F20"/>
          <w:spacing w:val="40"/>
        </w:rPr>
        <w:t> </w:t>
      </w:r>
      <w:r>
        <w:rPr>
          <w:color w:val="231F20"/>
          <w:spacing w:val="-2"/>
        </w:rPr>
        <w:t>attraktivsten</w:t>
      </w:r>
      <w:r>
        <w:rPr>
          <w:color w:val="231F20"/>
          <w:spacing w:val="41"/>
        </w:rPr>
        <w:t> </w:t>
      </w:r>
      <w:r>
        <w:rPr>
          <w:color w:val="231F20"/>
          <w:spacing w:val="-2"/>
        </w:rPr>
        <w:t>und</w:t>
      </w:r>
      <w:r>
        <w:rPr>
          <w:color w:val="231F20"/>
          <w:spacing w:val="41"/>
        </w:rPr>
        <w:t> </w:t>
      </w:r>
      <w:r>
        <w:rPr>
          <w:color w:val="231F20"/>
          <w:spacing w:val="-2"/>
        </w:rPr>
        <w:t>leistungs-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stärksten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PV-Fassaden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der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Schweiz.</w:t>
      </w:r>
      <w:r>
        <w:rPr/>
      </w:r>
    </w:p>
    <w:p>
      <w:pPr>
        <w:pStyle w:val="BodyText"/>
        <w:spacing w:line="232" w:lineRule="auto"/>
        <w:ind w:right="0"/>
        <w:jc w:val="both"/>
      </w:pPr>
      <w:r>
        <w:rPr>
          <w:color w:val="231F20"/>
          <w:spacing w:val="-2"/>
        </w:rPr>
        <w:t>Auf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dem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Flachdach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des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Gebäudes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befi</w:t>
      </w:r>
      <w:r>
        <w:rPr>
          <w:color w:val="231F20"/>
          <w:spacing w:val="45"/>
        </w:rPr>
        <w:t> </w:t>
      </w:r>
      <w:r>
        <w:rPr>
          <w:color w:val="231F20"/>
        </w:rPr>
        <w:t>-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det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sich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eine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nichtintegrierte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und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nicht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ganz-</w:t>
      </w:r>
      <w:r>
        <w:rPr>
          <w:color w:val="231F20"/>
          <w:spacing w:val="37"/>
        </w:rPr>
        <w:t> </w:t>
      </w:r>
      <w:r>
        <w:rPr>
          <w:color w:val="231F20"/>
          <w:spacing w:val="-2"/>
        </w:rPr>
        <w:t>flächig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genutzte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148.2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kW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PV-Anlage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sub-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optimaler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Nord-Süd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Ausrichtung.</w:t>
      </w:r>
      <w:r>
        <w:rPr>
          <w:color w:val="231F20"/>
          <w:spacing w:val="40"/>
        </w:rPr>
        <w:t> </w:t>
      </w:r>
      <w:r>
        <w:rPr>
          <w:color w:val="231F20"/>
          <w:spacing w:val="-2"/>
        </w:rPr>
        <w:t>Sie</w:t>
      </w:r>
      <w:r>
        <w:rPr>
          <w:color w:val="231F20"/>
          <w:spacing w:val="39"/>
        </w:rPr>
        <w:t> </w:t>
      </w:r>
      <w:r>
        <w:rPr>
          <w:color w:val="231F20"/>
          <w:spacing w:val="-2"/>
        </w:rPr>
        <w:t>generiert</w:t>
      </w:r>
      <w:r>
        <w:rPr>
          <w:color w:val="231F20"/>
          <w:spacing w:val="7"/>
        </w:rPr>
        <w:t> </w:t>
      </w:r>
      <w:r>
        <w:rPr>
          <w:color w:val="231F20"/>
        </w:rPr>
        <w:t>ca.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204’800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kWh/a.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Bei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optimaler</w:t>
      </w:r>
      <w:r>
        <w:rPr>
          <w:color w:val="231F20"/>
          <w:spacing w:val="21"/>
        </w:rPr>
        <w:t> </w:t>
      </w:r>
      <w:r>
        <w:rPr>
          <w:color w:val="231F20"/>
          <w:spacing w:val="-4"/>
        </w:rPr>
        <w:t>Ost-West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Ausrichtung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wären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(1’900m</w:t>
      </w:r>
      <w:r>
        <w:rPr>
          <w:color w:val="231F20"/>
          <w:spacing w:val="-2"/>
          <w:position w:val="6"/>
          <w:sz w:val="10"/>
          <w:szCs w:val="10"/>
        </w:rPr>
        <w:t>2</w:t>
      </w:r>
      <w:r>
        <w:rPr>
          <w:color w:val="231F20"/>
          <w:spacing w:val="12"/>
          <w:position w:val="6"/>
          <w:sz w:val="10"/>
          <w:szCs w:val="10"/>
        </w:rPr>
        <w:t> </w:t>
      </w:r>
      <w:r>
        <w:rPr>
          <w:color w:val="231F20"/>
        </w:rPr>
        <w:t>x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150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kWh/m</w:t>
      </w:r>
      <w:r>
        <w:rPr>
          <w:color w:val="231F20"/>
          <w:spacing w:val="-2"/>
          <w:position w:val="6"/>
          <w:sz w:val="10"/>
          <w:szCs w:val="10"/>
        </w:rPr>
        <w:t>2</w:t>
      </w:r>
      <w:r>
        <w:rPr>
          <w:color w:val="231F20"/>
          <w:spacing w:val="-2"/>
        </w:rPr>
        <w:t>a]</w:t>
      </w:r>
      <w:r>
        <w:rPr>
          <w:color w:val="231F20"/>
          <w:spacing w:val="29"/>
        </w:rPr>
        <w:t> </w:t>
      </w:r>
      <w:r>
        <w:rPr>
          <w:color w:val="231F20"/>
        </w:rPr>
        <w:t>–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10%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Sicherheitsfläche)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gut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256’000</w:t>
      </w:r>
      <w:r>
        <w:rPr>
          <w:color w:val="231F20"/>
          <w:spacing w:val="-4"/>
        </w:rPr>
        <w:t> kWh/a </w:t>
      </w:r>
      <w:r>
        <w:rPr>
          <w:color w:val="231F20"/>
          <w:spacing w:val="-2"/>
        </w:rPr>
        <w:t>möglich.</w:t>
      </w:r>
      <w:r>
        <w:rPr/>
      </w:r>
    </w:p>
    <w:p>
      <w:pPr>
        <w:pStyle w:val="BodyText"/>
        <w:spacing w:line="232" w:lineRule="auto"/>
        <w:ind w:right="0"/>
        <w:jc w:val="both"/>
      </w:pPr>
      <w:r>
        <w:rPr>
          <w:color w:val="231F20"/>
          <w:spacing w:val="-2"/>
        </w:rPr>
        <w:t>Zusammen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mit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den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ästhetisch</w:t>
      </w:r>
      <w:r>
        <w:rPr>
          <w:color w:val="231F20"/>
          <w:spacing w:val="35"/>
        </w:rPr>
        <w:t> </w:t>
      </w:r>
      <w:r>
        <w:rPr>
          <w:color w:val="231F20"/>
          <w:spacing w:val="-3"/>
        </w:rPr>
        <w:t>sehr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an-</w:t>
      </w:r>
      <w:r>
        <w:rPr>
          <w:color w:val="231F20"/>
          <w:spacing w:val="21"/>
        </w:rPr>
        <w:t> </w:t>
      </w:r>
      <w:r>
        <w:rPr>
          <w:color w:val="231F20"/>
          <w:spacing w:val="-3"/>
        </w:rPr>
        <w:t>sprechenden</w:t>
      </w:r>
      <w:r>
        <w:rPr>
          <w:color w:val="231F20"/>
          <w:spacing w:val="22"/>
        </w:rPr>
        <w:t> </w:t>
      </w:r>
      <w:r>
        <w:rPr>
          <w:color w:val="231F20"/>
          <w:spacing w:val="-3"/>
        </w:rPr>
        <w:t>PV-Fassaden</w:t>
      </w:r>
      <w:r>
        <w:rPr>
          <w:color w:val="231F20"/>
          <w:spacing w:val="22"/>
        </w:rPr>
        <w:t> </w:t>
      </w:r>
      <w:r>
        <w:rPr>
          <w:color w:val="231F20"/>
          <w:spacing w:val="-3"/>
        </w:rPr>
        <w:t>wären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somit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328’800</w:t>
      </w:r>
      <w:r>
        <w:rPr>
          <w:color w:val="231F20"/>
          <w:spacing w:val="10"/>
        </w:rPr>
        <w:t> </w:t>
      </w:r>
      <w:r>
        <w:rPr>
          <w:color w:val="231F20"/>
          <w:spacing w:val="-4"/>
        </w:rPr>
        <w:t>kWh/a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oder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eine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129%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PlusEner-</w:t>
      </w:r>
      <w:r>
        <w:rPr>
          <w:color w:val="231F20"/>
          <w:spacing w:val="23"/>
        </w:rPr>
        <w:t> </w:t>
      </w:r>
      <w:r>
        <w:rPr>
          <w:color w:val="231F20"/>
          <w:spacing w:val="-4"/>
        </w:rPr>
        <w:t>gieBau-Versorgung</w:t>
      </w:r>
      <w:r>
        <w:rPr>
          <w:color w:val="231F20"/>
          <w:spacing w:val="42"/>
        </w:rPr>
        <w:t> </w:t>
      </w:r>
      <w:r>
        <w:rPr>
          <w:color w:val="231F20"/>
          <w:spacing w:val="-2"/>
        </w:rPr>
        <w:t>möglich</w:t>
      </w:r>
      <w:r>
        <w:rPr>
          <w:color w:val="231F20"/>
          <w:spacing w:val="43"/>
        </w:rPr>
        <w:t> </w:t>
      </w:r>
      <w:r>
        <w:rPr>
          <w:color w:val="231F20"/>
          <w:spacing w:val="-2"/>
        </w:rPr>
        <w:t>(vgl.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BFH,</w:t>
      </w:r>
      <w:r>
        <w:rPr>
          <w:color w:val="231F20"/>
          <w:spacing w:val="32"/>
        </w:rPr>
        <w:t> </w:t>
      </w:r>
      <w:r>
        <w:rPr>
          <w:color w:val="231F20"/>
          <w:spacing w:val="-3"/>
        </w:rPr>
        <w:t>PV-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Stadion</w:t>
      </w:r>
      <w:r>
        <w:rPr>
          <w:color w:val="231F20"/>
          <w:spacing w:val="-15"/>
        </w:rPr>
        <w:t> </w:t>
      </w:r>
      <w:r>
        <w:rPr>
          <w:color w:val="231F20"/>
        </w:rPr>
        <w:t>Biel/BE</w:t>
      </w:r>
      <w:r>
        <w:rPr>
          <w:color w:val="231F20"/>
          <w:spacing w:val="-15"/>
        </w:rPr>
        <w:t> </w:t>
      </w:r>
      <w:r>
        <w:rPr>
          <w:color w:val="231F20"/>
        </w:rPr>
        <w:t>S.</w:t>
      </w:r>
      <w:r>
        <w:rPr>
          <w:color w:val="231F20"/>
          <w:spacing w:val="-26"/>
        </w:rPr>
        <w:t> </w:t>
      </w:r>
      <w:r>
        <w:rPr>
          <w:color w:val="231F20"/>
        </w:rPr>
        <w:t>6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ff.;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Schweizer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Solarpreis</w:t>
      </w:r>
      <w:r>
        <w:rPr>
          <w:color w:val="231F20"/>
          <w:spacing w:val="39"/>
        </w:rPr>
        <w:t> </w:t>
      </w:r>
      <w:r>
        <w:rPr>
          <w:color w:val="231F20"/>
          <w:spacing w:val="-2"/>
        </w:rPr>
        <w:t>2017,</w:t>
      </w:r>
      <w:r>
        <w:rPr>
          <w:color w:val="231F20"/>
          <w:spacing w:val="-15"/>
        </w:rPr>
        <w:t> </w:t>
      </w:r>
      <w:r>
        <w:rPr>
          <w:color w:val="231F20"/>
        </w:rPr>
        <w:t>S.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51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Ziff.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6).</w:t>
      </w:r>
      <w:r>
        <w:rPr/>
      </w:r>
    </w:p>
    <w:p>
      <w:pPr>
        <w:pStyle w:val="BodyText"/>
        <w:spacing w:line="232" w:lineRule="auto"/>
        <w:ind w:right="0"/>
        <w:jc w:val="both"/>
      </w:pPr>
      <w:r>
        <w:rPr>
          <w:color w:val="231F20"/>
          <w:spacing w:val="-2"/>
        </w:rPr>
        <w:t>Die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am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20.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November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2019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in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Betrieb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ge-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nommenen</w:t>
      </w:r>
      <w:r>
        <w:rPr>
          <w:color w:val="231F20"/>
          <w:spacing w:val="11"/>
        </w:rPr>
        <w:t> </w:t>
      </w:r>
      <w:r>
        <w:rPr>
          <w:color w:val="231F20"/>
          <w:spacing w:val="-3"/>
        </w:rPr>
        <w:t>PV-Anlagen</w:t>
      </w:r>
      <w:r>
        <w:rPr>
          <w:color w:val="231F20"/>
          <w:spacing w:val="11"/>
        </w:rPr>
        <w:t> </w:t>
      </w:r>
      <w:r>
        <w:rPr>
          <w:color w:val="231F20"/>
          <w:spacing w:val="-3"/>
        </w:rPr>
        <w:t>produzieren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zusam-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men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277’600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kWh/a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und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decken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rund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109%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des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Gesamtenergiebedarfs</w:t>
      </w:r>
      <w:r>
        <w:rPr>
          <w:color w:val="231F20"/>
          <w:spacing w:val="36"/>
        </w:rPr>
        <w:t> </w:t>
      </w:r>
      <w:r>
        <w:rPr>
          <w:color w:val="231F20"/>
          <w:spacing w:val="-2"/>
        </w:rPr>
        <w:t>von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254’000</w:t>
      </w:r>
      <w:r>
        <w:rPr>
          <w:color w:val="231F20"/>
          <w:spacing w:val="27"/>
        </w:rPr>
        <w:t> </w:t>
      </w:r>
      <w:r>
        <w:rPr>
          <w:color w:val="231F20"/>
          <w:spacing w:val="-3"/>
        </w:rPr>
        <w:t>kWh/a.</w:t>
      </w:r>
      <w:r>
        <w:rPr/>
      </w:r>
    </w:p>
    <w:p>
      <w:pPr>
        <w:spacing w:line="230" w:lineRule="exact" w:before="74"/>
        <w:ind w:left="107" w:right="5" w:firstLine="0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/>
        <w:br w:type="column"/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supermarché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Heiden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(AR)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est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déjà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troisième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centre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commercial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BEP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coo-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pérative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Migros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Suisse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orientale.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plan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l’efficacité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énergétique,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il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fait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appel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meilleure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technologie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deux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premi-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ers.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30" w:lineRule="exact" w:before="0"/>
        <w:ind w:left="107" w:right="5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bâtiment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possède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ainsi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un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éclairage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100%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LED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besoins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chauffage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sont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très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faibles,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grâce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récupération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cha-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leur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résiduelle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système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réfrigération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l’isolation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thermique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exemplaire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l’enveloppe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bâtiment.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32" w:lineRule="auto" w:before="15"/>
        <w:ind w:left="106" w:right="5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Migros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Heiden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consomme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254’000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kWh/a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pour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surface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référence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énergétique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1’700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m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position w:val="6"/>
          <w:sz w:val="10"/>
          <w:szCs w:val="10"/>
        </w:rPr>
        <w:t>2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clientèle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dispose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deux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bornes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recharge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électrique.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32" w:lineRule="auto" w:before="0"/>
        <w:ind w:left="106" w:right="5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façades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nord,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est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sud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bâtiment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moderne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bois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sont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recouvertes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modules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PV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114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kW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haute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qualité.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Ils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génèrent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72’800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kWh/a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(atteignant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jusqu’à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121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kWh/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m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position w:val="6"/>
          <w:sz w:val="10"/>
          <w:szCs w:val="10"/>
        </w:rPr>
        <w:t>2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a)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assurent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28,7%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besoins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énergé-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tiques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totaux.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façades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figurent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parmi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plus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belles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plus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puissantes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Suisse.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32" w:lineRule="auto" w:before="0"/>
        <w:ind w:left="106" w:right="5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L’installation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PV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148,2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kW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placée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toit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plat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supermarché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n’y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est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pas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intégrée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elle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n’en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exploite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pas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toute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surface.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Son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orientation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nord-sud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limite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production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204’800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kWh/a.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orientation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idéale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est-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ouest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(1’900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m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position w:val="6"/>
          <w:sz w:val="10"/>
          <w:szCs w:val="10"/>
        </w:rPr>
        <w:t>2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4"/>
          <w:position w:val="6"/>
          <w:sz w:val="10"/>
          <w:szCs w:val="10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x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150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kWh/m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position w:val="6"/>
          <w:sz w:val="10"/>
          <w:szCs w:val="10"/>
        </w:rPr>
        <w:t>2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a,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10%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zone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sécurité)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permettrait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fournir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256’000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kWh/a.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32" w:lineRule="auto" w:before="0"/>
        <w:ind w:left="106" w:right="0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combinaison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avec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façades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PV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très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esthétiques,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il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serait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ainsi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possible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produire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328’800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kWh/a,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soit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un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approvisionnement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BEP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129%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(cf.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BFH,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stade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PV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Bienne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[BE]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6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ss.;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Prix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Solaire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Suisse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2017,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51,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chiffre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6).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32" w:lineRule="auto" w:before="0"/>
        <w:ind w:left="106" w:right="0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Mise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service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20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novembre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2019,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l’infrastructure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PV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génère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277’600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kWh/a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total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couvre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109%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besoins en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énergie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254’000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kWh/a.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before="67"/>
        <w:ind w:left="107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/>
        <w:br w:type="column"/>
      </w:r>
      <w:r>
        <w:rPr>
          <w:rFonts w:ascii="Theinhardt Black"/>
          <w:b/>
          <w:color w:val="231F20"/>
          <w:sz w:val="14"/>
        </w:rPr>
        <w:t>Technische </w:t>
      </w:r>
      <w:r>
        <w:rPr>
          <w:rFonts w:ascii="Theinhardt Black"/>
          <w:b/>
          <w:color w:val="231F20"/>
          <w:spacing w:val="1"/>
          <w:sz w:val="14"/>
        </w:rPr>
        <w:t>Daten</w:t>
      </w:r>
      <w:r>
        <w:rPr>
          <w:rFonts w:asci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spacing w:line="20" w:lineRule="atLeast"/>
        <w:ind w:left="107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spacing w:line="172" w:lineRule="exact" w:before="20"/>
        <w:ind w:left="10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Wärmedämmung</w:t>
      </w:r>
      <w:r>
        <w:rPr>
          <w:rFonts w:ascii="Theinhardt Bold" w:hAnsi="Theinhardt Bold"/>
          <w:sz w:val="14"/>
        </w:rPr>
      </w:r>
    </w:p>
    <w:p>
      <w:pPr>
        <w:tabs>
          <w:tab w:pos="1192" w:val="left" w:leader="none"/>
          <w:tab w:pos="1789" w:val="left" w:leader="none"/>
          <w:tab w:pos="2666" w:val="left" w:leader="none"/>
        </w:tabs>
        <w:spacing w:line="160" w:lineRule="exact" w:before="0"/>
        <w:ind w:left="10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Wand:</w:t>
        <w:tab/>
        <w:t>35 </w:t>
      </w:r>
      <w:r>
        <w:rPr>
          <w:rFonts w:ascii="Theinhardt Regular"/>
          <w:color w:val="231F20"/>
          <w:spacing w:val="1"/>
          <w:sz w:val="14"/>
        </w:rPr>
        <w:t>cm</w:t>
        <w:tab/>
        <w:t>U-Wert:</w:t>
        <w:tab/>
      </w:r>
      <w:r>
        <w:rPr>
          <w:rFonts w:ascii="Theinhardt Regular"/>
          <w:color w:val="231F20"/>
          <w:spacing w:val="-6"/>
          <w:sz w:val="14"/>
        </w:rPr>
        <w:t>0.17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  <w:r>
        <w:rPr>
          <w:rFonts w:ascii="Theinhardt Regular"/>
          <w:sz w:val="14"/>
        </w:rPr>
      </w:r>
    </w:p>
    <w:p>
      <w:pPr>
        <w:tabs>
          <w:tab w:pos="1070" w:val="left" w:leader="none"/>
          <w:tab w:pos="1789" w:val="left" w:leader="none"/>
          <w:tab w:pos="2664" w:val="left" w:leader="none"/>
        </w:tabs>
        <w:spacing w:line="160" w:lineRule="exact" w:before="0"/>
        <w:ind w:left="10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Dach:</w:t>
        <w:tab/>
      </w:r>
      <w:r>
        <w:rPr>
          <w:rFonts w:ascii="Theinhardt Regular"/>
          <w:color w:val="231F20"/>
          <w:sz w:val="14"/>
        </w:rPr>
        <w:t>36.5 </w:t>
      </w:r>
      <w:r>
        <w:rPr>
          <w:rFonts w:ascii="Theinhardt Regular"/>
          <w:color w:val="231F20"/>
          <w:spacing w:val="1"/>
          <w:sz w:val="14"/>
        </w:rPr>
        <w:t>cm</w:t>
        <w:tab/>
        <w:t>U-Wert:</w:t>
        <w:tab/>
      </w:r>
      <w:r>
        <w:rPr>
          <w:rFonts w:ascii="Theinhardt Regular"/>
          <w:color w:val="231F20"/>
          <w:spacing w:val="-5"/>
          <w:sz w:val="14"/>
        </w:rPr>
        <w:t>0.13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  <w:r>
        <w:rPr>
          <w:rFonts w:ascii="Theinhardt Regular"/>
          <w:sz w:val="14"/>
        </w:rPr>
      </w:r>
    </w:p>
    <w:p>
      <w:pPr>
        <w:tabs>
          <w:tab w:pos="1075" w:val="left" w:leader="none"/>
          <w:tab w:pos="1789" w:val="left" w:leader="none"/>
          <w:tab w:pos="2647" w:val="left" w:leader="none"/>
        </w:tabs>
        <w:spacing w:line="207" w:lineRule="auto" w:before="5"/>
        <w:ind w:left="107" w:right="156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Boden:</w:t>
        <w:tab/>
      </w:r>
      <w:r>
        <w:rPr>
          <w:rFonts w:ascii="Theinhardt Regular"/>
          <w:color w:val="231F20"/>
          <w:spacing w:val="-4"/>
          <w:sz w:val="14"/>
        </w:rPr>
        <w:t>16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cm</w:t>
        <w:tab/>
        <w:t>U-Wert:</w:t>
        <w:tab/>
      </w:r>
      <w:r>
        <w:rPr>
          <w:rFonts w:ascii="Theinhardt Regular"/>
          <w:color w:val="231F20"/>
          <w:spacing w:val="-1"/>
          <w:sz w:val="14"/>
        </w:rPr>
        <w:t>0.21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  <w:r>
        <w:rPr>
          <w:rFonts w:ascii="Theinhardt Regular"/>
          <w:color w:val="231F20"/>
          <w:spacing w:val="22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Fenster:</w:t>
        <w:tab/>
        <w:t>dreifach</w:t>
        <w:tab/>
        <w:t>U-Wert:</w:t>
        <w:tab/>
      </w:r>
      <w:r>
        <w:rPr>
          <w:rFonts w:ascii="Theinhardt Regular"/>
          <w:color w:val="231F20"/>
          <w:spacing w:val="-3"/>
          <w:sz w:val="14"/>
        </w:rPr>
        <w:t>0.78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  <w:r>
        <w:rPr>
          <w:rFonts w:ascii="Theinhardt Regular"/>
          <w:sz w:val="14"/>
        </w:rPr>
      </w:r>
    </w:p>
    <w:p>
      <w:pPr>
        <w:spacing w:line="172" w:lineRule="exact" w:before="38"/>
        <w:ind w:left="10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3"/>
          <w:sz w:val="14"/>
        </w:rPr>
        <w:t>E</w:t>
      </w:r>
      <w:r>
        <w:rPr>
          <w:rFonts w:ascii="Theinhardt Bold"/>
          <w:b/>
          <w:color w:val="231F20"/>
          <w:spacing w:val="2"/>
          <w:sz w:val="14"/>
        </w:rPr>
        <w:t>ner</w:t>
      </w:r>
      <w:r>
        <w:rPr>
          <w:rFonts w:ascii="Theinhardt Bold"/>
          <w:b/>
          <w:color w:val="231F20"/>
          <w:spacing w:val="1"/>
          <w:sz w:val="14"/>
        </w:rPr>
        <w:t>g</w:t>
      </w:r>
      <w:r>
        <w:rPr>
          <w:rFonts w:ascii="Theinhardt Bold"/>
          <w:b/>
          <w:color w:val="231F20"/>
          <w:spacing w:val="2"/>
          <w:sz w:val="14"/>
        </w:rPr>
        <w:t>iebeda</w:t>
      </w:r>
      <w:r>
        <w:rPr>
          <w:rFonts w:ascii="Theinhardt Bold"/>
          <w:b/>
          <w:color w:val="231F20"/>
          <w:spacing w:val="4"/>
          <w:sz w:val="14"/>
        </w:rPr>
        <w:t>r</w:t>
      </w:r>
      <w:r>
        <w:rPr>
          <w:rFonts w:ascii="Theinhardt Bold"/>
          <w:b/>
          <w:color w:val="231F20"/>
          <w:sz w:val="14"/>
        </w:rPr>
        <w:t>f</w:t>
      </w:r>
      <w:r>
        <w:rPr>
          <w:rFonts w:ascii="Theinhardt Bold"/>
          <w:sz w:val="14"/>
        </w:rPr>
      </w:r>
    </w:p>
    <w:p>
      <w:pPr>
        <w:tabs>
          <w:tab w:pos="1820" w:val="left" w:leader="none"/>
          <w:tab w:pos="2639" w:val="left" w:leader="none"/>
          <w:tab w:pos="2992" w:val="left" w:leader="none"/>
        </w:tabs>
        <w:spacing w:line="160" w:lineRule="exact" w:before="0"/>
        <w:ind w:left="10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EBF: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1’700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m</w:t>
      </w:r>
      <w:r>
        <w:rPr>
          <w:rFonts w:ascii="Theinhardt Regular" w:hAnsi="Theinhardt Regular" w:cs="Theinhardt Regular" w:eastAsia="Theinhardt Regular"/>
          <w:color w:val="231F20"/>
          <w:spacing w:val="-1"/>
          <w:position w:val="5"/>
          <w:sz w:val="8"/>
          <w:szCs w:val="8"/>
        </w:rPr>
        <w:t>2</w:t>
        <w:tab/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kWh/m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a</w:t>
        <w:tab/>
        <w:t>%</w:t>
        <w:tab/>
        <w:t>kWh/a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013" w:val="left" w:leader="none"/>
        </w:tabs>
        <w:spacing w:line="172" w:lineRule="exact" w:before="0"/>
        <w:ind w:left="10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Gesamt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4"/>
          <w:szCs w:val="14"/>
        </w:rPr>
        <w:t>EB:</w:t>
        <w:tab/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149.4  </w:t>
      </w:r>
      <w:r>
        <w:rPr>
          <w:rFonts w:ascii="Theinhardt Bold" w:hAnsi="Theinhardt Bold" w:cs="Theinhardt Bold" w:eastAsia="Theinhardt Bold"/>
          <w:b/>
          <w:bCs/>
          <w:color w:val="231F20"/>
          <w:spacing w:val="27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100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254’000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line="172" w:lineRule="exact" w:before="32"/>
        <w:ind w:left="10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Energieversorgung</w:t>
      </w:r>
      <w:r>
        <w:rPr>
          <w:rFonts w:ascii="Theinhardt Bold"/>
          <w:sz w:val="14"/>
        </w:rPr>
      </w:r>
    </w:p>
    <w:p>
      <w:pPr>
        <w:tabs>
          <w:tab w:pos="956" w:val="left" w:leader="none"/>
          <w:tab w:pos="1165" w:val="left" w:leader="none"/>
          <w:tab w:pos="2032" w:val="left" w:leader="none"/>
          <w:tab w:pos="2602" w:val="left" w:leader="none"/>
          <w:tab w:pos="2992" w:val="left" w:leader="none"/>
        </w:tabs>
        <w:spacing w:line="207" w:lineRule="auto" w:before="6"/>
        <w:ind w:left="107" w:right="156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w w:val="95"/>
          <w:sz w:val="14"/>
          <w:szCs w:val="14"/>
        </w:rPr>
        <w:t>Eigen-EV:</w:t>
        <w:tab/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m</w:t>
      </w:r>
      <w:r>
        <w:rPr>
          <w:rFonts w:ascii="Theinhardt Regular" w:hAnsi="Theinhardt Regular" w:cs="Theinhardt Regular" w:eastAsia="Theinhardt Regular"/>
          <w:color w:val="231F20"/>
          <w:spacing w:val="-1"/>
          <w:position w:val="5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     </w:t>
      </w:r>
      <w:r>
        <w:rPr>
          <w:rFonts w:ascii="Theinhardt Regular" w:hAnsi="Theinhardt Regular" w:cs="Theinhardt Regular" w:eastAsia="Theinhardt Regular"/>
          <w:color w:val="231F20"/>
          <w:spacing w:val="1"/>
          <w:position w:val="5"/>
          <w:sz w:val="8"/>
          <w:szCs w:val="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kWp </w:t>
      </w:r>
      <w:r>
        <w:rPr>
          <w:rFonts w:ascii="Theinhardt Regular" w:hAnsi="Theinhardt Regular" w:cs="Theinhardt Regular" w:eastAsia="Theinhardt Regular"/>
          <w:color w:val="231F20"/>
          <w:spacing w:val="17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kWh/m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a</w:t>
        <w:tab/>
        <w:t>%</w:t>
        <w:tab/>
        <w:t>kWh/a</w:t>
      </w:r>
      <w:r>
        <w:rPr>
          <w:rFonts w:ascii="Theinhardt Regular" w:hAnsi="Theinhardt Regular" w:cs="Theinhardt Regular" w:eastAsia="Theinhardt Regular"/>
          <w:color w:val="231F20"/>
          <w:spacing w:val="38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PV-Dach:</w:t>
        <w:tab/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1’900 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148.2</w:t>
        <w:tab/>
      </w:r>
      <w:r>
        <w:rPr>
          <w:rFonts w:ascii="Theinhardt Regular" w:hAnsi="Theinhardt Regular" w:cs="Theinhardt Regular" w:eastAsia="Theinhardt Regular"/>
          <w:color w:val="231F20"/>
          <w:spacing w:val="-3"/>
          <w:sz w:val="14"/>
          <w:szCs w:val="14"/>
        </w:rPr>
        <w:t>107.8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73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204’800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line="240" w:lineRule="auto" w:before="7"/>
        <w:rPr>
          <w:rFonts w:ascii="Theinhardt Bold" w:hAnsi="Theinhardt Bold" w:cs="Theinhardt Bold" w:eastAsia="Theinhardt Bold"/>
          <w:b/>
          <w:bCs/>
          <w:sz w:val="2"/>
          <w:szCs w:val="2"/>
        </w:rPr>
      </w:pPr>
    </w:p>
    <w:tbl>
      <w:tblPr>
        <w:tblW w:w="0" w:type="auto"/>
        <w:jc w:val="left"/>
        <w:tblInd w:w="5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4"/>
        <w:gridCol w:w="387"/>
        <w:gridCol w:w="498"/>
        <w:gridCol w:w="594"/>
        <w:gridCol w:w="352"/>
        <w:gridCol w:w="603"/>
      </w:tblGrid>
      <w:tr>
        <w:trPr>
          <w:trHeight w:val="128" w:hRule="exact"/>
        </w:trPr>
        <w:tc>
          <w:tcPr>
            <w:tcW w:w="9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8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2"/>
                <w:sz w:val="14"/>
              </w:rPr>
              <w:t>PV-Fass.</w:t>
            </w:r>
            <w:r>
              <w:rPr>
                <w:rFonts w:ascii="Theinhardt Regular"/>
                <w:color w:val="231F20"/>
                <w:sz w:val="14"/>
              </w:rPr>
              <w:t> S: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3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8" w:lineRule="exact"/>
              <w:ind w:left="61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264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8" w:lineRule="exact"/>
              <w:ind w:left="7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3"/>
                <w:sz w:val="14"/>
              </w:rPr>
              <w:t>50.1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5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8" w:lineRule="exact"/>
              <w:ind w:left="149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7"/>
                <w:sz w:val="14"/>
              </w:rPr>
              <w:t>147.7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8" w:lineRule="exact"/>
              <w:ind w:left="114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4"/>
                <w:sz w:val="14"/>
              </w:rPr>
              <w:t>14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8" w:lineRule="exact"/>
              <w:ind w:left="8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pacing w:val="1"/>
                <w:sz w:val="14"/>
                <w:szCs w:val="14"/>
              </w:rPr>
              <w:t>39’000</w:t>
            </w:r>
            <w:r>
              <w:rPr>
                <w:rFonts w:ascii="Theinhardt Regular" w:hAnsi="Theinhardt Regular" w:cs="Theinhardt Regular" w:eastAsia="Theinhardt Regular"/>
                <w:sz w:val="14"/>
                <w:szCs w:val="14"/>
              </w:rPr>
            </w:r>
          </w:p>
        </w:tc>
      </w:tr>
      <w:tr>
        <w:trPr>
          <w:trHeight w:val="160" w:hRule="exact"/>
        </w:trPr>
        <w:tc>
          <w:tcPr>
            <w:tcW w:w="9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2"/>
                <w:sz w:val="14"/>
              </w:rPr>
              <w:t>PV-Fass.</w:t>
            </w:r>
            <w:r>
              <w:rPr>
                <w:rFonts w:ascii="Theinhardt Regular"/>
                <w:color w:val="231F20"/>
                <w:sz w:val="14"/>
              </w:rPr>
              <w:t> O: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3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69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3"/>
                <w:sz w:val="14"/>
              </w:rPr>
              <w:t>149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7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28.3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5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243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2"/>
                <w:sz w:val="14"/>
              </w:rPr>
              <w:t>143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189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8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101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pacing w:val="-1"/>
                <w:sz w:val="14"/>
                <w:szCs w:val="14"/>
              </w:rPr>
              <w:t>21’300</w:t>
            </w:r>
            <w:r>
              <w:rPr>
                <w:rFonts w:ascii="Theinhardt Regular" w:hAnsi="Theinhardt Regular" w:cs="Theinhardt Regular" w:eastAsia="Theinhardt Regular"/>
                <w:sz w:val="14"/>
                <w:szCs w:val="14"/>
              </w:rPr>
            </w:r>
          </w:p>
        </w:tc>
      </w:tr>
      <w:tr>
        <w:trPr>
          <w:trHeight w:val="160" w:hRule="exact"/>
        </w:trPr>
        <w:tc>
          <w:tcPr>
            <w:tcW w:w="9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2"/>
                <w:sz w:val="14"/>
              </w:rPr>
              <w:t>PV-Fass.</w:t>
            </w:r>
            <w:r>
              <w:rPr>
                <w:rFonts w:ascii="Theinhardt Regular"/>
                <w:color w:val="231F20"/>
                <w:sz w:val="14"/>
              </w:rPr>
              <w:t> N: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3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70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3"/>
                <w:sz w:val="14"/>
              </w:rPr>
              <w:t>187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7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1"/>
                <w:sz w:val="14"/>
              </w:rPr>
              <w:t>35.4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5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197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66.8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189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5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97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pacing w:val="-1"/>
                <w:sz w:val="14"/>
                <w:szCs w:val="14"/>
              </w:rPr>
              <w:t>12’500</w:t>
            </w:r>
            <w:r>
              <w:rPr>
                <w:rFonts w:ascii="Theinhardt Regular" w:hAnsi="Theinhardt Regular" w:cs="Theinhardt Regular" w:eastAsia="Theinhardt Regular"/>
                <w:sz w:val="14"/>
                <w:szCs w:val="14"/>
              </w:rPr>
            </w:r>
          </w:p>
        </w:tc>
      </w:tr>
      <w:tr>
        <w:trPr>
          <w:trHeight w:val="125" w:hRule="exact"/>
        </w:trPr>
        <w:tc>
          <w:tcPr>
            <w:tcW w:w="9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5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2"/>
                <w:sz w:val="14"/>
              </w:rPr>
              <w:t>PV-Fass.</w:t>
            </w:r>
            <w:r>
              <w:rPr>
                <w:rFonts w:ascii="Theinhardt Regular"/>
                <w:color w:val="231F20"/>
                <w:sz w:val="14"/>
              </w:rPr>
              <w:t> </w:t>
            </w:r>
            <w:r>
              <w:rPr>
                <w:rFonts w:ascii="Theinhardt Regular"/>
                <w:color w:val="231F20"/>
                <w:spacing w:val="1"/>
                <w:sz w:val="14"/>
              </w:rPr>
              <w:t>total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3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5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2"/>
                <w:sz w:val="14"/>
              </w:rPr>
              <w:t>6</w:t>
            </w:r>
            <w:r>
              <w:rPr>
                <w:rFonts w:ascii="Theinhardt Regular"/>
                <w:color w:val="231F20"/>
                <w:spacing w:val="4"/>
                <w:sz w:val="14"/>
              </w:rPr>
              <w:t>0</w:t>
            </w:r>
            <w:r>
              <w:rPr>
                <w:rFonts w:ascii="Theinhardt Regular"/>
                <w:color w:val="231F20"/>
                <w:sz w:val="14"/>
              </w:rPr>
              <w:t>0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5" w:lineRule="exact"/>
              <w:ind w:left="96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7"/>
                <w:sz w:val="14"/>
              </w:rPr>
              <w:t>114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5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5" w:lineRule="exact"/>
              <w:ind w:left="13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4"/>
                <w:sz w:val="14"/>
              </w:rPr>
              <w:t>121.3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3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5" w:lineRule="exact"/>
              <w:ind w:left="107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1"/>
                <w:sz w:val="14"/>
              </w:rPr>
              <w:t>27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5" w:lineRule="exact"/>
              <w:ind w:left="80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 w:hAnsi="Theinhardt Bold" w:cs="Theinhardt Bold" w:eastAsia="Theinhardt Bold"/>
                <w:b/>
                <w:bCs/>
                <w:color w:val="231F20"/>
                <w:spacing w:val="1"/>
                <w:sz w:val="14"/>
                <w:szCs w:val="14"/>
              </w:rPr>
              <w:t>72’800</w:t>
            </w:r>
            <w:r>
              <w:rPr>
                <w:rFonts w:ascii="Theinhardt Bold" w:hAnsi="Theinhardt Bold" w:cs="Theinhardt Bold" w:eastAsia="Theinhardt Bold"/>
                <w:sz w:val="14"/>
                <w:szCs w:val="14"/>
              </w:rPr>
            </w:r>
          </w:p>
        </w:tc>
      </w:tr>
    </w:tbl>
    <w:p>
      <w:pPr>
        <w:tabs>
          <w:tab w:pos="2518" w:val="left" w:leader="none"/>
        </w:tabs>
        <w:spacing w:before="15"/>
        <w:ind w:left="10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Eigenenergieversorgung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100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4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277’600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tabs>
          <w:tab w:pos="2638" w:val="left" w:leader="none"/>
          <w:tab w:pos="2992" w:val="left" w:leader="none"/>
        </w:tabs>
        <w:spacing w:line="172" w:lineRule="exact" w:before="32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Energiebilanz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(Endenergie)</w:t>
        <w:tab/>
      </w:r>
      <w:r>
        <w:rPr>
          <w:rFonts w:ascii="Theinhardt Regular"/>
          <w:color w:val="231F20"/>
          <w:w w:val="95"/>
          <w:sz w:val="14"/>
        </w:rPr>
        <w:t>%</w:t>
        <w:tab/>
      </w:r>
      <w:r>
        <w:rPr>
          <w:rFonts w:ascii="Theinhardt Regular"/>
          <w:color w:val="231F20"/>
          <w:spacing w:val="-1"/>
          <w:sz w:val="14"/>
        </w:rPr>
        <w:t>kWh/a</w:t>
      </w:r>
      <w:r>
        <w:rPr>
          <w:rFonts w:ascii="Theinhardt Regular"/>
          <w:sz w:val="14"/>
        </w:rPr>
      </w:r>
    </w:p>
    <w:p>
      <w:pPr>
        <w:tabs>
          <w:tab w:pos="2518" w:val="left" w:leader="none"/>
        </w:tabs>
        <w:spacing w:line="160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Eigenenergieversorgung: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109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4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277’600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tabs>
          <w:tab w:pos="2519" w:val="left" w:leader="none"/>
        </w:tabs>
        <w:spacing w:line="160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Gesamtenergiebedarf: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100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254’000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tabs>
          <w:tab w:pos="2684" w:val="left" w:leader="none"/>
        </w:tabs>
        <w:spacing w:line="172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Solarstromüberschuss:</w:t>
        <w:tab/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9   </w:t>
      </w:r>
      <w:r>
        <w:rPr>
          <w:rFonts w:ascii="Theinhardt Bold" w:hAnsi="Theinhardt Bold" w:cs="Theinhardt Bold" w:eastAsia="Theinhardt Bold"/>
          <w:b/>
          <w:bCs/>
          <w:color w:val="231F20"/>
          <w:spacing w:val="22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23’600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line="160" w:lineRule="exact" w:before="39"/>
        <w:ind w:left="106" w:right="534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pacing w:val="2"/>
          <w:sz w:val="14"/>
        </w:rPr>
        <w:t>Bestätigt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von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2"/>
          <w:sz w:val="14"/>
        </w:rPr>
        <w:t>Elektrizitätswerk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Heiden</w:t>
      </w:r>
      <w:r>
        <w:rPr>
          <w:rFonts w:ascii="Theinhardt Bold" w:hAnsi="Theinhardt Bold"/>
          <w:b/>
          <w:color w:val="231F20"/>
          <w:sz w:val="14"/>
        </w:rPr>
        <w:t> AG in</w:t>
      </w:r>
      <w:r>
        <w:rPr>
          <w:rFonts w:ascii="Theinhardt Bold" w:hAnsi="Theinhardt Bold"/>
          <w:b/>
          <w:color w:val="231F20"/>
          <w:spacing w:val="3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Heiden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am </w:t>
      </w:r>
      <w:r>
        <w:rPr>
          <w:rFonts w:ascii="Theinhardt Regular" w:hAnsi="Theinhardt Regular"/>
          <w:color w:val="231F20"/>
          <w:spacing w:val="-3"/>
          <w:sz w:val="14"/>
        </w:rPr>
        <w:t>16. </w:t>
      </w:r>
      <w:r>
        <w:rPr>
          <w:rFonts w:ascii="Theinhardt Regular" w:hAnsi="Theinhardt Regular"/>
          <w:color w:val="231F20"/>
          <w:sz w:val="14"/>
        </w:rPr>
        <w:t>Juni</w:t>
      </w:r>
      <w:r>
        <w:rPr>
          <w:rFonts w:ascii="Theinhardt Regular" w:hAnsi="Theinhardt Regular"/>
          <w:color w:val="231F20"/>
          <w:spacing w:val="-3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2020,</w:t>
      </w:r>
      <w:r>
        <w:rPr>
          <w:rFonts w:ascii="Theinhardt Regular" w:hAnsi="Theinhardt Regular"/>
          <w:color w:val="231F20"/>
          <w:spacing w:val="-3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Christoph</w:t>
      </w:r>
      <w:r>
        <w:rPr>
          <w:rFonts w:ascii="Theinhardt Regular" w:hAnsi="Theinhardt Regular"/>
          <w:color w:val="231F20"/>
          <w:spacing w:val="-3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Mettler,</w:t>
      </w:r>
      <w:r>
        <w:rPr>
          <w:rFonts w:ascii="Theinhardt Regular" w:hAnsi="Theinhardt Regular"/>
          <w:color w:val="231F20"/>
          <w:spacing w:val="34"/>
          <w:sz w:val="14"/>
        </w:rPr>
        <w:t> </w:t>
      </w:r>
      <w:r>
        <w:rPr>
          <w:rFonts w:ascii="Theinhardt Regular" w:hAnsi="Theinhardt Regular"/>
          <w:color w:val="231F20"/>
          <w:spacing w:val="-3"/>
          <w:sz w:val="14"/>
        </w:rPr>
        <w:t>Tel. </w:t>
      </w:r>
      <w:r>
        <w:rPr>
          <w:rFonts w:ascii="Theinhardt Regular" w:hAnsi="Theinhardt Regular"/>
          <w:color w:val="231F20"/>
          <w:spacing w:val="-4"/>
          <w:sz w:val="14"/>
        </w:rPr>
        <w:t>+41</w:t>
      </w:r>
      <w:r>
        <w:rPr>
          <w:rFonts w:ascii="Theinhardt Regular" w:hAnsi="Theinhardt Regular"/>
          <w:color w:val="231F20"/>
          <w:spacing w:val="-3"/>
          <w:sz w:val="14"/>
        </w:rPr>
        <w:t> 71 </w:t>
      </w:r>
      <w:r>
        <w:rPr>
          <w:rFonts w:ascii="Theinhardt Regular" w:hAnsi="Theinhardt Regular"/>
          <w:color w:val="231F20"/>
          <w:sz w:val="14"/>
        </w:rPr>
        <w:t>898</w:t>
      </w:r>
      <w:r>
        <w:rPr>
          <w:rFonts w:ascii="Theinhardt Regular" w:hAnsi="Theinhardt Regular"/>
          <w:color w:val="231F20"/>
          <w:spacing w:val="-3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89</w:t>
      </w:r>
      <w:r>
        <w:rPr>
          <w:rFonts w:ascii="Theinhardt Regular" w:hAnsi="Theinhardt Regular"/>
          <w:color w:val="231F20"/>
          <w:spacing w:val="-3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40</w:t>
      </w:r>
      <w:r>
        <w:rPr>
          <w:rFonts w:ascii="Theinhardt Regular" w:hAnsi="Theinhardt Regular"/>
          <w:sz w:val="14"/>
        </w:rPr>
      </w:r>
    </w:p>
    <w:p>
      <w:pPr>
        <w:spacing w:line="160" w:lineRule="exact" w:before="56"/>
        <w:ind w:left="106" w:right="224" w:firstLine="0"/>
        <w:jc w:val="both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Anm.:</w:t>
      </w:r>
      <w:r>
        <w:rPr>
          <w:rFonts w:ascii="Theinhardt Bold" w:hAnsi="Theinhardt Bold"/>
          <w:b/>
          <w:color w:val="231F20"/>
          <w:spacing w:val="2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Die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4"/>
          <w:sz w:val="14"/>
        </w:rPr>
        <w:t>1.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Hälfte</w:t>
      </w:r>
      <w:r>
        <w:rPr>
          <w:rFonts w:ascii="Theinhardt Regular" w:hAnsi="Theinhardt Regular"/>
          <w:color w:val="231F20"/>
          <w:sz w:val="14"/>
        </w:rPr>
        <w:t> 2020 </w:t>
      </w:r>
      <w:r>
        <w:rPr>
          <w:rFonts w:ascii="Theinhardt Regular" w:hAnsi="Theinhardt Regular"/>
          <w:color w:val="231F20"/>
          <w:spacing w:val="2"/>
          <w:sz w:val="14"/>
        </w:rPr>
        <w:t>erbrachte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überdurchschn.</w:t>
      </w:r>
      <w:r>
        <w:rPr>
          <w:rFonts w:ascii="Theinhardt Regular" w:hAnsi="Theinhardt Regular"/>
          <w:color w:val="231F20"/>
          <w:spacing w:val="36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viel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Solarertrag.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Alle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müssen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rechtsgleich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behandelt</w:t>
      </w:r>
      <w:r>
        <w:rPr>
          <w:rFonts w:ascii="Theinhardt Regular" w:hAnsi="Theinhardt Regular"/>
          <w:color w:val="231F20"/>
          <w:spacing w:val="36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werden</w:t>
      </w:r>
      <w:r>
        <w:rPr>
          <w:rFonts w:ascii="Theinhardt Regular" w:hAnsi="Theinhardt Regular"/>
          <w:color w:val="231F20"/>
          <w:sz w:val="14"/>
        </w:rPr>
        <w:t> (vgl. </w:t>
      </w:r>
      <w:r>
        <w:rPr>
          <w:rFonts w:ascii="Theinhardt Regular" w:hAnsi="Theinhardt Regular"/>
          <w:color w:val="231F20"/>
          <w:spacing w:val="2"/>
          <w:sz w:val="14"/>
        </w:rPr>
        <w:t>Rechtsfragen,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S.</w:t>
      </w:r>
      <w:r>
        <w:rPr>
          <w:rFonts w:ascii="Theinhardt Regular" w:hAnsi="Theinhardt Regular"/>
          <w:color w:val="231F20"/>
          <w:sz w:val="14"/>
        </w:rPr>
        <w:t> 44).</w:t>
      </w:r>
      <w:r>
        <w:rPr>
          <w:rFonts w:ascii="Theinhardt Regular" w:hAnsi="Theinhardt Regular"/>
          <w:sz w:val="14"/>
        </w:rPr>
      </w:r>
    </w:p>
    <w:p>
      <w:pPr>
        <w:spacing w:before="49"/>
        <w:ind w:left="106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>
          <w:rFonts w:ascii="Theinhardt Black"/>
          <w:b/>
          <w:color w:val="231F20"/>
          <w:spacing w:val="1"/>
          <w:sz w:val="14"/>
        </w:rPr>
        <w:t>Beteiligte</w:t>
      </w:r>
      <w:r>
        <w:rPr>
          <w:rFonts w:ascii="Theinhardt Black"/>
          <w:b/>
          <w:color w:val="231F20"/>
          <w:sz w:val="14"/>
        </w:rPr>
        <w:t> Personen</w:t>
      </w:r>
      <w:r>
        <w:rPr>
          <w:rFonts w:ascii="Theinhardt Black"/>
          <w:sz w:val="14"/>
        </w:rPr>
      </w:r>
    </w:p>
    <w:p>
      <w:pPr>
        <w:spacing w:line="240" w:lineRule="auto" w:before="9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spacing w:line="20" w:lineRule="atLeast"/>
        <w:ind w:left="107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spacing w:line="172" w:lineRule="exact" w:before="2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Bauherrschaft</w:t>
      </w:r>
      <w:r>
        <w:rPr>
          <w:rFonts w:ascii="Theinhardt Bold"/>
          <w:sz w:val="14"/>
        </w:rPr>
      </w:r>
    </w:p>
    <w:p>
      <w:pPr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2"/>
          <w:sz w:val="14"/>
        </w:rPr>
        <w:t>Genossenschaft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Migros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Ostschweiz</w:t>
      </w:r>
      <w:r>
        <w:rPr>
          <w:rFonts w:ascii="Theinhardt Regular"/>
          <w:sz w:val="14"/>
        </w:rPr>
      </w:r>
    </w:p>
    <w:p>
      <w:pPr>
        <w:spacing w:line="172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Industriestr.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3"/>
          <w:sz w:val="14"/>
        </w:rPr>
        <w:t>47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9201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Gossau,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+41</w:t>
      </w:r>
      <w:r>
        <w:rPr>
          <w:rFonts w:ascii="Theinhardt Regular"/>
          <w:color w:val="231F20"/>
          <w:sz w:val="14"/>
        </w:rPr>
        <w:t> 58 </w:t>
      </w:r>
      <w:r>
        <w:rPr>
          <w:rFonts w:ascii="Theinhardt Regular"/>
          <w:color w:val="231F20"/>
          <w:spacing w:val="-5"/>
          <w:sz w:val="14"/>
        </w:rPr>
        <w:t>712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21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7"/>
          <w:sz w:val="14"/>
        </w:rPr>
        <w:t>11</w:t>
      </w:r>
      <w:r>
        <w:rPr>
          <w:rFonts w:ascii="Theinhardt Regular"/>
          <w:sz w:val="14"/>
        </w:rPr>
      </w:r>
    </w:p>
    <w:p>
      <w:pPr>
        <w:spacing w:line="172" w:lineRule="exact" w:before="32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Projektleiter Bau und Technik</w:t>
      </w:r>
      <w:r>
        <w:rPr>
          <w:rFonts w:ascii="Theinhardt Bold"/>
          <w:sz w:val="14"/>
        </w:rPr>
      </w:r>
    </w:p>
    <w:p>
      <w:pPr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z w:val="14"/>
        </w:rPr>
        <w:t>Werner Kläger, Tel. </w:t>
      </w:r>
      <w:r>
        <w:rPr>
          <w:rFonts w:ascii="Theinhardt Regular" w:hAnsi="Theinhardt Regular"/>
          <w:color w:val="231F20"/>
          <w:spacing w:val="-4"/>
          <w:sz w:val="14"/>
        </w:rPr>
        <w:t>+41</w:t>
      </w:r>
      <w:r>
        <w:rPr>
          <w:rFonts w:ascii="Theinhardt Regular" w:hAnsi="Theinhardt Regular"/>
          <w:color w:val="231F20"/>
          <w:sz w:val="14"/>
        </w:rPr>
        <w:t> 58 712 29 70</w:t>
      </w:r>
      <w:r>
        <w:rPr>
          <w:rFonts w:ascii="Theinhardt Regular" w:hAnsi="Theinhardt Regular"/>
          <w:sz w:val="14"/>
        </w:rPr>
      </w:r>
    </w:p>
    <w:p>
      <w:pPr>
        <w:spacing w:line="172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Timo Rothmund, Tel. </w:t>
      </w:r>
      <w:r>
        <w:rPr>
          <w:rFonts w:ascii="Theinhardt Regular"/>
          <w:color w:val="231F20"/>
          <w:spacing w:val="-4"/>
          <w:sz w:val="14"/>
        </w:rPr>
        <w:t>+41</w:t>
      </w:r>
      <w:r>
        <w:rPr>
          <w:rFonts w:ascii="Theinhardt Regular"/>
          <w:color w:val="231F20"/>
          <w:sz w:val="14"/>
        </w:rPr>
        <w:t> 58 712 24 29</w:t>
      </w:r>
      <w:r>
        <w:rPr>
          <w:rFonts w:ascii="Theinhardt Regular"/>
          <w:sz w:val="14"/>
        </w:rPr>
      </w:r>
    </w:p>
    <w:p>
      <w:pPr>
        <w:spacing w:before="32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Weitere Projektbeteiligte</w:t>
      </w:r>
      <w:r>
        <w:rPr>
          <w:rFonts w:ascii="Theinhardt Bold"/>
          <w:sz w:val="14"/>
        </w:rPr>
      </w:r>
    </w:p>
    <w:p>
      <w:pPr>
        <w:spacing w:line="172" w:lineRule="exact" w:before="32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Alex Buob AG, 9410 Heiden, Tel. </w:t>
      </w:r>
      <w:r>
        <w:rPr>
          <w:rFonts w:ascii="Theinhardt Regular"/>
          <w:color w:val="231F20"/>
          <w:spacing w:val="-4"/>
          <w:sz w:val="14"/>
        </w:rPr>
        <w:t>+41</w:t>
      </w:r>
      <w:r>
        <w:rPr>
          <w:rFonts w:ascii="Theinhardt Regular"/>
          <w:color w:val="231F20"/>
          <w:sz w:val="14"/>
        </w:rPr>
        <w:t> 71 891 35 66</w:t>
      </w:r>
      <w:r>
        <w:rPr>
          <w:rFonts w:ascii="Theinhardt Regular"/>
          <w:sz w:val="14"/>
        </w:rPr>
      </w:r>
    </w:p>
    <w:p>
      <w:pPr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5"/>
          <w:sz w:val="14"/>
        </w:rPr>
        <w:t>Implenia</w:t>
      </w:r>
      <w:r>
        <w:rPr>
          <w:rFonts w:ascii="Theinhardt Regular"/>
          <w:color w:val="231F20"/>
          <w:spacing w:val="-15"/>
          <w:sz w:val="14"/>
        </w:rPr>
        <w:t> </w:t>
      </w:r>
      <w:r>
        <w:rPr>
          <w:rFonts w:ascii="Theinhardt Regular"/>
          <w:color w:val="231F20"/>
          <w:spacing w:val="-5"/>
          <w:sz w:val="14"/>
        </w:rPr>
        <w:t>Schweiz</w:t>
      </w:r>
      <w:r>
        <w:rPr>
          <w:rFonts w:ascii="Theinhardt Regular"/>
          <w:color w:val="231F20"/>
          <w:spacing w:val="-15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AG,</w:t>
      </w:r>
      <w:r>
        <w:rPr>
          <w:rFonts w:ascii="Theinhardt Regular"/>
          <w:color w:val="231F20"/>
          <w:spacing w:val="-15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6038</w:t>
      </w:r>
      <w:r>
        <w:rPr>
          <w:rFonts w:ascii="Theinhardt Regular"/>
          <w:color w:val="231F20"/>
          <w:spacing w:val="-15"/>
          <w:sz w:val="14"/>
        </w:rPr>
        <w:t> </w:t>
      </w:r>
      <w:r>
        <w:rPr>
          <w:rFonts w:ascii="Theinhardt Regular"/>
          <w:color w:val="231F20"/>
          <w:spacing w:val="-5"/>
          <w:sz w:val="14"/>
        </w:rPr>
        <w:t>Gisikon,</w:t>
      </w:r>
      <w:r>
        <w:rPr>
          <w:rFonts w:ascii="Theinhardt Regular"/>
          <w:color w:val="231F20"/>
          <w:spacing w:val="-15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Tel.</w:t>
      </w:r>
      <w:r>
        <w:rPr>
          <w:rFonts w:ascii="Theinhardt Regular"/>
          <w:color w:val="231F20"/>
          <w:spacing w:val="-15"/>
          <w:sz w:val="14"/>
        </w:rPr>
        <w:t> </w:t>
      </w:r>
      <w:r>
        <w:rPr>
          <w:rFonts w:ascii="Theinhardt Regular"/>
          <w:color w:val="231F20"/>
          <w:spacing w:val="-6"/>
          <w:sz w:val="14"/>
        </w:rPr>
        <w:t>+41</w:t>
      </w:r>
      <w:r>
        <w:rPr>
          <w:rFonts w:ascii="Theinhardt Regular"/>
          <w:color w:val="231F20"/>
          <w:spacing w:val="-15"/>
          <w:sz w:val="14"/>
        </w:rPr>
        <w:t> </w:t>
      </w:r>
      <w:r>
        <w:rPr>
          <w:rFonts w:ascii="Theinhardt Regular"/>
          <w:color w:val="231F20"/>
          <w:spacing w:val="-3"/>
          <w:sz w:val="14"/>
        </w:rPr>
        <w:t>58</w:t>
      </w:r>
      <w:r>
        <w:rPr>
          <w:rFonts w:ascii="Theinhardt Regular"/>
          <w:color w:val="231F20"/>
          <w:spacing w:val="-15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474</w:t>
      </w:r>
      <w:r>
        <w:rPr>
          <w:rFonts w:ascii="Theinhardt Regular"/>
          <w:color w:val="231F20"/>
          <w:spacing w:val="-15"/>
          <w:sz w:val="14"/>
        </w:rPr>
        <w:t> </w:t>
      </w:r>
      <w:r>
        <w:rPr>
          <w:rFonts w:ascii="Theinhardt Regular"/>
          <w:color w:val="231F20"/>
          <w:spacing w:val="-3"/>
          <w:sz w:val="14"/>
        </w:rPr>
        <w:t>23</w:t>
      </w:r>
      <w:r>
        <w:rPr>
          <w:rFonts w:ascii="Theinhardt Regular"/>
          <w:color w:val="231F20"/>
          <w:spacing w:val="-15"/>
          <w:sz w:val="14"/>
        </w:rPr>
        <w:t> </w:t>
      </w:r>
      <w:r>
        <w:rPr>
          <w:rFonts w:ascii="Theinhardt Regular"/>
          <w:color w:val="231F20"/>
          <w:spacing w:val="-5"/>
          <w:sz w:val="14"/>
        </w:rPr>
        <w:t>68</w:t>
      </w:r>
      <w:r>
        <w:rPr>
          <w:rFonts w:ascii="Theinhardt Regular"/>
          <w:sz w:val="14"/>
        </w:rPr>
      </w:r>
    </w:p>
    <w:p>
      <w:pPr>
        <w:spacing w:line="207" w:lineRule="auto" w:before="6"/>
        <w:ind w:left="106" w:right="156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z w:val="14"/>
        </w:rPr>
        <w:t>Heizplan AG, 9473 Gams, Tel. </w:t>
      </w:r>
      <w:r>
        <w:rPr>
          <w:rFonts w:ascii="Theinhardt Regular" w:hAnsi="Theinhardt Regular"/>
          <w:color w:val="231F20"/>
          <w:spacing w:val="-4"/>
          <w:sz w:val="14"/>
        </w:rPr>
        <w:t>+41</w:t>
      </w:r>
      <w:r>
        <w:rPr>
          <w:rFonts w:ascii="Theinhardt Regular" w:hAnsi="Theinhardt Regular"/>
          <w:color w:val="231F20"/>
          <w:sz w:val="14"/>
        </w:rPr>
        <w:t> 81 750 34 50</w:t>
      </w:r>
      <w:r>
        <w:rPr>
          <w:rFonts w:ascii="Theinhardt Regular" w:hAnsi="Theinhardt Regular"/>
          <w:color w:val="231F20"/>
          <w:spacing w:val="22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ARGE Elektro Fürer + EW Heiden</w:t>
      </w:r>
      <w:r>
        <w:rPr>
          <w:rFonts w:ascii="Theinhardt Regular" w:hAnsi="Theinhardt Regular"/>
          <w:sz w:val="14"/>
        </w:rPr>
      </w:r>
    </w:p>
    <w:p>
      <w:pPr>
        <w:spacing w:line="167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/>
        <w:pict>
          <v:group style="position:absolute;margin-left:385.937103pt;margin-top:10.099201pt;width:167.25pt;height:.45pt;mso-position-horizontal-relative:page;mso-position-vertical-relative:paragraph;z-index:1168" coordorigin="7719,202" coordsize="3345,9">
            <v:group style="position:absolute;left:7740;top:206;width:3311;height:2" coordorigin="7740,206" coordsize="3311,2">
              <v:shape style="position:absolute;left:7740;top:206;width:3311;height:2" coordorigin="7740,206" coordsize="3311,0" path="m7740,206l11051,206e" filled="false" stroked="true" strokeweight=".425pt" strokecolor="#231f20">
                <v:path arrowok="t"/>
                <v:stroke dashstyle="dash"/>
              </v:shape>
            </v:group>
            <v:group style="position:absolute;left:7723;top:206;width:2;height:2" coordorigin="7723,206" coordsize="2,2">
              <v:shape style="position:absolute;left:7723;top:206;width:2;height:2" coordorigin="7723,206" coordsize="0,0" path="m7723,206l7723,206e" filled="false" stroked="true" strokeweight=".425pt" strokecolor="#231f20">
                <v:path arrowok="t"/>
              </v:shape>
            </v:group>
            <v:group style="position:absolute;left:11059;top:206;width:2;height:2" coordorigin="11059,206" coordsize="2,2">
              <v:shape style="position:absolute;left:11059;top:206;width:2;height:2" coordorigin="11059,206" coordsize="0,0" path="m11059,206l11059,206e" filled="false" stroked="true" strokeweight=".425pt" strokecolor="#231f20">
                <v:path arrowok="t"/>
              </v:shape>
            </v:group>
            <w10:wrap type="none"/>
          </v:group>
        </w:pict>
      </w:r>
      <w:r>
        <w:rPr>
          <w:rFonts w:ascii="Theinhardt Regular"/>
          <w:color w:val="231F20"/>
          <w:sz w:val="14"/>
        </w:rPr>
        <w:t>Tel. </w:t>
      </w:r>
      <w:r>
        <w:rPr>
          <w:rFonts w:ascii="Theinhardt Regular"/>
          <w:color w:val="231F20"/>
          <w:spacing w:val="-4"/>
          <w:sz w:val="14"/>
        </w:rPr>
        <w:t>+41</w:t>
      </w:r>
      <w:r>
        <w:rPr>
          <w:rFonts w:ascii="Theinhardt Regular"/>
          <w:color w:val="231F20"/>
          <w:sz w:val="14"/>
        </w:rPr>
        <w:t> 71 898 89 </w:t>
      </w:r>
      <w:r>
        <w:rPr>
          <w:rFonts w:ascii="Theinhardt Regular"/>
          <w:color w:val="231F20"/>
          <w:spacing w:val="-1"/>
          <w:sz w:val="14"/>
        </w:rPr>
        <w:t>49</w:t>
      </w:r>
      <w:r>
        <w:rPr>
          <w:rFonts w:ascii="Theinhardt Regular"/>
          <w:sz w:val="14"/>
        </w:rPr>
      </w:r>
    </w:p>
    <w:p>
      <w:pPr>
        <w:spacing w:after="0" w:line="167" w:lineRule="exact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460" w:right="740"/>
          <w:cols w:num="3" w:equalWidth="0">
            <w:col w:w="3453" w:space="119"/>
            <w:col w:w="3460" w:space="120"/>
            <w:col w:w="3558"/>
          </w:cols>
        </w:sect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3"/>
        <w:rPr>
          <w:rFonts w:ascii="Theinhardt Regular" w:hAnsi="Theinhardt Regular" w:cs="Theinhardt Regular" w:eastAsia="Theinhardt Regular"/>
          <w:sz w:val="15"/>
          <w:szCs w:val="15"/>
        </w:rPr>
      </w:pPr>
    </w:p>
    <w:p>
      <w:pPr>
        <w:spacing w:before="7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Heavy"/>
          <w:b/>
          <w:color w:val="231F20"/>
          <w:sz w:val="14"/>
        </w:rPr>
        <w:t>74    </w:t>
      </w:r>
      <w:r>
        <w:rPr>
          <w:rFonts w:ascii="Theinhardt Heavy"/>
          <w:b/>
          <w:color w:val="231F20"/>
          <w:spacing w:val="7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2020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2020</w:t>
      </w:r>
      <w:r>
        <w:rPr>
          <w:rFonts w:ascii="Theinhardt Regular"/>
          <w:sz w:val="14"/>
        </w:rPr>
      </w:r>
    </w:p>
    <w:p>
      <w:pPr>
        <w:spacing w:after="0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460" w:right="740"/>
        </w:sectPr>
      </w:pPr>
    </w:p>
    <w:p>
      <w:pPr>
        <w:spacing w:line="240" w:lineRule="auto" w:before="6"/>
        <w:rPr>
          <w:rFonts w:ascii="Theinhardt Regular" w:hAnsi="Theinhardt Regular" w:cs="Theinhardt Regular" w:eastAsia="Theinhardt Regular"/>
          <w:sz w:val="5"/>
          <w:szCs w:val="5"/>
        </w:rPr>
      </w:pPr>
    </w:p>
    <w:p>
      <w:pPr>
        <w:spacing w:line="200" w:lineRule="atLeast"/>
        <w:ind w:left="110" w:right="0" w:firstLine="0"/>
        <w:rPr>
          <w:rFonts w:ascii="Theinhardt Regular" w:hAnsi="Theinhardt Regular" w:cs="Theinhardt Regular" w:eastAsia="Theinhardt Regular"/>
          <w:sz w:val="20"/>
          <w:szCs w:val="20"/>
        </w:rPr>
      </w:pPr>
      <w:r>
        <w:rPr>
          <w:rFonts w:ascii="Theinhardt Regular" w:hAnsi="Theinhardt Regular" w:cs="Theinhardt Regular" w:eastAsia="Theinhardt Regular"/>
          <w:sz w:val="20"/>
          <w:szCs w:val="20"/>
        </w:rPr>
        <w:drawing>
          <wp:inline distT="0" distB="0" distL="0" distR="0">
            <wp:extent cx="6657194" cy="3441192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7194" cy="3441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Regular" w:hAnsi="Theinhardt Regular" w:cs="Theinhardt Regular" w:eastAsia="Theinhardt Regular"/>
          <w:sz w:val="20"/>
          <w:szCs w:val="20"/>
        </w:rPr>
      </w:r>
    </w:p>
    <w:p>
      <w:pPr>
        <w:spacing w:before="10"/>
        <w:ind w:left="114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1</w:t>
      </w:r>
      <w:r>
        <w:rPr>
          <w:rFonts w:ascii="Theinhardt Bold"/>
          <w:sz w:val="14"/>
        </w:rPr>
      </w:r>
    </w:p>
    <w:p>
      <w:pPr>
        <w:spacing w:line="240" w:lineRule="auto" w:before="1"/>
        <w:rPr>
          <w:rFonts w:ascii="Theinhardt Bold" w:hAnsi="Theinhardt Bold" w:cs="Theinhardt Bold" w:eastAsia="Theinhardt Bold"/>
          <w:b/>
          <w:bCs/>
          <w:sz w:val="18"/>
          <w:szCs w:val="18"/>
        </w:rPr>
      </w:pPr>
    </w:p>
    <w:p>
      <w:pPr>
        <w:tabs>
          <w:tab w:pos="5467" w:val="left" w:leader="none"/>
        </w:tabs>
        <w:spacing w:line="200" w:lineRule="atLeast"/>
        <w:ind w:left="113" w:right="0" w:firstLine="0"/>
        <w:rPr>
          <w:rFonts w:ascii="Theinhardt Bold" w:hAnsi="Theinhardt Bold" w:cs="Theinhardt Bold" w:eastAsia="Theinhardt Bold"/>
          <w:sz w:val="20"/>
          <w:szCs w:val="20"/>
        </w:rPr>
      </w:pPr>
      <w:r>
        <w:rPr>
          <w:rFonts w:ascii="Theinhardt Bold"/>
          <w:sz w:val="20"/>
        </w:rPr>
        <w:drawing>
          <wp:inline distT="0" distB="0" distL="0" distR="0">
            <wp:extent cx="3260517" cy="1972055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0517" cy="19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sz w:val="20"/>
        </w:rPr>
      </w:r>
      <w:r>
        <w:rPr>
          <w:rFonts w:ascii="Theinhardt Bold"/>
          <w:sz w:val="20"/>
        </w:rPr>
        <w:tab/>
      </w:r>
      <w:r>
        <w:rPr>
          <w:rFonts w:ascii="Theinhardt Bold"/>
          <w:position w:val="6"/>
          <w:sz w:val="20"/>
        </w:rPr>
        <w:drawing>
          <wp:inline distT="0" distB="0" distL="0" distR="0">
            <wp:extent cx="3203468" cy="1936241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3468" cy="1936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position w:val="6"/>
          <w:sz w:val="20"/>
        </w:rPr>
      </w:r>
    </w:p>
    <w:p>
      <w:pPr>
        <w:tabs>
          <w:tab w:pos="5474" w:val="left" w:leader="none"/>
        </w:tabs>
        <w:spacing w:before="13"/>
        <w:ind w:left="111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2</w:t>
        <w:tab/>
        <w:t>3</w:t>
      </w:r>
      <w:r>
        <w:rPr>
          <w:rFonts w:ascii="Theinhardt Bold"/>
          <w:sz w:val="14"/>
        </w:rPr>
      </w: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3"/>
        <w:rPr>
          <w:rFonts w:ascii="Theinhardt Bold" w:hAnsi="Theinhardt Bold" w:cs="Theinhardt Bold" w:eastAsia="Theinhardt Bold"/>
          <w:b/>
          <w:bCs/>
          <w:sz w:val="22"/>
          <w:szCs w:val="22"/>
        </w:rPr>
      </w:pPr>
    </w:p>
    <w:p>
      <w:pPr>
        <w:spacing w:after="0" w:line="240" w:lineRule="auto"/>
        <w:rPr>
          <w:rFonts w:ascii="Theinhardt Bold" w:hAnsi="Theinhardt Bold" w:cs="Theinhardt Bold" w:eastAsia="Theinhardt Bold"/>
          <w:sz w:val="22"/>
          <w:szCs w:val="22"/>
        </w:rPr>
        <w:sectPr>
          <w:pgSz w:w="11910" w:h="16840"/>
          <w:pgMar w:top="860" w:bottom="280" w:left="740" w:right="460"/>
        </w:sectPr>
      </w:pPr>
    </w:p>
    <w:p>
      <w:pPr>
        <w:numPr>
          <w:ilvl w:val="0"/>
          <w:numId w:val="1"/>
        </w:numPr>
        <w:tabs>
          <w:tab w:pos="352" w:val="left" w:leader="none"/>
        </w:tabs>
        <w:spacing w:line="160" w:lineRule="exact" w:before="76"/>
        <w:ind w:left="351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Der Supermarkt </w:t>
      </w:r>
      <w:r>
        <w:rPr>
          <w:rFonts w:ascii="Theinhardt Bold"/>
          <w:b/>
          <w:color w:val="231F20"/>
          <w:spacing w:val="-1"/>
          <w:sz w:val="14"/>
        </w:rPr>
        <w:t>Migros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-1"/>
          <w:sz w:val="14"/>
        </w:rPr>
        <w:t>Heiden</w:t>
      </w:r>
      <w:r>
        <w:rPr>
          <w:rFonts w:ascii="Theinhardt Bold"/>
          <w:b/>
          <w:color w:val="231F20"/>
          <w:sz w:val="14"/>
        </w:rPr>
        <w:t> mit </w:t>
      </w:r>
      <w:r>
        <w:rPr>
          <w:rFonts w:ascii="Theinhardt Bold"/>
          <w:b/>
          <w:color w:val="231F20"/>
          <w:spacing w:val="-1"/>
          <w:sz w:val="14"/>
        </w:rPr>
        <w:t>der</w:t>
      </w:r>
      <w:r>
        <w:rPr>
          <w:rFonts w:ascii="Theinhardt Bold"/>
          <w:b/>
          <w:color w:val="231F20"/>
          <w:sz w:val="14"/>
        </w:rPr>
        <w:t> 114 kW</w:t>
      </w:r>
      <w:r>
        <w:rPr>
          <w:rFonts w:ascii="Theinhardt Bold"/>
          <w:b/>
          <w:color w:val="231F20"/>
          <w:spacing w:val="36"/>
          <w:sz w:val="14"/>
        </w:rPr>
        <w:t> </w:t>
      </w:r>
      <w:r>
        <w:rPr>
          <w:rFonts w:ascii="Theinhardt Bold"/>
          <w:b/>
          <w:color w:val="231F20"/>
          <w:spacing w:val="-1"/>
          <w:sz w:val="14"/>
        </w:rPr>
        <w:t>starken,</w:t>
      </w:r>
      <w:r>
        <w:rPr>
          <w:rFonts w:ascii="Theinhardt Bold"/>
          <w:b/>
          <w:color w:val="231F20"/>
          <w:spacing w:val="-6"/>
          <w:sz w:val="14"/>
        </w:rPr>
        <w:t> </w:t>
      </w:r>
      <w:r>
        <w:rPr>
          <w:rFonts w:ascii="Theinhardt Bold"/>
          <w:b/>
          <w:color w:val="231F20"/>
          <w:spacing w:val="-1"/>
          <w:sz w:val="14"/>
        </w:rPr>
        <w:t>vorbildlich</w:t>
      </w:r>
      <w:r>
        <w:rPr>
          <w:rFonts w:ascii="Theinhardt Bold"/>
          <w:b/>
          <w:color w:val="231F20"/>
          <w:sz w:val="14"/>
        </w:rPr>
        <w:t> fassadenintegrierten</w:t>
      </w:r>
      <w:r>
        <w:rPr>
          <w:rFonts w:ascii="Theinhardt Bold"/>
          <w:sz w:val="14"/>
        </w:rPr>
      </w:r>
    </w:p>
    <w:p>
      <w:pPr>
        <w:spacing w:line="177" w:lineRule="exact" w:before="0"/>
        <w:ind w:left="351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PV-Anlage.</w:t>
      </w:r>
      <w:r>
        <w:rPr>
          <w:rFonts w:ascii="Theinhardt Bold"/>
          <w:sz w:val="14"/>
        </w:rPr>
      </w:r>
    </w:p>
    <w:p>
      <w:pPr>
        <w:numPr>
          <w:ilvl w:val="0"/>
          <w:numId w:val="1"/>
        </w:numPr>
        <w:tabs>
          <w:tab w:pos="352" w:val="left" w:leader="none"/>
        </w:tabs>
        <w:spacing w:line="160" w:lineRule="exact" w:before="87"/>
        <w:ind w:left="351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br w:type="column"/>
        <w:t>Blick auf </w:t>
      </w:r>
      <w:r>
        <w:rPr>
          <w:rFonts w:ascii="Theinhardt Bold" w:hAnsi="Theinhardt Bold"/>
          <w:b/>
          <w:color w:val="231F20"/>
          <w:spacing w:val="-1"/>
          <w:sz w:val="14"/>
        </w:rPr>
        <w:t>den</w:t>
      </w:r>
      <w:r>
        <w:rPr>
          <w:rFonts w:ascii="Theinhardt Bold" w:hAnsi="Theinhardt Bold"/>
          <w:b/>
          <w:color w:val="231F20"/>
          <w:sz w:val="14"/>
        </w:rPr>
        <w:t> Eingang </w:t>
      </w:r>
      <w:r>
        <w:rPr>
          <w:rFonts w:ascii="Theinhardt Bold" w:hAnsi="Theinhardt Bold"/>
          <w:b/>
          <w:color w:val="231F20"/>
          <w:spacing w:val="-1"/>
          <w:sz w:val="14"/>
        </w:rPr>
        <w:t>der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Migros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Heiden</w:t>
      </w:r>
      <w:r>
        <w:rPr>
          <w:rFonts w:ascii="Theinhardt Bold" w:hAnsi="Theinhardt Bold"/>
          <w:b/>
          <w:color w:val="231F20"/>
          <w:sz w:val="14"/>
        </w:rPr>
        <w:t> mit</w:t>
      </w:r>
      <w:r>
        <w:rPr>
          <w:rFonts w:ascii="Theinhardt Bold" w:hAnsi="Theinhardt Bold"/>
          <w:b/>
          <w:color w:val="231F20"/>
          <w:spacing w:val="31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einer </w:t>
      </w:r>
      <w:r>
        <w:rPr>
          <w:rFonts w:ascii="Theinhardt Bold" w:hAnsi="Theinhardt Bold"/>
          <w:b/>
          <w:color w:val="231F20"/>
          <w:spacing w:val="-1"/>
          <w:sz w:val="14"/>
        </w:rPr>
        <w:t>der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leistungsstärksten</w:t>
      </w:r>
      <w:r>
        <w:rPr>
          <w:rFonts w:ascii="Theinhardt Bold" w:hAnsi="Theinhardt Bold"/>
          <w:b/>
          <w:color w:val="231F20"/>
          <w:sz w:val="14"/>
        </w:rPr>
        <w:t> fassadenintegrier-</w:t>
      </w:r>
      <w:r>
        <w:rPr>
          <w:rFonts w:ascii="Theinhardt Bold" w:hAnsi="Theinhardt Bold"/>
          <w:b/>
          <w:color w:val="231F20"/>
          <w:spacing w:val="31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ten PV-Anlagen </w:t>
      </w:r>
      <w:r>
        <w:rPr>
          <w:rFonts w:ascii="Theinhardt Bold" w:hAnsi="Theinhardt Bold"/>
          <w:b/>
          <w:color w:val="231F20"/>
          <w:spacing w:val="-1"/>
          <w:sz w:val="14"/>
        </w:rPr>
        <w:t>der</w:t>
      </w:r>
      <w:r>
        <w:rPr>
          <w:rFonts w:ascii="Theinhardt Bold" w:hAnsi="Theinhardt Bold"/>
          <w:b/>
          <w:color w:val="231F20"/>
          <w:sz w:val="14"/>
        </w:rPr>
        <w:t> Schweiz 2020.</w:t>
      </w:r>
      <w:r>
        <w:rPr>
          <w:rFonts w:ascii="Theinhardt Bold" w:hAnsi="Theinhardt Bold"/>
          <w:sz w:val="14"/>
        </w:rPr>
      </w:r>
    </w:p>
    <w:p>
      <w:pPr>
        <w:numPr>
          <w:ilvl w:val="0"/>
          <w:numId w:val="1"/>
        </w:numPr>
        <w:tabs>
          <w:tab w:pos="352" w:val="left" w:leader="none"/>
        </w:tabs>
        <w:spacing w:line="160" w:lineRule="exact" w:before="99"/>
        <w:ind w:left="351" w:right="198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br w:type="column"/>
        <w:t>Die </w:t>
      </w:r>
      <w:r>
        <w:rPr>
          <w:rFonts w:ascii="Theinhardt Bold" w:hAnsi="Theinhardt Bold"/>
          <w:b/>
          <w:color w:val="231F20"/>
          <w:spacing w:val="-1"/>
          <w:sz w:val="14"/>
        </w:rPr>
        <w:t>aufgeständerte</w:t>
      </w:r>
      <w:r>
        <w:rPr>
          <w:rFonts w:ascii="Theinhardt Bold" w:hAnsi="Theinhardt Bold"/>
          <w:b/>
          <w:color w:val="231F20"/>
          <w:sz w:val="14"/>
        </w:rPr>
        <w:t> gegen Süden </w:t>
      </w:r>
      <w:r>
        <w:rPr>
          <w:rFonts w:ascii="Theinhardt Bold" w:hAnsi="Theinhardt Bold"/>
          <w:b/>
          <w:color w:val="231F20"/>
          <w:spacing w:val="-1"/>
          <w:sz w:val="14"/>
        </w:rPr>
        <w:t>ausgerichtete</w:t>
      </w:r>
      <w:r>
        <w:rPr>
          <w:rFonts w:ascii="Theinhardt Bold" w:hAnsi="Theinhardt Bold"/>
          <w:b/>
          <w:color w:val="231F20"/>
          <w:spacing w:val="58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149 kW </w:t>
      </w:r>
      <w:r>
        <w:rPr>
          <w:rFonts w:ascii="Theinhardt Bold" w:hAnsi="Theinhardt Bold"/>
          <w:b/>
          <w:color w:val="231F20"/>
          <w:spacing w:val="-1"/>
          <w:sz w:val="14"/>
        </w:rPr>
        <w:t>PV-Dachanlage.</w:t>
      </w:r>
      <w:r>
        <w:rPr>
          <w:rFonts w:ascii="Theinhardt Bold" w:hAnsi="Theinhardt Bold"/>
          <w:sz w:val="14"/>
        </w:rPr>
      </w:r>
    </w:p>
    <w:p>
      <w:pPr>
        <w:spacing w:after="0" w:line="160" w:lineRule="exact"/>
        <w:jc w:val="left"/>
        <w:rPr>
          <w:rFonts w:ascii="Theinhardt Bold" w:hAnsi="Theinhardt Bold" w:cs="Theinhardt Bold" w:eastAsia="Theinhardt Bold"/>
          <w:sz w:val="14"/>
          <w:szCs w:val="14"/>
        </w:rPr>
        <w:sectPr>
          <w:type w:val="continuous"/>
          <w:pgSz w:w="11910" w:h="16840"/>
          <w:pgMar w:top="840" w:bottom="280" w:left="740" w:right="460"/>
          <w:cols w:num="3" w:equalWidth="0">
            <w:col w:w="3362" w:space="210"/>
            <w:col w:w="3365" w:space="193"/>
            <w:col w:w="3580"/>
          </w:cols>
        </w:sect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12"/>
        <w:rPr>
          <w:rFonts w:ascii="Theinhardt Bold" w:hAnsi="Theinhardt Bold" w:cs="Theinhardt Bold" w:eastAsia="Theinhardt Bold"/>
          <w:b/>
          <w:bCs/>
          <w:sz w:val="29"/>
          <w:szCs w:val="29"/>
        </w:rPr>
      </w:pPr>
    </w:p>
    <w:p>
      <w:pPr>
        <w:spacing w:before="70"/>
        <w:ind w:left="6666" w:right="0" w:firstLine="0"/>
        <w:jc w:val="left"/>
        <w:rPr>
          <w:rFonts w:ascii="Theinhardt Heavy" w:hAnsi="Theinhardt Heavy" w:cs="Theinhardt Heavy" w:eastAsia="Theinhardt Heavy"/>
          <w:sz w:val="14"/>
          <w:szCs w:val="14"/>
        </w:rPr>
      </w:pP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2020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2020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Heavy"/>
          <w:b/>
          <w:color w:val="231F20"/>
          <w:sz w:val="14"/>
        </w:rPr>
        <w:t>75</w:t>
      </w:r>
      <w:r>
        <w:rPr>
          <w:rFonts w:ascii="Theinhardt Heavy"/>
          <w:sz w:val="14"/>
        </w:rPr>
      </w:r>
    </w:p>
    <w:sectPr>
      <w:type w:val="continuous"/>
      <w:pgSz w:w="11910" w:h="16840"/>
      <w:pgMar w:top="840" w:bottom="280" w:left="74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heinhardt Bold">
    <w:altName w:val="Theinhardt Bold"/>
    <w:charset w:val="0"/>
    <w:family w:val="swiss"/>
    <w:pitch w:val="variable"/>
  </w:font>
  <w:font w:name="Theinhardt Black">
    <w:altName w:val="Theinhardt Black"/>
    <w:charset w:val="0"/>
    <w:family w:val="swiss"/>
    <w:pitch w:val="variable"/>
  </w:font>
  <w:font w:name="Theinhardt Regular Italic">
    <w:altName w:val="Theinhardt Regular Italic"/>
    <w:charset w:val="0"/>
    <w:family w:val="swiss"/>
    <w:pitch w:val="variable"/>
  </w:font>
  <w:font w:name="Theinhardt Heavy">
    <w:altName w:val="Theinhardt Heavy"/>
    <w:charset w:val="0"/>
    <w:family w:val="swiss"/>
    <w:pitch w:val="variable"/>
  </w:font>
  <w:font w:name="Theinhardt Regular">
    <w:altName w:val="Theinhardt Regular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"/>
      <w:lvlJc w:val="left"/>
      <w:pPr>
        <w:ind w:left="351" w:hanging="227"/>
        <w:jc w:val="left"/>
      </w:pPr>
      <w:rPr>
        <w:rFonts w:hint="default" w:ascii="Theinhardt Bold" w:hAnsi="Theinhardt Bold" w:eastAsia="Theinhardt Bold"/>
        <w:b/>
        <w:bCs/>
        <w:color w:val="231F20"/>
        <w:sz w:val="14"/>
        <w:szCs w:val="14"/>
      </w:rPr>
    </w:lvl>
    <w:lvl w:ilvl="1">
      <w:start w:val="1"/>
      <w:numFmt w:val="bullet"/>
      <w:lvlText w:val="•"/>
      <w:lvlJc w:val="left"/>
      <w:pPr>
        <w:ind w:left="652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53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54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55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856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157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458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759" w:hanging="22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06" w:firstLine="226"/>
    </w:pPr>
    <w:rPr>
      <w:rFonts w:ascii="Theinhardt Regular" w:hAnsi="Theinhardt Regular" w:eastAsia="Theinhardt Regular"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2020-10-07T12:12:34Z</dcterms:created>
  <dcterms:modified xsi:type="dcterms:W3CDTF">2020-10-07T12:12:34Z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2020-10-07T00:00:00Z</vt:filetime>
  </property>
  <property fmtid="{D5CDD505-2E9C-101B-9397-08002B2CF9AE}" pid="3" name="LastSaved">
    <vt:filetime>2020-10-07T00:00:00Z</vt:filetime>
  </property>
</Properties>
</file>