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9" w:val="left" w:leader="none"/>
        </w:tabs>
        <w:spacing w:line="230" w:lineRule="exact"/>
        <w:ind w:right="0"/>
        <w:jc w:val="left"/>
        <w:rPr>
          <w:rFonts w:ascii="Theinhardt Heavy" w:hAnsi="Theinhardt Heavy" w:cs="Theinhardt Heavy" w:eastAsia="Theinhardt Heavy"/>
          <w:b w:val="0"/>
          <w:bCs w:val="0"/>
        </w:rPr>
      </w:pPr>
      <w:r>
        <w:rPr/>
        <w:pict>
          <v:group style="position:absolute;margin-left:42.7323pt;margin-top:13.647203pt;width:.1pt;height:.1pt;mso-position-horizontal-relative:page;mso-position-vertical-relative:paragraph;z-index:-4000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203pt;width:.1pt;height:.1pt;mso-position-horizontal-relative:page;mso-position-vertical-relative:paragraph;z-index:1096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</w:rPr>
      </w:r>
      <w:r>
        <w:rPr>
          <w:rFonts w:ascii="Theinhardt Heavy" w:hAnsi="Theinhardt Heavy"/>
          <w:b/>
          <w:color w:val="231F20"/>
          <w:u w:val="dotted" w:color="231F20"/>
        </w:rPr>
        <w:t>Catégorie A</w:t>
      </w:r>
      <w:r>
        <w:rPr>
          <w:rFonts w:ascii="Theinhardt Heavy" w:hAnsi="Theinhardt Heavy"/>
          <w:b/>
          <w:color w:val="231F20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</w:rPr>
      </w:r>
      <w:r>
        <w:rPr>
          <w:rFonts w:ascii="Theinhardt Heavy" w:hAnsi="Theinhardt Heavy"/>
          <w:b/>
          <w:color w:val="231F20"/>
          <w:spacing w:val="26"/>
        </w:rPr>
        <w:t> </w:t>
      </w:r>
      <w:r>
        <w:rPr>
          <w:rFonts w:ascii="Theinhardt Heavy" w:hAnsi="Theinhardt Heavy"/>
          <w:b/>
          <w:color w:val="231F20"/>
        </w:rPr>
        <w:t>Institutions</w:t>
      </w:r>
      <w:r>
        <w:rPr>
          <w:rFonts w:ascii="Theinhardt Heavy" w:hAnsi="Theinhardt Heavy"/>
          <w:b w:val="0"/>
        </w:rPr>
      </w:r>
    </w:p>
    <w:p>
      <w:pPr>
        <w:pStyle w:val="BodyText"/>
        <w:spacing w:line="230" w:lineRule="exact" w:before="0"/>
        <w:ind w:right="335"/>
        <w:jc w:val="left"/>
      </w:pPr>
      <w:r>
        <w:rPr/>
        <w:pict>
          <v:group style="position:absolute;margin-left:42.519798pt;margin-top:.530675pt;width:122.6pt;height:.45pt;mso-position-horizontal-relative:page;mso-position-vertical-relative:paragraph;z-index:-3952" coordorigin="850,11" coordsize="2452,9">
            <v:group style="position:absolute;left:872;top:15;width:2418;height:2" coordorigin="872,15" coordsize="2418,2">
              <v:shape style="position:absolute;left:872;top:15;width:2418;height:2" coordorigin="872,15" coordsize="2418,0" path="m872,15l3290,15e" filled="false" stroked="true" strokeweight=".425pt" strokecolor="#231f20">
                <v:path arrowok="t"/>
                <v:stroke dashstyle="dash"/>
              </v:shape>
            </v:group>
            <v:group style="position:absolute;left:855;top:15;width:2;height:2" coordorigin="855,15" coordsize="2,2">
              <v:shape style="position:absolute;left:855;top:15;width:2;height:2" coordorigin="855,15" coordsize="0,0" path="m855,15l855,15e" filled="false" stroked="true" strokeweight=".425pt" strokecolor="#231f20">
                <v:path arrowok="t"/>
              </v:shape>
            </v:group>
            <v:group style="position:absolute;left:3298;top:15;width:2;height:2" coordorigin="3298,15" coordsize="2,2">
              <v:shape style="position:absolute;left:3298;top:15;width:2;height:2" coordorigin="3298,15" coordsize="0,0" path="m3298,15l3298,1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spacing w:val="-1"/>
        </w:rPr>
        <w:t>Diplôme</w:t>
      </w:r>
      <w:r>
        <w:rPr/>
        <w:t> </w:t>
      </w:r>
      <w:r>
        <w:rPr>
          <w:spacing w:val="-1"/>
        </w:rPr>
        <w:t>Prix</w:t>
      </w:r>
      <w:r>
        <w:rPr/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>
          <w:spacing w:val="27"/>
        </w:rPr>
        <w:t> </w:t>
      </w:r>
      <w:r>
        <w:rPr/>
        <w:t>2020</w:t>
      </w:r>
    </w:p>
    <w:p>
      <w:pPr>
        <w:pStyle w:val="Heading1"/>
        <w:spacing w:line="230" w:lineRule="exact"/>
        <w:ind w:right="104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Comité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Olympique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(CIO)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emménagé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nouveau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siège</w:t>
      </w:r>
      <w:r>
        <w:rPr>
          <w:color w:val="231F20"/>
          <w:spacing w:val="7"/>
        </w:rPr>
        <w:t> </w:t>
      </w:r>
      <w:r>
        <w:rPr>
          <w:color w:val="231F20"/>
        </w:rPr>
        <w:t>à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Lausanne,</w:t>
      </w:r>
      <w:r>
        <w:rPr>
          <w:color w:val="231F20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rives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lac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Léman,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printemps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2019.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nouveau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bâtiment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24’000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7"/>
          <w:position w:val="6"/>
          <w:sz w:val="10"/>
          <w:szCs w:val="10"/>
        </w:rPr>
        <w:t> </w:t>
      </w:r>
      <w:r>
        <w:rPr>
          <w:color w:val="231F20"/>
          <w:spacing w:val="-1"/>
        </w:rPr>
        <w:t>abrite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500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postes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travail.</w:t>
      </w:r>
      <w:r>
        <w:rPr>
          <w:color w:val="231F20"/>
          <w:spacing w:val="10"/>
        </w:rPr>
        <w:t> </w:t>
      </w:r>
      <w:r>
        <w:rPr>
          <w:color w:val="231F20"/>
        </w:rPr>
        <w:t>Les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détails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architecturaux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Maison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Olympique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sont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conçus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refléter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éléments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clés: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mouvement,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flexibilité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l’orientation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vers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l’avenir.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esprit,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respon-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sables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donc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naturellement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misé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durabilité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l’ef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cacité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énergétique.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L’installation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PV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179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kW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génère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près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200’000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kWh/a,</w:t>
      </w:r>
      <w:r>
        <w:rPr>
          <w:color w:val="231F20"/>
          <w:spacing w:val="-1"/>
        </w:rPr>
        <w:t> soit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environ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14%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besoins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énergie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totaux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1,44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GWh/a.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3"/>
          <w:sz w:val="40"/>
        </w:rPr>
        <w:t>Comité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International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5"/>
          <w:sz w:val="40"/>
        </w:rPr>
        <w:t>Olympique,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7"/>
          <w:sz w:val="40"/>
        </w:rPr>
        <w:t>1007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Lausanne/VD</w:t>
      </w:r>
      <w:r>
        <w:rPr>
          <w:rFonts w:ascii="Theinhardt Black" w:hAnsi="Theinhardt Black"/>
          <w:sz w:val="40"/>
        </w:rPr>
      </w:r>
    </w:p>
    <w:p>
      <w:pPr>
        <w:spacing w:line="240" w:lineRule="auto" w:before="12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63"/>
        <w:ind w:right="0"/>
        <w:jc w:val="both"/>
      </w:pPr>
      <w:r>
        <w:rPr>
          <w:color w:val="231F20"/>
          <w:spacing w:val="-3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siège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6"/>
        </w:rPr>
        <w:t> </w:t>
      </w:r>
      <w:r>
        <w:rPr>
          <w:color w:val="231F20"/>
        </w:rPr>
        <w:t>Comité</w:t>
      </w:r>
      <w:r>
        <w:rPr>
          <w:color w:val="231F20"/>
          <w:spacing w:val="-6"/>
        </w:rPr>
        <w:t> </w:t>
      </w:r>
      <w:r>
        <w:rPr>
          <w:color w:val="231F20"/>
        </w:rPr>
        <w:t>International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Olympique</w:t>
      </w:r>
      <w:r>
        <w:rPr>
          <w:color w:val="231F20"/>
          <w:spacing w:val="29"/>
        </w:rPr>
        <w:t> </w:t>
      </w:r>
      <w:r>
        <w:rPr>
          <w:color w:val="231F20"/>
        </w:rPr>
        <w:t>(CIO),</w:t>
      </w:r>
      <w:r>
        <w:rPr>
          <w:color w:val="231F20"/>
          <w:spacing w:val="38"/>
        </w:rPr>
        <w:t> </w:t>
      </w:r>
      <w:r>
        <w:rPr>
          <w:color w:val="231F20"/>
        </w:rPr>
        <w:t>qui  </w:t>
      </w:r>
      <w:r>
        <w:rPr>
          <w:color w:val="231F20"/>
          <w:spacing w:val="-1"/>
        </w:rPr>
        <w:t>organise</w:t>
      </w:r>
      <w:r>
        <w:rPr>
          <w:color w:val="231F20"/>
        </w:rPr>
        <w:t> et supervise les Jeux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olympiques, 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trouve</w:t>
      </w:r>
      <w:r>
        <w:rPr>
          <w:color w:val="231F20"/>
          <w:spacing w:val="10"/>
        </w:rPr>
        <w:t> </w:t>
      </w:r>
      <w:r>
        <w:rPr>
          <w:color w:val="231F20"/>
        </w:rPr>
        <w:t>à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Lausanne</w:t>
      </w:r>
      <w:r>
        <w:rPr>
          <w:color w:val="231F20"/>
          <w:spacing w:val="10"/>
        </w:rPr>
        <w:t> </w:t>
      </w:r>
      <w:r>
        <w:rPr>
          <w:color w:val="231F20"/>
        </w:rPr>
        <w:t>(VD),</w:t>
      </w:r>
      <w:r>
        <w:rPr>
          <w:color w:val="231F20"/>
          <w:spacing w:val="-1"/>
        </w:rPr>
        <w:t> </w:t>
      </w:r>
      <w:r>
        <w:rPr>
          <w:color w:val="231F20"/>
        </w:rPr>
        <w:t>sur</w:t>
      </w:r>
      <w:r>
        <w:rPr>
          <w:color w:val="231F20"/>
          <w:spacing w:val="33"/>
        </w:rPr>
        <w:t> </w:t>
      </w:r>
      <w:r>
        <w:rPr>
          <w:color w:val="231F20"/>
        </w:rPr>
        <w:t>les rives du </w:t>
      </w:r>
      <w:r>
        <w:rPr>
          <w:color w:val="231F20"/>
          <w:spacing w:val="-1"/>
        </w:rPr>
        <w:t>lac</w:t>
      </w:r>
      <w:r>
        <w:rPr>
          <w:color w:val="231F20"/>
        </w:rPr>
        <w:t> </w:t>
      </w:r>
      <w:r>
        <w:rPr>
          <w:color w:val="231F20"/>
          <w:spacing w:val="-2"/>
        </w:rPr>
        <w:t>Léman.</w:t>
      </w:r>
      <w:r>
        <w:rPr>
          <w:color w:val="231F20"/>
          <w:spacing w:val="-10"/>
        </w:rPr>
        <w:t> </w:t>
      </w:r>
      <w:r>
        <w:rPr>
          <w:color w:val="231F20"/>
        </w:rPr>
        <w:t>Depuis le </w:t>
      </w:r>
      <w:r>
        <w:rPr>
          <w:color w:val="231F20"/>
          <w:spacing w:val="-1"/>
        </w:rPr>
        <w:t>printemps</w:t>
      </w:r>
      <w:r>
        <w:rPr/>
      </w:r>
    </w:p>
    <w:p>
      <w:pPr>
        <w:pStyle w:val="BodyText"/>
        <w:spacing w:line="230" w:lineRule="exact" w:before="64"/>
        <w:ind w:right="0"/>
        <w:jc w:val="both"/>
      </w:pPr>
      <w:r>
        <w:rPr/>
        <w:br w:type="column"/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179</w:t>
      </w:r>
      <w:r>
        <w:rPr>
          <w:color w:val="231F20"/>
          <w:spacing w:val="-11"/>
        </w:rPr>
        <w:t> </w:t>
      </w:r>
      <w:r>
        <w:rPr>
          <w:color w:val="231F20"/>
        </w:rPr>
        <w:t>kW</w:t>
      </w:r>
      <w:r>
        <w:rPr>
          <w:color w:val="231F20"/>
          <w:spacing w:val="-11"/>
        </w:rPr>
        <w:t> </w:t>
      </w:r>
      <w:r>
        <w:rPr>
          <w:color w:val="231F20"/>
        </w:rPr>
        <w:t>incarne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futur.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Avec</w:t>
      </w:r>
      <w:r>
        <w:rPr>
          <w:color w:val="231F20"/>
          <w:spacing w:val="-11"/>
        </w:rPr>
        <w:t> </w:t>
      </w:r>
      <w:r>
        <w:rPr>
          <w:color w:val="231F20"/>
        </w:rPr>
        <w:t>0,2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GWh/a,</w:t>
      </w:r>
      <w:r>
        <w:rPr>
          <w:color w:val="231F20"/>
          <w:spacing w:val="26"/>
        </w:rPr>
        <w:t> </w:t>
      </w:r>
      <w:r>
        <w:rPr>
          <w:color w:val="231F20"/>
        </w:rPr>
        <w:t>elle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couvre</w:t>
      </w:r>
      <w:r>
        <w:rPr>
          <w:color w:val="231F20"/>
          <w:spacing w:val="1"/>
        </w:rPr>
        <w:t> </w:t>
      </w:r>
      <w:r>
        <w:rPr>
          <w:color w:val="231F20"/>
        </w:rPr>
        <w:t>14%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besoins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énergie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1,44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GWh/a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1"/>
        </w:rPr>
        <w:t> </w:t>
      </w:r>
      <w:r>
        <w:rPr>
          <w:color w:val="231F20"/>
        </w:rPr>
        <w:t>siège, </w:t>
      </w:r>
      <w:r>
        <w:rPr>
          <w:color w:val="231F20"/>
          <w:spacing w:val="-1"/>
        </w:rPr>
        <w:t>personnel</w:t>
      </w:r>
      <w:r>
        <w:rPr>
          <w:color w:val="231F20"/>
          <w:spacing w:val="11"/>
        </w:rPr>
        <w:t> </w:t>
      </w:r>
      <w:r>
        <w:rPr>
          <w:color w:val="231F20"/>
        </w:rPr>
        <w:t>inclus. </w:t>
      </w:r>
      <w:r>
        <w:rPr>
          <w:color w:val="231F20"/>
          <w:spacing w:val="-3"/>
        </w:rPr>
        <w:t>Le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rayonnement</w:t>
      </w:r>
      <w:r>
        <w:rPr>
          <w:color w:val="231F20"/>
          <w:spacing w:val="39"/>
        </w:rPr>
        <w:t> </w:t>
      </w:r>
      <w:r>
        <w:rPr>
          <w:color w:val="231F20"/>
        </w:rPr>
        <w:t>international</w:t>
      </w:r>
      <w:r>
        <w:rPr>
          <w:color w:val="231F20"/>
          <w:spacing w:val="40"/>
        </w:rPr>
        <w:t> </w:t>
      </w:r>
      <w:r>
        <w:rPr>
          <w:color w:val="231F20"/>
        </w:rPr>
        <w:t>des</w:t>
      </w:r>
      <w:r>
        <w:rPr>
          <w:color w:val="231F20"/>
          <w:spacing w:val="39"/>
        </w:rPr>
        <w:t> </w:t>
      </w:r>
      <w:r>
        <w:rPr>
          <w:color w:val="231F20"/>
        </w:rPr>
        <w:t>Jeux</w:t>
      </w:r>
      <w:r>
        <w:rPr>
          <w:color w:val="231F20"/>
          <w:spacing w:val="40"/>
        </w:rPr>
        <w:t> </w:t>
      </w:r>
      <w:r>
        <w:rPr>
          <w:color w:val="231F20"/>
        </w:rPr>
        <w:t>olym-</w:t>
      </w:r>
      <w:r>
        <w:rPr/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2533" w:val="left" w:leader="none"/>
          <w:tab w:pos="2995" w:val="left" w:leader="none"/>
        </w:tabs>
        <w:spacing w:line="172" w:lineRule="exact" w:before="6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Besoin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énergie</w:t>
        <w:tab/>
      </w:r>
      <w:r>
        <w:rPr>
          <w:rFonts w:ascii="Theinhardt Regular" w:hAnsi="Theinhardt Regular"/>
          <w:color w:val="231F20"/>
          <w:sz w:val="14"/>
        </w:rPr>
        <w:t>%</w:t>
        <w:tab/>
      </w:r>
      <w:r>
        <w:rPr>
          <w:rFonts w:ascii="Theinhardt Regular" w:hAnsi="Theinhardt Regular"/>
          <w:color w:val="231F20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414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énerg.: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1’440’000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Alimentation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énergétique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67" w:space="104"/>
            <w:col w:w="3567"/>
          </w:cols>
        </w:sectPr>
      </w:pPr>
    </w:p>
    <w:p>
      <w:pPr>
        <w:pStyle w:val="BodyText"/>
        <w:spacing w:line="121" w:lineRule="exact" w:before="8"/>
        <w:ind w:right="0"/>
        <w:jc w:val="left"/>
      </w:pPr>
      <w:r>
        <w:rPr>
          <w:color w:val="231F20"/>
        </w:rPr>
        <w:t>2019,</w:t>
      </w:r>
      <w:r>
        <w:rPr>
          <w:color w:val="231F20"/>
          <w:spacing w:val="20"/>
        </w:rPr>
        <w:t> </w:t>
      </w:r>
      <w:r>
        <w:rPr>
          <w:color w:val="231F20"/>
        </w:rPr>
        <w:t>le</w:t>
      </w:r>
      <w:r>
        <w:rPr>
          <w:color w:val="231F20"/>
          <w:spacing w:val="30"/>
        </w:rPr>
        <w:t> </w:t>
      </w:r>
      <w:r>
        <w:rPr>
          <w:color w:val="231F20"/>
        </w:rPr>
        <w:t>nouveau</w:t>
      </w:r>
      <w:r>
        <w:rPr>
          <w:color w:val="231F20"/>
          <w:spacing w:val="31"/>
        </w:rPr>
        <w:t> </w:t>
      </w:r>
      <w:r>
        <w:rPr>
          <w:color w:val="231F20"/>
        </w:rPr>
        <w:t>bâtiment</w:t>
      </w:r>
      <w:r>
        <w:rPr>
          <w:color w:val="231F20"/>
          <w:spacing w:val="30"/>
        </w:rPr>
        <w:t> </w:t>
      </w:r>
      <w:r>
        <w:rPr>
          <w:color w:val="231F20"/>
        </w:rPr>
        <w:t>qui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l’abrite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se</w:t>
      </w:r>
      <w:r>
        <w:rPr/>
      </w:r>
    </w:p>
    <w:p>
      <w:pPr>
        <w:pStyle w:val="BodyText"/>
        <w:spacing w:line="120" w:lineRule="exact" w:before="9"/>
        <w:ind w:right="0"/>
        <w:jc w:val="left"/>
      </w:pPr>
      <w:r>
        <w:rPr/>
        <w:br w:type="column"/>
      </w:r>
      <w:r>
        <w:rPr>
          <w:color w:val="231F20"/>
        </w:rPr>
        <w:t>piques</w:t>
      </w:r>
      <w:r>
        <w:rPr>
          <w:color w:val="231F20"/>
          <w:spacing w:val="14"/>
        </w:rPr>
        <w:t> </w:t>
      </w:r>
      <w:r>
        <w:rPr>
          <w:color w:val="231F20"/>
        </w:rPr>
        <w:t>est</w:t>
      </w:r>
      <w:r>
        <w:rPr>
          <w:color w:val="231F20"/>
          <w:spacing w:val="14"/>
        </w:rPr>
        <w:t> </w:t>
      </w:r>
      <w:r>
        <w:rPr>
          <w:color w:val="231F20"/>
        </w:rPr>
        <w:t>important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l’installation</w:t>
      </w:r>
      <w:r>
        <w:rPr>
          <w:color w:val="231F20"/>
          <w:spacing w:val="14"/>
        </w:rPr>
        <w:t> </w:t>
      </w:r>
      <w:r>
        <w:rPr>
          <w:color w:val="231F20"/>
        </w:rPr>
        <w:t>PV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/>
      </w:r>
    </w:p>
    <w:p>
      <w:pPr>
        <w:tabs>
          <w:tab w:pos="969" w:val="left" w:leader="none"/>
        </w:tabs>
        <w:spacing w:line="12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w w:val="95"/>
        </w:rPr>
        <w:br w:type="column"/>
      </w:r>
      <w:r>
        <w:rPr>
          <w:rFonts w:ascii="Theinhardt Regular"/>
          <w:color w:val="231F20"/>
          <w:w w:val="95"/>
          <w:sz w:val="14"/>
        </w:rPr>
        <w:t>Autoprod.:</w:t>
        <w:tab/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28" w:val="left" w:leader="none"/>
          <w:tab w:pos="1791" w:val="left" w:leader="none"/>
        </w:tabs>
        <w:spacing w:line="12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kWp </w:t>
      </w:r>
      <w:r>
        <w:rPr>
          <w:rFonts w:ascii="Theinhardt Regular"/>
          <w:color w:val="231F20"/>
          <w:spacing w:val="37"/>
          <w:sz w:val="14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2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4" w:equalWidth="0">
            <w:col w:w="3456" w:space="116"/>
            <w:col w:w="3456" w:space="116"/>
            <w:col w:w="1131" w:space="73"/>
            <w:col w:w="2362"/>
          </w:cols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distingue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7"/>
        </w:rPr>
        <w:t> </w:t>
      </w:r>
      <w:r>
        <w:rPr>
          <w:color w:val="231F20"/>
        </w:rPr>
        <w:t>une</w:t>
      </w:r>
      <w:r>
        <w:rPr>
          <w:color w:val="231F20"/>
          <w:spacing w:val="-7"/>
        </w:rPr>
        <w:t> </w:t>
      </w:r>
      <w:r>
        <w:rPr>
          <w:color w:val="231F20"/>
        </w:rPr>
        <w:t>installation</w:t>
      </w:r>
      <w:r>
        <w:rPr>
          <w:color w:val="231F20"/>
          <w:spacing w:val="-7"/>
        </w:rPr>
        <w:t> </w:t>
      </w:r>
      <w:r>
        <w:rPr>
          <w:color w:val="231F20"/>
        </w:rPr>
        <w:t>PV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179</w:t>
      </w:r>
      <w:r>
        <w:rPr>
          <w:color w:val="231F20"/>
          <w:spacing w:val="-7"/>
        </w:rPr>
        <w:t> </w:t>
      </w:r>
      <w:r>
        <w:rPr>
          <w:color w:val="231F20"/>
        </w:rPr>
        <w:t>kW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forme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d'une</w:t>
      </w:r>
      <w:r>
        <w:rPr>
          <w:color w:val="231F20"/>
          <w:spacing w:val="-11"/>
        </w:rPr>
        <w:t> </w:t>
      </w:r>
      <w:r>
        <w:rPr>
          <w:color w:val="231F20"/>
        </w:rPr>
        <w:t>colombe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très</w:t>
      </w:r>
      <w:r>
        <w:rPr>
          <w:color w:val="231F20"/>
          <w:spacing w:val="-11"/>
        </w:rPr>
        <w:t> </w:t>
      </w:r>
      <w:r>
        <w:rPr>
          <w:color w:val="231F20"/>
        </w:rPr>
        <w:t>bien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intégrée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toiture.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Disséminés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jusque-là</w:t>
      </w:r>
      <w:r>
        <w:rPr>
          <w:color w:val="231F20"/>
          <w:spacing w:val="-17"/>
        </w:rPr>
        <w:t> </w:t>
      </w:r>
      <w:r>
        <w:rPr>
          <w:color w:val="231F20"/>
        </w:rPr>
        <w:t>sur</w:t>
      </w:r>
      <w:r>
        <w:rPr>
          <w:color w:val="231F20"/>
          <w:spacing w:val="-17"/>
        </w:rPr>
        <w:t> </w:t>
      </w:r>
      <w:r>
        <w:rPr>
          <w:color w:val="231F20"/>
        </w:rPr>
        <w:t>plusieurs</w:t>
      </w:r>
      <w:r>
        <w:rPr>
          <w:color w:val="231F20"/>
          <w:spacing w:val="33"/>
        </w:rPr>
        <w:t> </w:t>
      </w:r>
      <w:r>
        <w:rPr>
          <w:color w:val="231F20"/>
        </w:rPr>
        <w:t>sites,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color w:val="231F20"/>
          <w:spacing w:val="9"/>
        </w:rPr>
        <w:t> </w:t>
      </w:r>
      <w:r>
        <w:rPr>
          <w:color w:val="231F20"/>
        </w:rPr>
        <w:t>500</w:t>
      </w:r>
      <w:r>
        <w:rPr>
          <w:color w:val="231F20"/>
          <w:spacing w:val="9"/>
        </w:rPr>
        <w:t> </w:t>
      </w:r>
      <w:r>
        <w:rPr>
          <w:color w:val="231F20"/>
        </w:rPr>
        <w:t>postes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travail</w:t>
      </w:r>
      <w:r>
        <w:rPr>
          <w:color w:val="231F20"/>
          <w:spacing w:val="9"/>
        </w:rPr>
        <w:t> </w:t>
      </w:r>
      <w:r>
        <w:rPr>
          <w:color w:val="231F20"/>
        </w:rPr>
        <w:t>ont</w:t>
      </w:r>
      <w:r>
        <w:rPr>
          <w:color w:val="231F20"/>
          <w:spacing w:val="9"/>
        </w:rPr>
        <w:t> </w:t>
      </w:r>
      <w:r>
        <w:rPr>
          <w:color w:val="231F20"/>
        </w:rPr>
        <w:t>été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réu-</w:t>
      </w:r>
      <w:r>
        <w:rPr>
          <w:color w:val="231F20"/>
          <w:spacing w:val="23"/>
        </w:rPr>
        <w:t> </w:t>
      </w:r>
      <w:r>
        <w:rPr>
          <w:color w:val="231F20"/>
        </w:rPr>
        <w:t>nis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un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seul</w:t>
      </w:r>
      <w:r>
        <w:rPr>
          <w:color w:val="231F20"/>
          <w:spacing w:val="15"/>
        </w:rPr>
        <w:t> </w:t>
      </w:r>
      <w:r>
        <w:rPr>
          <w:color w:val="231F20"/>
        </w:rPr>
        <w:t>et</w:t>
      </w:r>
      <w:r>
        <w:rPr>
          <w:color w:val="231F20"/>
          <w:spacing w:val="15"/>
        </w:rPr>
        <w:t> </w:t>
      </w:r>
      <w:r>
        <w:rPr>
          <w:color w:val="231F20"/>
        </w:rPr>
        <w:t>même</w:t>
      </w:r>
      <w:r>
        <w:rPr>
          <w:color w:val="231F20"/>
          <w:spacing w:val="15"/>
        </w:rPr>
        <w:t> </w:t>
      </w:r>
      <w:r>
        <w:rPr>
          <w:color w:val="231F20"/>
        </w:rPr>
        <w:t>lieu.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L’architecture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Maison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Olympique</w:t>
      </w:r>
      <w:r>
        <w:rPr>
          <w:color w:val="231F20"/>
          <w:spacing w:val="-6"/>
        </w:rPr>
        <w:t> </w:t>
      </w:r>
      <w:r>
        <w:rPr>
          <w:color w:val="231F20"/>
        </w:rPr>
        <w:t>est</w:t>
      </w:r>
      <w:r>
        <w:rPr>
          <w:color w:val="231F20"/>
          <w:spacing w:val="-6"/>
        </w:rPr>
        <w:t> </w:t>
      </w:r>
      <w:r>
        <w:rPr>
          <w:color w:val="231F20"/>
        </w:rPr>
        <w:t>conçue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refléter</w:t>
      </w:r>
      <w:r>
        <w:rPr>
          <w:color w:val="231F20"/>
          <w:spacing w:val="38"/>
        </w:rPr>
        <w:t> </w:t>
      </w:r>
      <w:r>
        <w:rPr>
          <w:color w:val="231F20"/>
        </w:rPr>
        <w:t>les</w:t>
      </w:r>
      <w:r>
        <w:rPr>
          <w:color w:val="231F20"/>
          <w:spacing w:val="39"/>
        </w:rPr>
        <w:t> </w:t>
      </w:r>
      <w:r>
        <w:rPr>
          <w:color w:val="231F20"/>
        </w:rPr>
        <w:t>éléments</w:t>
      </w:r>
      <w:r>
        <w:rPr>
          <w:color w:val="231F20"/>
          <w:spacing w:val="38"/>
        </w:rPr>
        <w:t> </w:t>
      </w:r>
      <w:r>
        <w:rPr>
          <w:color w:val="231F20"/>
        </w:rPr>
        <w:t>clés:</w:t>
      </w:r>
      <w:r>
        <w:rPr>
          <w:color w:val="231F20"/>
          <w:spacing w:val="39"/>
        </w:rPr>
        <w:t> </w:t>
      </w:r>
      <w:r>
        <w:rPr>
          <w:color w:val="231F20"/>
        </w:rPr>
        <w:t>le</w:t>
      </w:r>
      <w:r>
        <w:rPr>
          <w:color w:val="231F20"/>
          <w:spacing w:val="39"/>
        </w:rPr>
        <w:t> </w:t>
      </w:r>
      <w:r>
        <w:rPr>
          <w:color w:val="231F20"/>
        </w:rPr>
        <w:t>mouvement,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flexibilité</w:t>
      </w:r>
      <w:r>
        <w:rPr>
          <w:color w:val="231F20"/>
          <w:spacing w:val="16"/>
        </w:rPr>
        <w:t> </w:t>
      </w:r>
      <w:r>
        <w:rPr>
          <w:color w:val="231F20"/>
        </w:rPr>
        <w:t>et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l’orientation</w:t>
      </w:r>
      <w:r>
        <w:rPr>
          <w:color w:val="231F20"/>
          <w:spacing w:val="16"/>
        </w:rPr>
        <w:t> </w:t>
      </w:r>
      <w:r>
        <w:rPr>
          <w:color w:val="231F20"/>
        </w:rPr>
        <w:t>vers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l’avenir.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déployant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comme</w:t>
      </w:r>
      <w:r>
        <w:rPr>
          <w:color w:val="231F20"/>
          <w:spacing w:val="22"/>
        </w:rPr>
        <w:t> </w:t>
      </w:r>
      <w:r>
        <w:rPr>
          <w:color w:val="231F20"/>
        </w:rPr>
        <w:t>une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gigantesque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vague,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façade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symbolise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dynamique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1"/>
        </w:rPr>
        <w:t> </w:t>
      </w:r>
      <w:r>
        <w:rPr>
          <w:color w:val="231F20"/>
        </w:rPr>
        <w:t>sport</w:t>
      </w:r>
      <w:r>
        <w:rPr>
          <w:color w:val="231F20"/>
          <w:spacing w:val="47"/>
        </w:rPr>
        <w:t> </w:t>
      </w:r>
      <w:r>
        <w:rPr>
          <w:color w:val="231F20"/>
        </w:rPr>
        <w:t>et</w:t>
      </w:r>
      <w:r>
        <w:rPr>
          <w:color w:val="231F20"/>
          <w:spacing w:val="15"/>
        </w:rPr>
        <w:t> </w:t>
      </w:r>
      <w:r>
        <w:rPr>
          <w:color w:val="231F20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mouvement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olympique.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logo</w:t>
      </w:r>
      <w:r>
        <w:rPr>
          <w:color w:val="231F20"/>
          <w:spacing w:val="15"/>
        </w:rPr>
        <w:t> </w:t>
      </w:r>
      <w:r>
        <w:rPr>
          <w:color w:val="231F20"/>
        </w:rPr>
        <w:t>olym-</w:t>
      </w:r>
      <w:r>
        <w:rPr>
          <w:color w:val="231F20"/>
          <w:spacing w:val="29"/>
        </w:rPr>
        <w:t> </w:t>
      </w:r>
      <w:r>
        <w:rPr>
          <w:color w:val="231F20"/>
        </w:rPr>
        <w:t>pique</w:t>
      </w:r>
      <w:r>
        <w:rPr>
          <w:color w:val="231F20"/>
          <w:spacing w:val="6"/>
        </w:rPr>
        <w:t> </w:t>
      </w:r>
      <w:r>
        <w:rPr>
          <w:color w:val="231F20"/>
        </w:rPr>
        <w:t>est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panneaux</w:t>
      </w:r>
      <w:r>
        <w:rPr>
          <w:color w:val="231F20"/>
          <w:spacing w:val="6"/>
        </w:rPr>
        <w:t> </w:t>
      </w:r>
      <w:r>
        <w:rPr>
          <w:color w:val="231F20"/>
        </w:rPr>
        <w:t>photovoltaïques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ac-</w:t>
      </w:r>
      <w:r>
        <w:rPr>
          <w:color w:val="231F20"/>
          <w:spacing w:val="22"/>
        </w:rPr>
        <w:t> </w:t>
      </w:r>
      <w:r>
        <w:rPr>
          <w:color w:val="231F20"/>
        </w:rPr>
        <w:t>tifs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impression</w:t>
      </w:r>
      <w:r>
        <w:rPr>
          <w:color w:val="231F20"/>
          <w:spacing w:val="-19"/>
        </w:rPr>
        <w:t> </w:t>
      </w:r>
      <w:r>
        <w:rPr>
          <w:color w:val="231F20"/>
        </w:rPr>
        <w:t>digitale.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L’installation</w:t>
      </w:r>
      <w:r>
        <w:rPr>
          <w:color w:val="231F20"/>
          <w:spacing w:val="-19"/>
        </w:rPr>
        <w:t> </w:t>
      </w:r>
      <w:r>
        <w:rPr>
          <w:color w:val="231F20"/>
        </w:rPr>
        <w:t>PV</w:t>
      </w:r>
      <w:r>
        <w:rPr/>
      </w:r>
    </w:p>
    <w:p>
      <w:pPr>
        <w:pStyle w:val="BodyText"/>
        <w:spacing w:line="230" w:lineRule="exact"/>
        <w:ind w:right="4"/>
        <w:jc w:val="both"/>
      </w:pPr>
      <w:r>
        <w:rPr/>
        <w:br w:type="column"/>
      </w:r>
      <w:r>
        <w:rPr>
          <w:color w:val="231F20"/>
          <w:spacing w:val="-1"/>
        </w:rPr>
        <w:t>toiture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confère</w:t>
      </w:r>
      <w:r>
        <w:rPr>
          <w:color w:val="231F20"/>
          <w:spacing w:val="28"/>
        </w:rPr>
        <w:t> </w:t>
      </w:r>
      <w:r>
        <w:rPr>
          <w:color w:val="231F20"/>
        </w:rPr>
        <w:t>au</w:t>
      </w:r>
      <w:r>
        <w:rPr>
          <w:color w:val="231F20"/>
          <w:spacing w:val="27"/>
        </w:rPr>
        <w:t> </w:t>
      </w:r>
      <w:r>
        <w:rPr>
          <w:color w:val="231F20"/>
        </w:rPr>
        <w:t>sport</w:t>
      </w:r>
      <w:r>
        <w:rPr>
          <w:color w:val="231F20"/>
          <w:spacing w:val="28"/>
        </w:rPr>
        <w:t> </w:t>
      </w:r>
      <w:r>
        <w:rPr>
          <w:color w:val="231F20"/>
        </w:rPr>
        <w:t>un</w:t>
      </w:r>
      <w:r>
        <w:rPr>
          <w:color w:val="231F20"/>
          <w:spacing w:val="28"/>
        </w:rPr>
        <w:t> </w:t>
      </w:r>
      <w:r>
        <w:rPr>
          <w:color w:val="231F20"/>
        </w:rPr>
        <w:t>signal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durable</w:t>
      </w:r>
      <w:r>
        <w:rPr>
          <w:color w:val="231F20"/>
          <w:spacing w:val="31"/>
        </w:rPr>
        <w:t> </w:t>
      </w:r>
      <w:r>
        <w:rPr>
          <w:color w:val="231F20"/>
        </w:rPr>
        <w:t>vers un </w:t>
      </w:r>
      <w:r>
        <w:rPr>
          <w:color w:val="231F20"/>
          <w:spacing w:val="-1"/>
        </w:rPr>
        <w:t>avenir</w:t>
      </w:r>
      <w:r>
        <w:rPr>
          <w:color w:val="231F20"/>
        </w:rPr>
        <w:t> </w:t>
      </w:r>
      <w:r>
        <w:rPr>
          <w:color w:val="231F20"/>
          <w:spacing w:val="-1"/>
        </w:rPr>
        <w:t>respectueux</w:t>
      </w:r>
      <w:r>
        <w:rPr>
          <w:color w:val="231F20"/>
        </w:rPr>
        <w:t> du climat.</w:t>
      </w:r>
      <w:r>
        <w:rPr/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line="230" w:lineRule="exact" w:before="0"/>
        <w:ind w:left="110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Das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Internationale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Olympische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Komitee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(IOC)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bezog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Frühling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2019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Seeufer des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Lac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Lemans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seinen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neuen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Hauptsitz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Lausanne.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Architektonische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Details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Hauptgebäude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sollen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Schlüsselelemente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Bewegung,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Fle-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xibilität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Ausrichtung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auf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Zukunft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wi-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derspiegeln.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Eine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179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kW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starke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PV-Anlage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erzeugt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rund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200’000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Damit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werden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ca.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14%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Gesamtenergiebedarfs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9"/>
        <w:ind w:left="110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/>
          <w:i/>
          <w:color w:val="231F20"/>
          <w:spacing w:val="-1"/>
          <w:sz w:val="18"/>
        </w:rPr>
        <w:t>1.44</w:t>
      </w:r>
      <w:r>
        <w:rPr>
          <w:rFonts w:ascii="Theinhardt Regular Italic"/>
          <w:i/>
          <w:color w:val="231F20"/>
          <w:spacing w:val="-2"/>
          <w:sz w:val="18"/>
        </w:rPr>
        <w:t> </w:t>
      </w:r>
      <w:r>
        <w:rPr>
          <w:rFonts w:ascii="Theinhardt Regular Italic"/>
          <w:i/>
          <w:color w:val="231F20"/>
          <w:spacing w:val="-5"/>
          <w:sz w:val="18"/>
        </w:rPr>
        <w:t>GWh/a</w:t>
      </w:r>
      <w:r>
        <w:rPr>
          <w:rFonts w:ascii="Theinhardt Regular Italic"/>
          <w:i/>
          <w:color w:val="231F20"/>
          <w:spacing w:val="-2"/>
          <w:sz w:val="18"/>
        </w:rPr>
        <w:t> gedeckt.</w:t>
      </w:r>
      <w:r>
        <w:rPr>
          <w:rFonts w:ascii="Theinhardt Regular Italic"/>
          <w:sz w:val="18"/>
        </w:rPr>
      </w:r>
    </w:p>
    <w:p>
      <w:pPr>
        <w:tabs>
          <w:tab w:pos="879" w:val="left" w:leader="none"/>
          <w:tab w:pos="1346" w:val="left" w:leader="none"/>
          <w:tab w:pos="2010" w:val="left" w:leader="none"/>
          <w:tab w:pos="2504" w:val="left" w:leader="none"/>
        </w:tabs>
        <w:spacing w:line="155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toit: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999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179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200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200’000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33" w:val="left" w:leader="none"/>
          <w:tab w:pos="2996" w:val="left" w:leader="none"/>
        </w:tabs>
        <w:spacing w:line="172" w:lineRule="exact"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Bilan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énergétique</w:t>
      </w:r>
      <w:r>
        <w:rPr>
          <w:rFonts w:ascii="Theinhardt Regular" w:hAnsi="Theinhardt Regular"/>
          <w:color w:val="231F20"/>
          <w:spacing w:val="-4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(énergie</w:t>
      </w:r>
      <w:r>
        <w:rPr>
          <w:rFonts w:ascii="Theinhardt Bold" w:hAnsi="Theinhardt Bold"/>
          <w:b/>
          <w:color w:val="231F20"/>
          <w:sz w:val="14"/>
        </w:rPr>
        <w:t> fi </w:t>
      </w:r>
      <w:r>
        <w:rPr>
          <w:rFonts w:ascii="Theinhardt Bold" w:hAnsi="Theinhardt Bold"/>
          <w:b/>
          <w:color w:val="231F20"/>
          <w:spacing w:val="1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ale)</w:t>
        <w:tab/>
      </w:r>
      <w:r>
        <w:rPr>
          <w:rFonts w:ascii="Theinhardt Regular" w:hAnsi="Theinhardt Regular"/>
          <w:color w:val="231F20"/>
          <w:sz w:val="14"/>
        </w:rPr>
        <w:t>%</w:t>
        <w:tab/>
      </w:r>
      <w:r>
        <w:rPr>
          <w:rFonts w:ascii="Theinhardt Regular" w:hAnsi="Theinhardt Regular"/>
          <w:color w:val="231F20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501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14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200’000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4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énergétique: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1’440’000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93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Apport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d'énergie: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86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1’240’000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color w:val="231F20"/>
          <w:spacing w:val="1"/>
          <w:sz w:val="14"/>
        </w:rPr>
        <w:t>Personnes</w:t>
      </w:r>
      <w:r>
        <w:rPr>
          <w:rFonts w:ascii="Theinhardt Black" w:hAnsi="Theinhardt Black"/>
          <w:b/>
          <w:color w:val="231F20"/>
          <w:sz w:val="14"/>
        </w:rPr>
        <w:t> impliquées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10" w:right="80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Maître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d'ouvrage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adresse</w:t>
      </w:r>
      <w:r>
        <w:rPr>
          <w:rFonts w:ascii="Theinhardt Bold" w:hAnsi="Theinhardt Bold"/>
          <w:b/>
          <w:color w:val="231F20"/>
          <w:sz w:val="14"/>
        </w:rPr>
        <w:t> du </w:t>
      </w:r>
      <w:r>
        <w:rPr>
          <w:rFonts w:ascii="Theinhardt Bold" w:hAnsi="Theinhardt Bold"/>
          <w:b/>
          <w:color w:val="231F20"/>
          <w:spacing w:val="1"/>
          <w:sz w:val="14"/>
        </w:rPr>
        <w:t>bâtiment</w:t>
      </w:r>
      <w:r>
        <w:rPr>
          <w:rFonts w:ascii="Theinhardt Bold" w:hAnsi="Theinhardt Bold"/>
          <w:b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Comité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International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Olympique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(CIO)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Route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Vidy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1007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Lausanne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0"/>
        <w:ind w:left="110" w:right="10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Thierry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Tribolet,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6"/>
          <w:sz w:val="14"/>
        </w:rPr>
        <w:t>416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19</w:t>
      </w:r>
      <w:hyperlink r:id="rId5">
        <w:r>
          <w:rPr>
            <w:rFonts w:ascii="Theinhardt Regular" w:hAnsi="Theinhardt Regular"/>
            <w:color w:val="231F20"/>
            <w:spacing w:val="28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thierry.tribolet@olympic.org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Installateur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Solstis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sz w:val="14"/>
        </w:rPr>
      </w:r>
    </w:p>
    <w:p>
      <w:pPr>
        <w:spacing w:line="207" w:lineRule="auto" w:before="6"/>
        <w:ind w:left="110" w:right="7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99.685089pt;margin-top:26.423025pt;width:167.25pt;height:.45pt;mso-position-horizontal-relative:page;mso-position-vertical-relative:paragraph;z-index:1144" coordorigin="7994,528" coordsize="3345,9">
            <v:group style="position:absolute;left:8015;top:533;width:3311;height:2" coordorigin="8015,533" coordsize="3311,2">
              <v:shape style="position:absolute;left:8015;top:533;width:3311;height:2" coordorigin="8015,533" coordsize="3311,0" path="m8015,533l11326,533e" filled="false" stroked="true" strokeweight=".425pt" strokecolor="#231f20">
                <v:path arrowok="t"/>
                <v:stroke dashstyle="dash"/>
              </v:shape>
            </v:group>
            <v:group style="position:absolute;left:7998;top:533;width:2;height:2" coordorigin="7998,533" coordsize="2,2">
              <v:shape style="position:absolute;left:7998;top:533;width:2;height:2" coordorigin="7998,533" coordsize="0,0" path="m7998,533l7998,533e" filled="false" stroked="true" strokeweight=".425pt" strokecolor="#231f20">
                <v:path arrowok="t"/>
              </v:shape>
            </v:group>
            <v:group style="position:absolute;left:11334;top:533;width:2;height:2" coordorigin="11334,533" coordsize="2,2">
              <v:shape style="position:absolute;left:11334;top:533;width:2;height:2" coordorigin="11334,533" coordsize="0,0" path="m11334,533l11334,533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color w:val="231F20"/>
          <w:spacing w:val="1"/>
          <w:sz w:val="14"/>
        </w:rPr>
        <w:t>Rue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Sébeillon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9B,</w:t>
      </w:r>
      <w:r>
        <w:rPr>
          <w:rFonts w:ascii="Theinhardt Regular" w:hAnsi="Theinhardt Regular"/>
          <w:color w:val="231F20"/>
          <w:sz w:val="14"/>
        </w:rPr>
        <w:t> 1004 </w:t>
      </w:r>
      <w:r>
        <w:rPr>
          <w:rFonts w:ascii="Theinhardt Regular" w:hAnsi="Theinhardt Regular"/>
          <w:color w:val="231F20"/>
          <w:spacing w:val="1"/>
          <w:sz w:val="14"/>
        </w:rPr>
        <w:t>Lausanne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Valentin</w:t>
      </w:r>
      <w:r>
        <w:rPr>
          <w:rFonts w:ascii="Theinhardt Regular" w:hAnsi="Theinhardt Regular"/>
          <w:color w:val="231F20"/>
          <w:sz w:val="14"/>
        </w:rPr>
        <w:t> Bieber,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620 </w:t>
      </w:r>
      <w:r>
        <w:rPr>
          <w:rFonts w:ascii="Theinhardt Regular" w:hAnsi="Theinhardt Regular"/>
          <w:color w:val="231F20"/>
          <w:spacing w:val="1"/>
          <w:sz w:val="14"/>
        </w:rPr>
        <w:t>03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92</w:t>
      </w:r>
      <w:hyperlink r:id="rId6">
        <w:r>
          <w:rPr>
            <w:rFonts w:ascii="Theinhardt Regular" w:hAnsi="Theinhardt Regular"/>
            <w:color w:val="231F20"/>
            <w:spacing w:val="24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Valentin.Bieber@solstis.ch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7" w:space="105"/>
            <w:col w:w="3462" w:space="109"/>
            <w:col w:w="3567"/>
          </w:cols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tabs>
          <w:tab w:pos="7253" w:val="left" w:leader="none"/>
        </w:tabs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sz w:val="20"/>
        </w:rPr>
        <w:drawing>
          <wp:inline distT="0" distB="0" distL="0" distR="0">
            <wp:extent cx="4395990" cy="32339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990" cy="323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  <w:r>
        <w:rPr>
          <w:rFonts w:ascii="Theinhardt Regular"/>
          <w:sz w:val="20"/>
        </w:rPr>
        <w:tab/>
      </w:r>
      <w:r>
        <w:rPr>
          <w:rFonts w:ascii="Theinhardt Regular"/>
          <w:position w:val="1"/>
          <w:sz w:val="20"/>
        </w:rPr>
        <w:drawing>
          <wp:inline distT="0" distB="0" distL="0" distR="0">
            <wp:extent cx="2128612" cy="151180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61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position w:val="1"/>
          <w:sz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40" w:bottom="280" w:left="740" w:right="460"/>
        </w:sectPr>
      </w:pPr>
    </w:p>
    <w:p>
      <w:pPr>
        <w:spacing w:before="29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52" w:val="left" w:leader="none"/>
        </w:tabs>
        <w:spacing w:line="160" w:lineRule="exact" w:before="0"/>
        <w:ind w:left="351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179 kW a été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habilement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intégrée aux 999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la surface du toit.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29"/>
        <w:ind w:left="318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43" w:val="left" w:leader="none"/>
        </w:tabs>
        <w:spacing w:line="160" w:lineRule="exact" w:before="0"/>
        <w:ind w:left="342" w:right="380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Avec </w:t>
      </w:r>
      <w:r>
        <w:rPr>
          <w:rFonts w:ascii="Theinhardt Bold"/>
          <w:b/>
          <w:color w:val="231F20"/>
          <w:spacing w:val="1"/>
          <w:sz w:val="14"/>
        </w:rPr>
        <w:t>cette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</w:t>
      </w:r>
      <w:r>
        <w:rPr>
          <w:rFonts w:ascii="Theinhardt Bold"/>
          <w:b/>
          <w:color w:val="231F20"/>
          <w:sz w:val="14"/>
        </w:rPr>
        <w:t> en toiture,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le</w:t>
      </w:r>
      <w:r>
        <w:rPr>
          <w:rFonts w:ascii="Theinhardt Bold"/>
          <w:b/>
          <w:color w:val="231F20"/>
          <w:sz w:val="14"/>
        </w:rPr>
        <w:t> sport</w:t>
      </w:r>
      <w:r>
        <w:rPr>
          <w:rFonts w:ascii="Theinhardt Bold"/>
          <w:b/>
          <w:color w:val="231F20"/>
          <w:spacing w:val="34"/>
          <w:sz w:val="14"/>
        </w:rPr>
        <w:t> </w:t>
      </w:r>
      <w:r>
        <w:rPr>
          <w:rFonts w:ascii="Theinhardt Bold"/>
          <w:b/>
          <w:color w:val="231F20"/>
          <w:sz w:val="14"/>
        </w:rPr>
        <w:t>acquiert une </w:t>
      </w:r>
      <w:r>
        <w:rPr>
          <w:rFonts w:ascii="Theinhardt Bold"/>
          <w:b/>
          <w:color w:val="231F20"/>
          <w:spacing w:val="-1"/>
          <w:sz w:val="14"/>
        </w:rPr>
        <w:t>dimension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durable</w:t>
      </w:r>
      <w:r>
        <w:rPr>
          <w:rFonts w:ascii="Theinhardt Bold"/>
          <w:b/>
          <w:color w:val="231F20"/>
          <w:sz w:val="14"/>
        </w:rPr>
        <w:t> pour un </w:t>
      </w:r>
      <w:r>
        <w:rPr>
          <w:rFonts w:ascii="Theinhardt Bold"/>
          <w:b/>
          <w:color w:val="231F20"/>
          <w:spacing w:val="-1"/>
          <w:sz w:val="14"/>
        </w:rPr>
        <w:t>avenir</w:t>
      </w:r>
      <w:r>
        <w:rPr>
          <w:rFonts w:ascii="Theinhardt Bold"/>
          <w:b/>
          <w:color w:val="231F20"/>
          <w:spacing w:val="40"/>
          <w:sz w:val="14"/>
        </w:rPr>
        <w:t> </w:t>
      </w:r>
      <w:r>
        <w:rPr>
          <w:rFonts w:ascii="Theinhardt Bold"/>
          <w:b/>
          <w:color w:val="231F20"/>
          <w:sz w:val="14"/>
        </w:rPr>
        <w:t>respectueux du climat.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199" w:space="377"/>
            <w:col w:w="713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2020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2020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1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110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10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ierry.tribolet@olympic.org" TargetMode="External"/><Relationship Id="rId6" Type="http://schemas.openxmlformats.org/officeDocument/2006/relationships/hyperlink" Target="mailto:Valentin.Bieber@solstis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2020-10-07T10:36:33Z</dcterms:created>
  <dcterms:modified xsi:type="dcterms:W3CDTF">2020-10-07T10:36:33Z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