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C6A6" w14:textId="77777777" w:rsidR="00477EF6" w:rsidRDefault="00B42835">
      <w:pPr>
        <w:tabs>
          <w:tab w:val="left" w:pos="254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18251DE1">
          <v:group id="_x0000_s1057" style="position:absolute;left:0;text-align:left;margin-left:28.55pt;margin-top:13.65pt;width:.1pt;height:.1pt;z-index:-4864;mso-position-horizontal-relative:page" coordorigin="571,273" coordsize="2,2">
            <v:shape id="_x0000_s1058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62F7FF27">
          <v:group id="_x0000_s1055" style="position:absolute;left:0;text-align:left;margin-left:150.75pt;margin-top:13.65pt;width:.1pt;height:.1pt;z-index:1192;mso-position-horizontal-relative:page" coordorigin="3015,273" coordsize="2,2">
            <v:shape id="_x0000_s1056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pict w14:anchorId="5F0460C5">
          <v:group id="_x0000_s1053" style="position:absolute;left:0;text-align:left;margin-left:28.55pt;margin-top:25.15pt;width:.1pt;height:.1pt;z-index:-4816;mso-position-horizontal-relative:page" coordorigin="571,503" coordsize="2,2">
            <v:shape id="_x0000_s1054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46014B18">
          <v:group id="_x0000_s1051" style="position:absolute;left:0;text-align:left;margin-left:150.75pt;margin-top:25.15pt;width:.1pt;height:.1pt;z-index:1240;mso-position-horizontal-relative:page" coordorigin="3015,503" coordsize="2,2">
            <v:shape id="_x0000_s1052" style="position:absolute;left:3015;top:503;width:2;height:2" coordorigin="3015,503" coordsize="0,0" path="m3015,503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A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 xml:space="preserve"> 2020</w:t>
      </w:r>
    </w:p>
    <w:p w14:paraId="410BB70E" w14:textId="77777777" w:rsidR="00477EF6" w:rsidRDefault="00B42835">
      <w:pPr>
        <w:spacing w:before="28" w:line="230" w:lineRule="exact"/>
        <w:ind w:left="106" w:right="107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hAnsi="Theinhardt Bold"/>
          <w:b/>
          <w:color w:val="231F20"/>
          <w:spacing w:val="-1"/>
          <w:sz w:val="18"/>
        </w:rPr>
        <w:t>Architekt</w:t>
      </w:r>
      <w:r>
        <w:rPr>
          <w:rFonts w:ascii="Theinhardt Bold" w:hAnsi="Theinhardt Bold"/>
          <w:b/>
          <w:color w:val="231F20"/>
          <w:spacing w:val="-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Armin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Binz</w:t>
      </w:r>
      <w:r>
        <w:rPr>
          <w:rFonts w:ascii="Theinhardt Bold" w:hAnsi="Theinhardt Bold"/>
          <w:b/>
          <w:color w:val="231F20"/>
          <w:spacing w:val="-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lehrt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forscht </w:t>
      </w:r>
      <w:r>
        <w:rPr>
          <w:rFonts w:ascii="Theinhardt Bold" w:hAnsi="Theinhardt Bold"/>
          <w:b/>
          <w:color w:val="231F20"/>
          <w:spacing w:val="-1"/>
          <w:sz w:val="18"/>
        </w:rPr>
        <w:t>seit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Jahrzehnten</w:t>
      </w:r>
      <w:r>
        <w:rPr>
          <w:rFonts w:ascii="Theinhardt Bold" w:hAnsi="Theinhardt Bold"/>
          <w:b/>
          <w:color w:val="231F20"/>
          <w:spacing w:val="-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erfolgreich </w:t>
      </w:r>
      <w:r>
        <w:rPr>
          <w:rFonts w:ascii="Theinhardt Bold" w:hAnsi="Theinhardt Bold"/>
          <w:b/>
          <w:color w:val="231F20"/>
          <w:spacing w:val="-1"/>
          <w:sz w:val="18"/>
        </w:rPr>
        <w:t>zum</w:t>
      </w:r>
      <w:r>
        <w:rPr>
          <w:rFonts w:ascii="Theinhardt Bold" w:hAnsi="Theinhardt Bold"/>
          <w:b/>
          <w:color w:val="231F20"/>
          <w:spacing w:val="-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Thema</w:t>
      </w:r>
      <w:r>
        <w:rPr>
          <w:rFonts w:ascii="Theinhardt Bold" w:hAnsi="Theinhardt Bold"/>
          <w:b/>
          <w:color w:val="231F20"/>
          <w:spacing w:val="-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Energieeffizienz.</w:t>
      </w:r>
      <w:r>
        <w:rPr>
          <w:rFonts w:ascii="Theinhardt Bold" w:hAnsi="Theinhardt Bold"/>
          <w:b/>
          <w:color w:val="231F20"/>
          <w:spacing w:val="8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Er</w:t>
      </w:r>
      <w:r>
        <w:rPr>
          <w:rFonts w:ascii="Theinhardt Bold" w:hAnsi="Theinhardt Bold"/>
          <w:b/>
          <w:color w:val="231F20"/>
          <w:spacing w:val="-1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entwickelte</w:t>
      </w:r>
      <w:r>
        <w:rPr>
          <w:rFonts w:ascii="Theinhardt Bold" w:hAnsi="Theinhardt Bold"/>
          <w:b/>
          <w:color w:val="231F20"/>
          <w:spacing w:val="-10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an</w:t>
      </w:r>
      <w:r>
        <w:rPr>
          <w:rFonts w:ascii="Theinhardt Bold" w:hAnsi="Theinhardt Bold"/>
          <w:b/>
          <w:color w:val="231F20"/>
          <w:spacing w:val="-1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1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ehemaligen</w:t>
      </w:r>
      <w:r>
        <w:rPr>
          <w:rFonts w:ascii="Theinhardt Bold" w:hAnsi="Theinhardt Bold"/>
          <w:b/>
          <w:color w:val="231F20"/>
          <w:spacing w:val="-1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Ingenieurschule</w:t>
      </w:r>
      <w:r>
        <w:rPr>
          <w:rFonts w:ascii="Theinhardt Bold" w:hAnsi="Theinhardt Bold"/>
          <w:b/>
          <w:color w:val="231F20"/>
          <w:spacing w:val="-1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beider</w:t>
      </w:r>
      <w:r>
        <w:rPr>
          <w:rFonts w:ascii="Theinhardt Bold" w:hAnsi="Theinhardt Bold"/>
          <w:b/>
          <w:color w:val="231F20"/>
          <w:spacing w:val="-1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Basel</w:t>
      </w:r>
      <w:r>
        <w:rPr>
          <w:rFonts w:ascii="Theinhardt Bold" w:hAnsi="Theinhardt Bold"/>
          <w:b/>
          <w:color w:val="231F20"/>
          <w:spacing w:val="-1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das</w:t>
      </w:r>
      <w:r>
        <w:rPr>
          <w:rFonts w:ascii="Theinhardt Bold" w:hAnsi="Theinhardt Bold"/>
          <w:b/>
          <w:color w:val="231F20"/>
          <w:spacing w:val="-1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Nachdiplomstudium</w:t>
      </w:r>
      <w:r>
        <w:rPr>
          <w:rFonts w:ascii="Theinhardt Bold" w:hAnsi="Theinhardt Bold"/>
          <w:b/>
          <w:color w:val="231F20"/>
          <w:spacing w:val="-1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Energie.</w:t>
      </w:r>
      <w:r>
        <w:rPr>
          <w:rFonts w:ascii="Theinhardt Bold" w:hAnsi="Theinhardt Bold"/>
          <w:b/>
          <w:color w:val="231F20"/>
          <w:spacing w:val="2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Er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war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federführend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beim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Nullenergiehaus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an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HEUREKA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1991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Zürich.</w:t>
      </w:r>
      <w:r>
        <w:rPr>
          <w:rFonts w:ascii="Theinhardt Bold" w:hAnsi="Theinhardt Bold"/>
          <w:b/>
          <w:color w:val="231F20"/>
          <w:spacing w:val="-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4"/>
          <w:sz w:val="18"/>
        </w:rPr>
        <w:t>Prof.</w:t>
      </w:r>
      <w:r>
        <w:rPr>
          <w:rFonts w:ascii="Theinhardt Bold" w:hAnsi="Theinhardt Bold"/>
          <w:b/>
          <w:color w:val="231F20"/>
          <w:spacing w:val="-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Binz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lehrte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ab</w:t>
      </w:r>
      <w:r>
        <w:rPr>
          <w:rFonts w:ascii="Theinhardt Bold" w:hAnsi="Theinhardt Bold"/>
          <w:b/>
          <w:color w:val="231F20"/>
          <w:spacing w:val="5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1993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an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Fachhochschule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Nordwestschweiz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leitete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das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Institut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>Energie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am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Bau.</w:t>
      </w:r>
      <w:r>
        <w:rPr>
          <w:rFonts w:ascii="Theinhardt Bold" w:hAnsi="Theinhardt Bold"/>
          <w:b/>
          <w:color w:val="231F20"/>
          <w:spacing w:val="-1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>Wegwei-</w:t>
      </w:r>
      <w:r>
        <w:rPr>
          <w:rFonts w:ascii="Theinhardt Bold" w:hAnsi="Theinhardt Bold"/>
          <w:b/>
          <w:color w:val="231F20"/>
          <w:spacing w:val="5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send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ist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seine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Entwicklung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des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MINERGIE-P-Baustandards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Kantone.</w:t>
      </w:r>
      <w:r>
        <w:rPr>
          <w:rFonts w:ascii="Theinhardt Bold" w:hAnsi="Theinhardt Bold"/>
          <w:b/>
          <w:color w:val="231F20"/>
          <w:spacing w:val="1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Damit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legte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er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>den</w:t>
      </w:r>
      <w:r>
        <w:rPr>
          <w:rFonts w:ascii="Theinhardt Bold" w:hAnsi="Theinhardt Bold"/>
          <w:b/>
          <w:color w:val="231F20"/>
          <w:spacing w:val="56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wichtigsten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Grundstein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Umsetzung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des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Pariser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Klimaabkommens.</w:t>
      </w:r>
      <w:r>
        <w:rPr>
          <w:rFonts w:ascii="Theinhardt Bold" w:hAnsi="Theinhardt Bold"/>
          <w:b/>
          <w:color w:val="231F20"/>
          <w:spacing w:val="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Bis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heute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berät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4"/>
          <w:sz w:val="18"/>
        </w:rPr>
        <w:t>Prof.</w:t>
      </w:r>
      <w:r>
        <w:rPr>
          <w:rFonts w:ascii="Theinhardt Bold" w:hAnsi="Theinhardt Bold"/>
          <w:b/>
          <w:color w:val="231F20"/>
          <w:spacing w:val="4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Binz</w:t>
      </w:r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Fachleute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Europa,</w:t>
      </w:r>
      <w:r>
        <w:rPr>
          <w:rFonts w:ascii="Theinhardt Bold" w:hAnsi="Theinhardt Bold"/>
          <w:b/>
          <w:color w:val="231F20"/>
          <w:spacing w:val="-1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Südamerika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China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im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Bereich</w:t>
      </w:r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energieeffizientes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Bauen.</w:t>
      </w:r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Dafür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ver-</w:t>
      </w:r>
      <w:r>
        <w:rPr>
          <w:rFonts w:ascii="Theinhardt Bold" w:hAnsi="Theinhardt Bold"/>
          <w:b/>
          <w:color w:val="231F20"/>
          <w:spacing w:val="61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dient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Armin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Binz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Schweizer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Solarpreis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2020.</w:t>
      </w:r>
    </w:p>
    <w:p w14:paraId="797A6B86" w14:textId="77777777" w:rsidR="00477EF6" w:rsidRDefault="00477EF6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477EF6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687BF2E8" w14:textId="77777777" w:rsidR="00477EF6" w:rsidRDefault="00477EF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622989A" w14:textId="77777777" w:rsidR="00477EF6" w:rsidRDefault="00477EF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845427C" w14:textId="77777777" w:rsidR="00477EF6" w:rsidRDefault="00477EF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4145050" w14:textId="77777777" w:rsidR="00477EF6" w:rsidRDefault="00477EF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A59C88F" w14:textId="77777777" w:rsidR="00477EF6" w:rsidRDefault="00477EF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16FD1F9" w14:textId="77777777" w:rsidR="00477EF6" w:rsidRDefault="00477EF6">
      <w:pPr>
        <w:spacing w:before="6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39D6DD87" w14:textId="77777777" w:rsidR="00477EF6" w:rsidRDefault="00B42835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2"/>
          <w:sz w:val="40"/>
        </w:rPr>
        <w:t>P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2"/>
          <w:sz w:val="40"/>
        </w:rPr>
        <w:t>o</w:t>
      </w:r>
      <w:r>
        <w:rPr>
          <w:rFonts w:ascii="Theinhardt Black"/>
          <w:b/>
          <w:color w:val="0067B1"/>
          <w:spacing w:val="-16"/>
          <w:sz w:val="40"/>
        </w:rPr>
        <w:t>f</w:t>
      </w:r>
      <w:r>
        <w:rPr>
          <w:rFonts w:ascii="Theinhardt Black"/>
          <w:b/>
          <w:color w:val="0067B1"/>
          <w:sz w:val="40"/>
        </w:rPr>
        <w:t>.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8"/>
          <w:sz w:val="40"/>
        </w:rPr>
        <w:t>A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mi</w:t>
      </w:r>
      <w:r>
        <w:rPr>
          <w:rFonts w:ascii="Theinhardt Black"/>
          <w:b/>
          <w:color w:val="0067B1"/>
          <w:sz w:val="40"/>
        </w:rPr>
        <w:t>n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2"/>
          <w:sz w:val="40"/>
        </w:rPr>
        <w:t>B</w:t>
      </w:r>
      <w:r>
        <w:rPr>
          <w:rFonts w:ascii="Theinhardt Black"/>
          <w:b/>
          <w:color w:val="0067B1"/>
          <w:spacing w:val="-2"/>
          <w:sz w:val="40"/>
        </w:rPr>
        <w:t>inz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56"/>
          <w:sz w:val="40"/>
        </w:rPr>
        <w:t xml:space="preserve"> </w:t>
      </w:r>
      <w:r>
        <w:rPr>
          <w:rFonts w:ascii="Theinhardt Black"/>
          <w:b/>
          <w:color w:val="0067B1"/>
          <w:spacing w:val="4"/>
          <w:sz w:val="40"/>
        </w:rPr>
        <w:t>D</w:t>
      </w:r>
      <w:r>
        <w:rPr>
          <w:rFonts w:ascii="Theinhardt Black"/>
          <w:b/>
          <w:color w:val="0067B1"/>
          <w:spacing w:val="-6"/>
          <w:sz w:val="40"/>
        </w:rPr>
        <w:t>o</w:t>
      </w:r>
      <w:r>
        <w:rPr>
          <w:rFonts w:ascii="Theinhardt Black"/>
          <w:b/>
          <w:color w:val="0067B1"/>
          <w:spacing w:val="-10"/>
          <w:sz w:val="40"/>
        </w:rPr>
        <w:t>z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4"/>
          <w:sz w:val="40"/>
        </w:rPr>
        <w:t>n</w:t>
      </w:r>
      <w:r>
        <w:rPr>
          <w:rFonts w:ascii="Theinhardt Black"/>
          <w:b/>
          <w:color w:val="0067B1"/>
          <w:sz w:val="40"/>
        </w:rPr>
        <w:t>t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2"/>
          <w:sz w:val="40"/>
        </w:rPr>
        <w:t>de</w:t>
      </w:r>
      <w:r>
        <w:rPr>
          <w:rFonts w:ascii="Theinhardt Black"/>
          <w:b/>
          <w:color w:val="0067B1"/>
          <w:sz w:val="40"/>
        </w:rPr>
        <w:t>r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6"/>
          <w:sz w:val="40"/>
        </w:rPr>
        <w:t>F</w:t>
      </w:r>
      <w:r>
        <w:rPr>
          <w:rFonts w:ascii="Theinhardt Black"/>
          <w:b/>
          <w:color w:val="0067B1"/>
          <w:spacing w:val="-2"/>
          <w:sz w:val="40"/>
        </w:rPr>
        <w:t>H</w:t>
      </w:r>
      <w:r>
        <w:rPr>
          <w:rFonts w:ascii="Theinhardt Black"/>
          <w:b/>
          <w:color w:val="0067B1"/>
          <w:sz w:val="40"/>
        </w:rPr>
        <w:t>N</w:t>
      </w:r>
      <w:r>
        <w:rPr>
          <w:rFonts w:ascii="Theinhardt Black"/>
          <w:b/>
          <w:color w:val="0067B1"/>
          <w:spacing w:val="-20"/>
          <w:sz w:val="40"/>
        </w:rPr>
        <w:t>W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4"/>
          <w:sz w:val="40"/>
        </w:rPr>
        <w:t>540</w:t>
      </w:r>
      <w:r>
        <w:rPr>
          <w:rFonts w:ascii="Theinhardt Black"/>
          <w:b/>
          <w:color w:val="0067B1"/>
          <w:sz w:val="40"/>
        </w:rPr>
        <w:t>0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6"/>
          <w:sz w:val="40"/>
        </w:rPr>
        <w:t>B</w:t>
      </w:r>
      <w:r>
        <w:rPr>
          <w:rFonts w:ascii="Theinhardt Black"/>
          <w:b/>
          <w:color w:val="0067B1"/>
          <w:spacing w:val="2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de</w:t>
      </w:r>
      <w:r>
        <w:rPr>
          <w:rFonts w:ascii="Theinhardt Black"/>
          <w:b/>
          <w:color w:val="0067B1"/>
          <w:spacing w:val="6"/>
          <w:sz w:val="40"/>
        </w:rPr>
        <w:t>n</w:t>
      </w:r>
      <w:r>
        <w:rPr>
          <w:rFonts w:ascii="Theinhardt Black"/>
          <w:b/>
          <w:color w:val="0067B1"/>
          <w:spacing w:val="-30"/>
          <w:sz w:val="40"/>
        </w:rPr>
        <w:t>/</w:t>
      </w:r>
      <w:r>
        <w:rPr>
          <w:rFonts w:ascii="Theinhardt Black"/>
          <w:b/>
          <w:color w:val="0067B1"/>
          <w:spacing w:val="-8"/>
          <w:sz w:val="40"/>
        </w:rPr>
        <w:t>A</w:t>
      </w:r>
      <w:r>
        <w:rPr>
          <w:rFonts w:ascii="Theinhardt Black"/>
          <w:b/>
          <w:color w:val="0067B1"/>
          <w:sz w:val="40"/>
        </w:rPr>
        <w:t>G</w:t>
      </w:r>
    </w:p>
    <w:p w14:paraId="02FD53FF" w14:textId="77777777" w:rsidR="00477EF6" w:rsidRDefault="00477EF6">
      <w:pPr>
        <w:spacing w:before="2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4B8C154F" w14:textId="77777777" w:rsidR="00477EF6" w:rsidRDefault="00477EF6">
      <w:pPr>
        <w:rPr>
          <w:rFonts w:ascii="Theinhardt Black" w:eastAsia="Theinhardt Black" w:hAnsi="Theinhardt Black" w:cs="Theinhardt Black"/>
          <w:sz w:val="23"/>
          <w:szCs w:val="23"/>
        </w:rPr>
        <w:sectPr w:rsidR="00477EF6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581A4FF7" w14:textId="77777777" w:rsidR="00477EF6" w:rsidRDefault="00B42835">
      <w:pPr>
        <w:pStyle w:val="berschrift1"/>
        <w:spacing w:before="52" w:line="230" w:lineRule="exact"/>
        <w:jc w:val="both"/>
      </w:pPr>
      <w:r>
        <w:rPr>
          <w:color w:val="231F20"/>
          <w:spacing w:val="-4"/>
        </w:rPr>
        <w:t>Prof.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Armin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Binz,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dipl.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Architekt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ETH/SIA,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leistete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seiner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Arbeit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Forschung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neue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entscheidende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Impulse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zur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Förde-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rung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Energieeffizienz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Nachhaltigkeit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Bau. </w:t>
      </w:r>
      <w:r>
        <w:rPr>
          <w:color w:val="231F20"/>
          <w:spacing w:val="-1"/>
        </w:rPr>
        <w:t>Begeistert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vom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umweltverträgli-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chen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Bauen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Nutzung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Sonnen-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energie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Gebäudebereich,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gründete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Armin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Binz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zusammen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Jürg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Nipkow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1978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Büro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ARENA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für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energieeffizientes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Bauen.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1982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begann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Armin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Binz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seine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Arbeit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Forschungs-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Bildungsbereich.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ent-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wickelte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Nachdiplomstudium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Energie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Ingenieurschule </w:t>
      </w:r>
      <w:r>
        <w:rPr>
          <w:color w:val="231F20"/>
          <w:spacing w:val="-1"/>
        </w:rPr>
        <w:t>beider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mit.</w:t>
      </w:r>
    </w:p>
    <w:p w14:paraId="047AA687" w14:textId="77777777" w:rsidR="00477EF6" w:rsidRDefault="00B42835">
      <w:pPr>
        <w:spacing w:line="230" w:lineRule="exact"/>
        <w:ind w:left="106" w:firstLine="22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1"/>
          <w:sz w:val="18"/>
        </w:rPr>
        <w:t>Nach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der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Gründung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der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Fachhochschule</w:t>
      </w:r>
      <w:r>
        <w:rPr>
          <w:rFonts w:ascii="Theinhardt Regular" w:hAnsi="Theinhardt Regular"/>
          <w:color w:val="231F20"/>
          <w:spacing w:val="29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Nordwestschweiz</w:t>
      </w:r>
      <w:r>
        <w:rPr>
          <w:rFonts w:ascii="Theinhardt Regular" w:hAnsi="Theinhardt Regular"/>
          <w:color w:val="231F20"/>
          <w:spacing w:val="29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(FHNW)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lehrte</w:t>
      </w:r>
      <w:r>
        <w:rPr>
          <w:rFonts w:ascii="Theinhardt Regular" w:hAnsi="Theinhardt Regular"/>
          <w:color w:val="231F20"/>
          <w:spacing w:val="29"/>
          <w:sz w:val="18"/>
        </w:rPr>
        <w:t xml:space="preserve"> </w:t>
      </w:r>
      <w:r>
        <w:rPr>
          <w:rFonts w:ascii="Theinhardt Regular" w:hAnsi="Theinhardt Regular"/>
          <w:color w:val="231F20"/>
          <w:spacing w:val="-4"/>
          <w:sz w:val="18"/>
        </w:rPr>
        <w:t>Prof.</w:t>
      </w:r>
      <w:r>
        <w:rPr>
          <w:rFonts w:ascii="Theinhardt Regular" w:hAnsi="Theinhardt Regular"/>
          <w:color w:val="231F20"/>
          <w:spacing w:val="1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Binz</w:t>
      </w:r>
      <w:r>
        <w:rPr>
          <w:rFonts w:ascii="Theinhardt Regular" w:hAnsi="Theinhardt Regular"/>
          <w:color w:val="231F20"/>
          <w:spacing w:val="3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von</w:t>
      </w:r>
      <w:r>
        <w:rPr>
          <w:rFonts w:ascii="Theinhardt Regular" w:hAnsi="Theinhardt Regular"/>
          <w:color w:val="231F20"/>
          <w:spacing w:val="-1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1993</w:t>
      </w:r>
      <w:r>
        <w:rPr>
          <w:rFonts w:ascii="Theinhardt Regular" w:hAnsi="Theinhardt Regular"/>
          <w:color w:val="231F20"/>
          <w:spacing w:val="-1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bis</w:t>
      </w:r>
      <w:r>
        <w:rPr>
          <w:rFonts w:ascii="Theinhardt Regular" w:hAnsi="Theinhardt Regular"/>
          <w:color w:val="231F20"/>
          <w:spacing w:val="-1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2013</w:t>
      </w:r>
      <w:r>
        <w:rPr>
          <w:rFonts w:ascii="Theinhardt Regular" w:hAnsi="Theinhardt Regular"/>
          <w:color w:val="231F20"/>
          <w:spacing w:val="-1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an</w:t>
      </w:r>
      <w:r>
        <w:rPr>
          <w:rFonts w:ascii="Theinhardt Regular" w:hAnsi="Theinhardt Regular"/>
          <w:color w:val="231F20"/>
          <w:spacing w:val="-1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der</w:t>
      </w:r>
      <w:r>
        <w:rPr>
          <w:rFonts w:ascii="Theinhardt Regular" w:hAnsi="Theinhardt Regular"/>
          <w:color w:val="231F20"/>
          <w:spacing w:val="-13"/>
          <w:sz w:val="18"/>
        </w:rPr>
        <w:t xml:space="preserve"> </w:t>
      </w:r>
      <w:r>
        <w:rPr>
          <w:rFonts w:ascii="Theinhardt Regular" w:hAnsi="Theinhardt Regular"/>
          <w:color w:val="231F20"/>
          <w:spacing w:val="-5"/>
          <w:sz w:val="18"/>
        </w:rPr>
        <w:t>FHNW.</w:t>
      </w:r>
      <w:r>
        <w:rPr>
          <w:rFonts w:ascii="Theinhardt Regular" w:hAnsi="Theinhardt Regular"/>
          <w:color w:val="231F20"/>
          <w:spacing w:val="-24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Als</w:t>
      </w:r>
      <w:r>
        <w:rPr>
          <w:rFonts w:ascii="Theinhardt Regular" w:hAnsi="Theinhardt Regular"/>
          <w:color w:val="231F20"/>
          <w:spacing w:val="-12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Dozent</w:t>
      </w:r>
      <w:r>
        <w:rPr>
          <w:rFonts w:ascii="Theinhardt Regular" w:hAnsi="Theinhardt Regular"/>
          <w:color w:val="231F20"/>
          <w:spacing w:val="24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gründete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und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leitete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er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das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Institut</w:t>
      </w:r>
      <w:r>
        <w:rPr>
          <w:rFonts w:ascii="Theinhardt Regular" w:hAnsi="Theinhardt Regular"/>
          <w:color w:val="231F20"/>
          <w:spacing w:val="1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Energie</w:t>
      </w:r>
      <w:r>
        <w:rPr>
          <w:rFonts w:ascii="Theinhardt Regular" w:hAnsi="Theinhardt Regular"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am</w:t>
      </w:r>
      <w:r>
        <w:rPr>
          <w:rFonts w:ascii="Theinhardt Regular" w:hAnsi="Theinhardt Regular"/>
          <w:color w:val="231F20"/>
          <w:spacing w:val="-14"/>
          <w:sz w:val="18"/>
        </w:rPr>
        <w:t xml:space="preserve"> </w:t>
      </w:r>
      <w:r>
        <w:rPr>
          <w:rFonts w:ascii="Theinhardt Regular" w:hAnsi="Theinhardt Regular"/>
          <w:color w:val="231F20"/>
          <w:spacing w:val="1"/>
          <w:sz w:val="18"/>
        </w:rPr>
        <w:t>Bau</w:t>
      </w:r>
      <w:r>
        <w:rPr>
          <w:rFonts w:ascii="Theinhardt Regular" w:hAnsi="Theinhardt Regular"/>
          <w:color w:val="231F20"/>
          <w:spacing w:val="-14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(IEBau).</w:t>
      </w:r>
      <w:r>
        <w:rPr>
          <w:rFonts w:ascii="Theinhardt Regular" w:hAnsi="Theinhardt Regular"/>
          <w:color w:val="231F20"/>
          <w:spacing w:val="-24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Das</w:t>
      </w:r>
      <w:r>
        <w:rPr>
          <w:rFonts w:ascii="Theinhardt Regular" w:hAnsi="Theinhardt Regular"/>
          <w:color w:val="231F20"/>
          <w:spacing w:val="-14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Institut</w:t>
      </w:r>
      <w:r>
        <w:rPr>
          <w:rFonts w:ascii="Theinhardt Regular" w:hAnsi="Theinhardt Regular"/>
          <w:color w:val="231F20"/>
          <w:spacing w:val="-14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forscht</w:t>
      </w:r>
      <w:r>
        <w:rPr>
          <w:rFonts w:ascii="Theinhardt Regular" w:hAnsi="Theinhardt Regular"/>
          <w:color w:val="231F20"/>
          <w:spacing w:val="-14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vor</w:t>
      </w:r>
      <w:r>
        <w:rPr>
          <w:rFonts w:ascii="Theinhardt Regular" w:hAnsi="Theinhardt Regular"/>
          <w:color w:val="231F20"/>
          <w:spacing w:val="-1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allem</w:t>
      </w:r>
      <w:r>
        <w:rPr>
          <w:rFonts w:ascii="Theinhardt Regular" w:hAnsi="Theinhardt Regular"/>
          <w:color w:val="231F20"/>
          <w:spacing w:val="24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im</w:t>
      </w:r>
      <w:r>
        <w:rPr>
          <w:rFonts w:ascii="Theinhardt Regular" w:hAnsi="Theinhardt Regular"/>
          <w:color w:val="231F20"/>
          <w:spacing w:val="12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Bereich</w:t>
      </w:r>
      <w:r>
        <w:rPr>
          <w:rFonts w:ascii="Theinhardt Regular" w:hAnsi="Theinhardt Regular"/>
          <w:color w:val="231F20"/>
          <w:spacing w:val="12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energieeffizientes</w:t>
      </w:r>
      <w:r>
        <w:rPr>
          <w:rFonts w:ascii="Theinhardt Regular" w:hAnsi="Theinhardt Regular"/>
          <w:color w:val="231F20"/>
          <w:spacing w:val="12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Bauen</w:t>
      </w:r>
      <w:r>
        <w:rPr>
          <w:rFonts w:ascii="Theinhardt Regular" w:hAnsi="Theinhardt Regular"/>
          <w:color w:val="231F20"/>
          <w:spacing w:val="1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und</w:t>
      </w:r>
      <w:r>
        <w:rPr>
          <w:rFonts w:ascii="Theinhardt Regular" w:hAnsi="Theinhardt Regular"/>
          <w:color w:val="231F20"/>
          <w:spacing w:val="44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erneuerbare</w:t>
      </w:r>
      <w:r>
        <w:rPr>
          <w:rFonts w:ascii="Theinhardt Regular" w:hAnsi="Theinhardt Regular"/>
          <w:color w:val="231F20"/>
          <w:spacing w:val="3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Energien</w:t>
      </w:r>
      <w:r>
        <w:rPr>
          <w:rFonts w:ascii="Theinhardt Regular" w:hAnsi="Theinhardt Regular"/>
          <w:color w:val="231F20"/>
          <w:spacing w:val="3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im</w:t>
      </w:r>
      <w:r>
        <w:rPr>
          <w:rFonts w:ascii="Theinhardt Regular" w:hAnsi="Theinhardt Regular"/>
          <w:color w:val="231F20"/>
          <w:spacing w:val="3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Gebäudebereich.</w:t>
      </w:r>
      <w:r>
        <w:rPr>
          <w:rFonts w:ascii="Theinhardt Regular" w:hAnsi="Theinhardt Regular"/>
          <w:color w:val="231F20"/>
          <w:spacing w:val="42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Das</w:t>
      </w:r>
      <w:r>
        <w:rPr>
          <w:rFonts w:ascii="Theinhardt Regular" w:hAnsi="Theinhardt Regular"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IEBau</w:t>
      </w:r>
      <w:r>
        <w:rPr>
          <w:rFonts w:ascii="Theinhardt Regular" w:hAnsi="Theinhardt Regular"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gilt</w:t>
      </w:r>
      <w:r>
        <w:rPr>
          <w:rFonts w:ascii="Theinhardt Regular" w:hAnsi="Theinhardt Regular"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als</w:t>
      </w:r>
      <w:r>
        <w:rPr>
          <w:rFonts w:ascii="Theinhardt Regular" w:hAnsi="Theinhardt Regular"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eines</w:t>
      </w:r>
      <w:r>
        <w:rPr>
          <w:rFonts w:ascii="Theinhardt Regular" w:hAnsi="Theinhardt Regular"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der</w:t>
      </w:r>
      <w:r>
        <w:rPr>
          <w:rFonts w:ascii="Theinhardt Regular" w:hAnsi="Theinhardt Regular"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führenden</w:t>
      </w:r>
      <w:r>
        <w:rPr>
          <w:rFonts w:ascii="Theinhardt Regular" w:hAnsi="Theinhardt Regular"/>
          <w:color w:val="231F20"/>
          <w:spacing w:val="24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Schweizer</w:t>
      </w:r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Institute</w:t>
      </w:r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für</w:t>
      </w:r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angewandte</w:t>
      </w:r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Ener-</w:t>
      </w:r>
      <w:r>
        <w:rPr>
          <w:rFonts w:ascii="Theinhardt Regular" w:hAnsi="Theinhardt Regular"/>
          <w:color w:val="231F20"/>
          <w:spacing w:val="37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gieforschung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und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Weiterbildung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im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Energie-</w:t>
      </w:r>
      <w:r>
        <w:rPr>
          <w:rFonts w:ascii="Theinhardt Regular" w:hAnsi="Theinhardt Regular"/>
          <w:color w:val="231F20"/>
          <w:spacing w:val="39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bereich</w:t>
      </w:r>
      <w:r>
        <w:rPr>
          <w:rFonts w:ascii="Theinhardt Regular" w:hAnsi="Theinhardt Regular"/>
          <w:color w:val="231F20"/>
          <w:spacing w:val="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auf</w:t>
      </w:r>
      <w:r>
        <w:rPr>
          <w:rFonts w:ascii="Theinhardt Regular" w:hAnsi="Theinhardt Regular"/>
          <w:color w:val="231F20"/>
          <w:spacing w:val="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Hochschulstufe.</w:t>
      </w:r>
      <w:r>
        <w:rPr>
          <w:rFonts w:ascii="Theinhardt Regular" w:hAnsi="Theinhardt Regular"/>
          <w:color w:val="231F20"/>
          <w:spacing w:val="6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Es</w:t>
      </w:r>
      <w:r>
        <w:rPr>
          <w:rFonts w:ascii="Theinhardt Regular" w:hAnsi="Theinhardt Regular"/>
          <w:color w:val="231F20"/>
          <w:spacing w:val="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bearbeitete</w:t>
      </w:r>
      <w:r>
        <w:rPr>
          <w:rFonts w:ascii="Theinhardt Regular" w:hAnsi="Theinhardt Regular"/>
          <w:color w:val="231F20"/>
          <w:spacing w:val="36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auch</w:t>
      </w:r>
      <w:r>
        <w:rPr>
          <w:rFonts w:ascii="Theinhardt Regular" w:hAnsi="Theinhardt Regular"/>
          <w:color w:val="231F20"/>
          <w:spacing w:val="-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eine</w:t>
      </w:r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Vielzahl</w:t>
      </w:r>
      <w:r>
        <w:rPr>
          <w:rFonts w:ascii="Theinhardt Regular" w:hAnsi="Theinhardt Regular"/>
          <w:color w:val="231F20"/>
          <w:spacing w:val="-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von</w:t>
      </w:r>
      <w:r>
        <w:rPr>
          <w:rFonts w:ascii="Theinhardt Regular" w:hAnsi="Theinhardt Regular"/>
          <w:color w:val="231F20"/>
          <w:spacing w:val="-7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Forschungs-</w:t>
      </w:r>
      <w:r>
        <w:rPr>
          <w:rFonts w:ascii="Theinhardt Regular" w:hAnsi="Theinhardt Regular"/>
          <w:color w:val="231F20"/>
          <w:spacing w:val="-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und</w:t>
      </w:r>
      <w:r>
        <w:rPr>
          <w:rFonts w:ascii="Theinhardt Regular" w:hAnsi="Theinhardt Regular"/>
          <w:color w:val="231F20"/>
          <w:spacing w:val="-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Ent-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wicklungsprojekten</w:t>
      </w:r>
      <w:r>
        <w:rPr>
          <w:rFonts w:ascii="Theinhardt Regular" w:hAnsi="Theinhardt Regular"/>
          <w:color w:val="231F20"/>
          <w:spacing w:val="36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wie</w:t>
      </w:r>
      <w:r>
        <w:rPr>
          <w:rFonts w:ascii="Theinhardt Regular" w:hAnsi="Theinhardt Regular"/>
          <w:color w:val="231F20"/>
          <w:spacing w:val="3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z.B.</w:t>
      </w:r>
      <w:r>
        <w:rPr>
          <w:rFonts w:ascii="Theinhardt Regular" w:hAnsi="Theinhardt Regular"/>
          <w:color w:val="231F20"/>
          <w:spacing w:val="25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37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Gebäude-</w:t>
      </w:r>
    </w:p>
    <w:p w14:paraId="70533CD1" w14:textId="77777777" w:rsidR="00477EF6" w:rsidRDefault="00B42835">
      <w:pPr>
        <w:pStyle w:val="Textkrper"/>
        <w:spacing w:before="53" w:line="230" w:lineRule="exact"/>
        <w:jc w:val="right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2"/>
        </w:rPr>
        <w:t>Architecte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diplômé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ETHZ/SIA,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professeur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Armin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Binz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œuvré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manière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innovante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décisive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pour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promouvoir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l’efficacité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énergé-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tique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</w:rPr>
        <w:t xml:space="preserve"> la </w:t>
      </w:r>
      <w:r>
        <w:rPr>
          <w:color w:val="231F20"/>
          <w:spacing w:val="-1"/>
        </w:rPr>
        <w:t>durabilité.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Fervent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défenseur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</w:rPr>
        <w:t xml:space="preserve"> la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construction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écologique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l’utilisation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l’énergie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solaire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bâtiments,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créé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1978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bureau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ARENA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construc-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tion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économe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énergie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avec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Jürg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Nipkow.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Quatre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plus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tard,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Armin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Binz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s’est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engagé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recherche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l’éducation,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participant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mise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pied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d’une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formation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postgrade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énergie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l’école</w:t>
      </w:r>
      <w:r>
        <w:rPr>
          <w:color w:val="231F20"/>
          <w:spacing w:val="-2"/>
        </w:rPr>
        <w:t xml:space="preserve"> d’ingénieurs des deux </w:t>
      </w:r>
      <w:r>
        <w:rPr>
          <w:color w:val="231F20"/>
          <w:spacing w:val="-1"/>
        </w:rPr>
        <w:t>Bâle.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1993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2013,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professeur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Binz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enseigné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nord-est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Suisse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(FHNW)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fondé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dirigé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l’Institut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Ener-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gie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Bau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(IEBau).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Celui-ci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mène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principa-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lement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recherches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domaines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formation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perfectionnement,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parti-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</w:rPr>
        <w:t>culièrement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construction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économe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énergie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énergies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renouvelables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dans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bâtiment.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recherche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énergétique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appli-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quée,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FHNW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considérée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comme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l’une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meilleures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hautes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écoles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suisses.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Elle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aussi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travaillé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projets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recherche </w:t>
      </w:r>
      <w:r>
        <w:rPr>
          <w:color w:val="231F20"/>
          <w:spacing w:val="-1"/>
        </w:rPr>
        <w:t>et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développement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tels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GEAK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(certi-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ficats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énergétiques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cantonaux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bâtiments</w:t>
      </w:r>
    </w:p>
    <w:p w14:paraId="44510B79" w14:textId="77777777" w:rsidR="00477EF6" w:rsidRDefault="00B42835">
      <w:pPr>
        <w:spacing w:before="96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Zur </w:t>
      </w:r>
      <w:r>
        <w:rPr>
          <w:rFonts w:ascii="Theinhardt Black"/>
          <w:b/>
          <w:color w:val="231F20"/>
          <w:spacing w:val="2"/>
          <w:sz w:val="14"/>
        </w:rPr>
        <w:t>Person</w:t>
      </w:r>
    </w:p>
    <w:p w14:paraId="7431EA02" w14:textId="77777777" w:rsidR="00477EF6" w:rsidRDefault="00477EF6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39EB52C0" w14:textId="77777777" w:rsidR="00477EF6" w:rsidRDefault="00B42835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421FA479">
          <v:group id="_x0000_s1044" style="width:167.25pt;height:.45pt;mso-position-horizontal-relative:char;mso-position-vertical-relative:line" coordsize="3345,9">
            <v:group id="_x0000_s1049" style="position:absolute;left:21;top:4;width:3311;height:2" coordorigin="21,4" coordsize="3311,2">
              <v:shape id="_x0000_s1050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7" style="position:absolute;left:4;top:4;width:2;height:2" coordorigin="4,4" coordsize="2,2">
              <v:shape id="_x0000_s1048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5" style="position:absolute;left:3341;top:4;width:2;height:2" coordorigin="3341,4" coordsize="2,2">
              <v:shape id="_x0000_s1046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13D26BB1" w14:textId="77777777" w:rsidR="00477EF6" w:rsidRDefault="00B42835">
      <w:pPr>
        <w:spacing w:before="2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Geboren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am </w:t>
      </w:r>
      <w:r>
        <w:rPr>
          <w:rFonts w:ascii="Theinhardt Regular"/>
          <w:color w:val="231F20"/>
          <w:spacing w:val="-5"/>
          <w:sz w:val="14"/>
        </w:rPr>
        <w:t>27.12.1949</w:t>
      </w:r>
      <w:r>
        <w:rPr>
          <w:rFonts w:ascii="Theinhardt Regular"/>
          <w:color w:val="231F20"/>
          <w:sz w:val="14"/>
        </w:rPr>
        <w:t xml:space="preserve"> in </w:t>
      </w:r>
      <w:r>
        <w:rPr>
          <w:rFonts w:ascii="Theinhardt Regular"/>
          <w:color w:val="231F20"/>
          <w:spacing w:val="2"/>
          <w:sz w:val="14"/>
        </w:rPr>
        <w:t>Beringen/SH</w:t>
      </w:r>
    </w:p>
    <w:p w14:paraId="0A7A13E9" w14:textId="77777777" w:rsidR="00477EF6" w:rsidRDefault="00B42835">
      <w:pPr>
        <w:spacing w:before="32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Dipl.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Arch.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ETH/SIA,</w:t>
      </w:r>
      <w:r>
        <w:rPr>
          <w:rFonts w:ascii="Theinhardt Bold"/>
          <w:b/>
          <w:color w:val="231F20"/>
          <w:sz w:val="14"/>
        </w:rPr>
        <w:t xml:space="preserve"> Prof. </w:t>
      </w:r>
      <w:r>
        <w:rPr>
          <w:rFonts w:ascii="Theinhardt Bold"/>
          <w:b/>
          <w:color w:val="231F20"/>
          <w:spacing w:val="2"/>
          <w:sz w:val="14"/>
        </w:rPr>
        <w:t>FHNW</w:t>
      </w:r>
    </w:p>
    <w:p w14:paraId="085A8460" w14:textId="77777777" w:rsidR="00477EF6" w:rsidRDefault="00B42835">
      <w:pPr>
        <w:spacing w:before="32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1969-1975: </w:t>
      </w:r>
      <w:r>
        <w:rPr>
          <w:rFonts w:ascii="Theinhardt Regular" w:hAnsi="Theinhardt Regular"/>
          <w:color w:val="231F20"/>
          <w:spacing w:val="2"/>
          <w:sz w:val="14"/>
        </w:rPr>
        <w:t>Architekturstudium,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ETH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</w:p>
    <w:p w14:paraId="1395093B" w14:textId="77777777" w:rsidR="00477EF6" w:rsidRDefault="00B42835">
      <w:pPr>
        <w:spacing w:before="39" w:line="160" w:lineRule="exact"/>
        <w:ind w:left="560" w:right="198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1975-1976: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Nachdiplomstudium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Entwicklungs-</w:t>
      </w:r>
      <w:r>
        <w:rPr>
          <w:rFonts w:ascii="Theinhardt Regular"/>
          <w:color w:val="231F20"/>
          <w:spacing w:val="5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zusammenarbeit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ETH,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mit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Aufenthalt</w:t>
      </w:r>
      <w:r>
        <w:rPr>
          <w:rFonts w:ascii="Theinhardt Regular"/>
          <w:color w:val="231F20"/>
          <w:sz w:val="14"/>
        </w:rPr>
        <w:t xml:space="preserve"> in </w:t>
      </w:r>
      <w:r>
        <w:rPr>
          <w:rFonts w:ascii="Theinhardt Regular"/>
          <w:color w:val="231F20"/>
          <w:spacing w:val="1"/>
          <w:sz w:val="14"/>
        </w:rPr>
        <w:t>Peru</w:t>
      </w:r>
    </w:p>
    <w:p w14:paraId="578FD24E" w14:textId="77777777" w:rsidR="00477EF6" w:rsidRDefault="00B42835">
      <w:pPr>
        <w:spacing w:before="56" w:line="160" w:lineRule="exact"/>
        <w:ind w:left="560" w:right="198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1978-1987: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Büro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ARENA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Bauphysik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energie-</w:t>
      </w:r>
      <w:r>
        <w:rPr>
          <w:rFonts w:ascii="Theinhardt Regular" w:hAnsi="Theinhardt Regular"/>
          <w:color w:val="231F20"/>
          <w:spacing w:val="42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effizientes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Bauen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Jürg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Nipkow</w:t>
      </w:r>
      <w:r>
        <w:rPr>
          <w:rFonts w:ascii="Theinhardt Regular" w:hAnsi="Theinhardt Regular"/>
          <w:color w:val="231F20"/>
          <w:sz w:val="14"/>
        </w:rPr>
        <w:t xml:space="preserve"> in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</w:p>
    <w:p w14:paraId="4383EB2E" w14:textId="77777777" w:rsidR="00477EF6" w:rsidRDefault="00B42835">
      <w:pPr>
        <w:spacing w:before="56" w:line="160" w:lineRule="exact"/>
        <w:ind w:left="560" w:right="198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Ab</w:t>
      </w:r>
      <w:r>
        <w:rPr>
          <w:rFonts w:ascii="Theinhardt Bold" w:hAnsi="Theinhardt Bold"/>
          <w:b/>
          <w:color w:val="231F20"/>
          <w:sz w:val="14"/>
        </w:rPr>
        <w:t xml:space="preserve"> 1982: </w:t>
      </w:r>
      <w:r>
        <w:rPr>
          <w:rFonts w:ascii="Theinhardt Regular" w:hAnsi="Theinhardt Regular"/>
          <w:color w:val="231F20"/>
          <w:spacing w:val="1"/>
          <w:sz w:val="14"/>
        </w:rPr>
        <w:t>Mitbegründer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nebenamtlicher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Dozent</w:t>
      </w:r>
      <w:r>
        <w:rPr>
          <w:rFonts w:ascii="Theinhardt Regular" w:hAnsi="Theinhardt Regular"/>
          <w:color w:val="231F20"/>
          <w:spacing w:val="5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Nachdiplomstudium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Energie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Ingenieur-</w:t>
      </w:r>
      <w:r>
        <w:rPr>
          <w:rFonts w:ascii="Theinhardt Regular" w:hAnsi="Theinhardt Regular"/>
          <w:color w:val="231F20"/>
          <w:spacing w:val="3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schule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beider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Basel,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Muttenz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(später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FHNW)</w:t>
      </w:r>
    </w:p>
    <w:p w14:paraId="36E20C51" w14:textId="77777777" w:rsidR="00477EF6" w:rsidRDefault="00B42835">
      <w:pPr>
        <w:spacing w:before="56" w:line="160" w:lineRule="exact"/>
        <w:ind w:left="560" w:right="198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1987-1992: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Mitarbeit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Energiefachstelle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Kanton</w:t>
      </w:r>
      <w:r>
        <w:rPr>
          <w:rFonts w:ascii="Theinhardt Regular" w:hAnsi="Theinhardt Regular"/>
          <w:color w:val="231F20"/>
          <w:spacing w:val="42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Z</w:t>
      </w:r>
      <w:r>
        <w:rPr>
          <w:rFonts w:ascii="Theinhardt Regular" w:hAnsi="Theinhardt Regular"/>
          <w:color w:val="231F20"/>
          <w:spacing w:val="1"/>
          <w:sz w:val="14"/>
        </w:rPr>
        <w:t>ü</w:t>
      </w:r>
      <w:r>
        <w:rPr>
          <w:rFonts w:ascii="Theinhardt Regular" w:hAnsi="Theinhardt Regular"/>
          <w:color w:val="231F20"/>
          <w:spacing w:val="3"/>
          <w:sz w:val="14"/>
        </w:rPr>
        <w:t>r</w:t>
      </w:r>
      <w:r>
        <w:rPr>
          <w:rFonts w:ascii="Theinhardt Regular" w:hAnsi="Theinhardt Regular"/>
          <w:color w:val="231F20"/>
          <w:spacing w:val="2"/>
          <w:sz w:val="14"/>
        </w:rPr>
        <w:t>ich</w:t>
      </w:r>
    </w:p>
    <w:p w14:paraId="18FF59A4" w14:textId="77777777" w:rsidR="00477EF6" w:rsidRDefault="00B42835">
      <w:pPr>
        <w:spacing w:before="56" w:line="160" w:lineRule="exact"/>
        <w:ind w:left="560" w:right="111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1991: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5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Nullenergiehaus</w:t>
      </w:r>
      <w:r>
        <w:rPr>
          <w:rFonts w:ascii="Theinhardt Regular" w:hAnsi="Theinhardt Regular"/>
          <w:color w:val="231F20"/>
          <w:sz w:val="14"/>
        </w:rPr>
        <w:t xml:space="preserve"> an </w:t>
      </w:r>
      <w:r>
        <w:rPr>
          <w:rFonts w:ascii="Theinhardt Regular" w:hAnsi="Theinhardt Regular"/>
          <w:color w:val="231F20"/>
          <w:spacing w:val="1"/>
          <w:sz w:val="14"/>
        </w:rPr>
        <w:t>Forschungsausstellung</w:t>
      </w:r>
      <w:r>
        <w:rPr>
          <w:rFonts w:ascii="Theinhardt Regular" w:hAnsi="Theinhardt Regular"/>
          <w:color w:val="231F20"/>
          <w:spacing w:val="6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HEUREKA,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Zürich</w:t>
      </w:r>
    </w:p>
    <w:p w14:paraId="171EB6BB" w14:textId="77777777" w:rsidR="00477EF6" w:rsidRDefault="00B42835">
      <w:pPr>
        <w:spacing w:before="56" w:line="160" w:lineRule="exact"/>
        <w:ind w:left="560" w:right="198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Ab</w:t>
      </w:r>
      <w:r>
        <w:rPr>
          <w:rFonts w:ascii="Theinhardt Bold"/>
          <w:b/>
          <w:color w:val="231F20"/>
          <w:sz w:val="14"/>
        </w:rPr>
        <w:t xml:space="preserve"> 1993: </w:t>
      </w:r>
      <w:r>
        <w:rPr>
          <w:rFonts w:ascii="Theinhardt Regular"/>
          <w:color w:val="231F20"/>
          <w:spacing w:val="2"/>
          <w:sz w:val="14"/>
        </w:rPr>
        <w:t>Professur</w:t>
      </w:r>
      <w:r>
        <w:rPr>
          <w:rFonts w:ascii="Theinhardt Regular"/>
          <w:color w:val="231F20"/>
          <w:sz w:val="14"/>
        </w:rPr>
        <w:t xml:space="preserve"> FHNW: </w:t>
      </w:r>
      <w:r>
        <w:rPr>
          <w:rFonts w:ascii="Theinhardt Regular"/>
          <w:color w:val="231F20"/>
          <w:spacing w:val="1"/>
          <w:sz w:val="14"/>
        </w:rPr>
        <w:t>Aufbau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Leitung</w:t>
      </w:r>
      <w:r>
        <w:rPr>
          <w:rFonts w:ascii="Theinhardt Regular"/>
          <w:color w:val="231F20"/>
          <w:spacing w:val="28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Institut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Energie</w:t>
      </w:r>
      <w:r>
        <w:rPr>
          <w:rFonts w:ascii="Theinhardt Regular"/>
          <w:color w:val="231F20"/>
          <w:sz w:val="14"/>
        </w:rPr>
        <w:t xml:space="preserve"> am </w:t>
      </w:r>
      <w:r>
        <w:rPr>
          <w:rFonts w:ascii="Theinhardt Regular"/>
          <w:color w:val="231F20"/>
          <w:spacing w:val="1"/>
          <w:sz w:val="14"/>
        </w:rPr>
        <w:t>Bau</w:t>
      </w:r>
    </w:p>
    <w:p w14:paraId="1054E8B9" w14:textId="77777777" w:rsidR="00477EF6" w:rsidRDefault="00B42835">
      <w:pPr>
        <w:spacing w:before="56" w:line="160" w:lineRule="exact"/>
        <w:ind w:left="560" w:right="260" w:hanging="454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2002:</w:t>
      </w:r>
      <w:r>
        <w:rPr>
          <w:rFonts w:ascii="Theinhardt Bold" w:hAnsi="Theinhardt Bold"/>
          <w:b/>
          <w:color w:val="231F20"/>
          <w:spacing w:val="35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Organisation</w:t>
      </w:r>
      <w:r>
        <w:rPr>
          <w:rFonts w:ascii="Theinhardt Regular" w:hAnsi="Theinhardt Regular"/>
          <w:color w:val="231F20"/>
          <w:sz w:val="14"/>
        </w:rPr>
        <w:t xml:space="preserve"> 6. Europ. </w:t>
      </w:r>
      <w:r>
        <w:rPr>
          <w:rFonts w:ascii="Theinhardt Regular" w:hAnsi="Theinhardt Regular"/>
          <w:color w:val="231F20"/>
          <w:spacing w:val="2"/>
          <w:sz w:val="14"/>
        </w:rPr>
        <w:t>Passivhaustagung</w:t>
      </w:r>
      <w:r>
        <w:rPr>
          <w:rFonts w:ascii="Theinhardt Regular" w:hAnsi="Theinhardt Regular"/>
          <w:color w:val="231F20"/>
          <w:sz w:val="14"/>
        </w:rPr>
        <w:t xml:space="preserve"> in</w:t>
      </w:r>
      <w:r>
        <w:rPr>
          <w:rFonts w:ascii="Theinhardt Regular" w:hAnsi="Theinhardt Regular"/>
          <w:color w:val="231F20"/>
          <w:spacing w:val="5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Basel;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Entwicklung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Minergie-P-Baustandard</w:t>
      </w:r>
      <w:r>
        <w:rPr>
          <w:rFonts w:ascii="Theinhardt Regular" w:hAnsi="Theinhardt Regular"/>
          <w:color w:val="231F20"/>
          <w:spacing w:val="3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die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Kantone</w:t>
      </w:r>
    </w:p>
    <w:p w14:paraId="2470AAF2" w14:textId="77777777" w:rsidR="00477EF6" w:rsidRDefault="00B42835">
      <w:pPr>
        <w:spacing w:before="56" w:line="160" w:lineRule="exact"/>
        <w:ind w:left="560" w:right="198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Ab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2006: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Stv. </w:t>
      </w:r>
      <w:r>
        <w:rPr>
          <w:rFonts w:ascii="Theinhardt Regular" w:hAnsi="Theinhardt Regular"/>
          <w:color w:val="231F20"/>
          <w:spacing w:val="2"/>
          <w:sz w:val="14"/>
        </w:rPr>
        <w:t>Geschäftsführer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Minergie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Leiter</w:t>
      </w:r>
      <w:r>
        <w:rPr>
          <w:rFonts w:ascii="Theinhardt Regular" w:hAnsi="Theinhardt Regular"/>
          <w:color w:val="231F20"/>
          <w:spacing w:val="4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Minergie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Agentur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Bau: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Entwicklung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pacing w:val="32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Gebäudestandards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Betreuung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pacing w:val="24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Zertifizierungsstellen</w:t>
      </w:r>
    </w:p>
    <w:p w14:paraId="115AC010" w14:textId="77777777" w:rsidR="00477EF6" w:rsidRDefault="00B42835">
      <w:pPr>
        <w:spacing w:before="56" w:line="160" w:lineRule="exact"/>
        <w:ind w:left="560" w:right="260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2009-2011:</w:t>
      </w:r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Entwicklung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Gebäudeenergieausweis</w:t>
      </w:r>
      <w:r>
        <w:rPr>
          <w:rFonts w:ascii="Theinhardt Regular" w:hAnsi="Theinhardt Regular"/>
          <w:color w:val="231F20"/>
          <w:spacing w:val="4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Kantone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(GEAK),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später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GEAK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Plus;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Entwicklung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Minergie-A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(Null-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Plusener-</w:t>
      </w:r>
      <w:r>
        <w:rPr>
          <w:rFonts w:ascii="Theinhardt Regular" w:hAnsi="Theinhardt Regular"/>
          <w:color w:val="231F20"/>
          <w:spacing w:val="3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giehaus-Standard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Minergie)</w:t>
      </w:r>
    </w:p>
    <w:p w14:paraId="6186D77D" w14:textId="77777777" w:rsidR="00477EF6" w:rsidRDefault="00B42835">
      <w:pPr>
        <w:spacing w:before="56" w:line="160" w:lineRule="exact"/>
        <w:ind w:left="560" w:right="198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Ab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2012: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Selbständiger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Berater</w:t>
      </w:r>
      <w:r>
        <w:rPr>
          <w:rFonts w:ascii="Theinhardt Regular" w:hAnsi="Theinhardt Regular"/>
          <w:color w:val="231F20"/>
          <w:sz w:val="14"/>
        </w:rPr>
        <w:t xml:space="preserve"> im </w:t>
      </w:r>
      <w:r>
        <w:rPr>
          <w:rFonts w:ascii="Theinhardt Regular" w:hAnsi="Theinhardt Regular"/>
          <w:color w:val="231F20"/>
          <w:spacing w:val="2"/>
          <w:sz w:val="14"/>
        </w:rPr>
        <w:t>Bereich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energie-</w:t>
      </w:r>
      <w:r>
        <w:rPr>
          <w:rFonts w:ascii="Theinhardt Regular" w:hAnsi="Theinhardt Regular"/>
          <w:color w:val="231F20"/>
          <w:spacing w:val="3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effizientes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Bauen</w:t>
      </w:r>
    </w:p>
    <w:p w14:paraId="0D05C0A9" w14:textId="77777777" w:rsidR="00477EF6" w:rsidRDefault="00477EF6">
      <w:pPr>
        <w:spacing w:before="2"/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30BCDC9A" w14:textId="77777777" w:rsidR="00477EF6" w:rsidRDefault="00B42835">
      <w:pPr>
        <w:spacing w:line="117" w:lineRule="exact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pict w14:anchorId="52F59843">
          <v:group id="_x0000_s1042" style="position:absolute;left:0;text-align:left;margin-left:385.7pt;margin-top:11.2pt;width:.1pt;height:.1pt;z-index:-4912;mso-position-horizontal-relative:page" coordorigin="7714,224" coordsize="2,2">
            <v:shape id="_x0000_s1043" style="position:absolute;left:7714;top:224;width:2;height:2" coordorigin="7714,224" coordsize="0,0" path="m7714,224r,e" filled="f" strokecolor="#231f20" strokeweight=".14994mm">
              <v:path arrowok="t"/>
            </v:shape>
            <w10:wrap anchorx="page"/>
          </v:group>
        </w:pict>
      </w:r>
      <w:r>
        <w:pict w14:anchorId="32DF282B">
          <v:group id="_x0000_s1040" style="position:absolute;left:0;text-align:left;margin-left:552.55pt;margin-top:11.2pt;width:.1pt;height:.1pt;z-index:1144;mso-position-horizontal-relative:page" coordorigin="11051,224" coordsize="2,2">
            <v:shape id="_x0000_s1041" style="position:absolute;left:11051;top:224;width:2;height:2" coordorigin="11051,224" coordsize="0,0" path="m11051,224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Black"/>
          <w:b/>
          <w:color w:val="231F20"/>
          <w:spacing w:val="2"/>
          <w:sz w:val="14"/>
        </w:rPr>
        <w:t>Wichtigste</w:t>
      </w:r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2"/>
          <w:sz w:val="14"/>
        </w:rPr>
        <w:t>Publikationen</w:t>
      </w:r>
    </w:p>
    <w:p w14:paraId="5867C52E" w14:textId="77777777" w:rsidR="00477EF6" w:rsidRDefault="00477EF6">
      <w:pPr>
        <w:spacing w:line="117" w:lineRule="exact"/>
        <w:rPr>
          <w:rFonts w:ascii="Theinhardt Black" w:eastAsia="Theinhardt Black" w:hAnsi="Theinhardt Black" w:cs="Theinhardt Black"/>
          <w:sz w:val="14"/>
          <w:szCs w:val="14"/>
        </w:rPr>
        <w:sectPr w:rsidR="00477EF6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63" w:space="109"/>
            <w:col w:w="3460" w:space="112"/>
            <w:col w:w="3566"/>
          </w:cols>
        </w:sectPr>
      </w:pPr>
    </w:p>
    <w:p w14:paraId="20044942" w14:textId="77777777" w:rsidR="00477EF6" w:rsidRDefault="00B42835">
      <w:pPr>
        <w:pStyle w:val="berschrift1"/>
        <w:spacing w:line="199" w:lineRule="exact"/>
      </w:pPr>
      <w:r>
        <w:rPr>
          <w:color w:val="231F20"/>
          <w:spacing w:val="-2"/>
        </w:rPr>
        <w:t>energieausweise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Kantone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(GEAK).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Dazu</w:t>
      </w:r>
    </w:p>
    <w:p w14:paraId="5F7B30C2" w14:textId="77777777" w:rsidR="00477EF6" w:rsidRDefault="00B42835">
      <w:pPr>
        <w:pStyle w:val="Textkrper"/>
        <w:tabs>
          <w:tab w:val="left" w:pos="3699"/>
          <w:tab w:val="left" w:pos="7010"/>
        </w:tabs>
        <w:spacing w:line="200" w:lineRule="exact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2"/>
        </w:rPr>
        <w:t>officiels)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fourni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services,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exemple</w:t>
      </w:r>
      <w:r>
        <w:rPr>
          <w:color w:val="231F20"/>
        </w:rPr>
        <w:tab/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140A5CC5" w14:textId="77777777" w:rsidR="00477EF6" w:rsidRDefault="00477EF6">
      <w:pPr>
        <w:spacing w:line="200" w:lineRule="exact"/>
        <w:sectPr w:rsidR="00477EF6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51" w:space="120"/>
            <w:col w:w="7139"/>
          </w:cols>
        </w:sectPr>
      </w:pPr>
    </w:p>
    <w:p w14:paraId="6C95A052" w14:textId="77777777" w:rsidR="00477EF6" w:rsidRDefault="00B42835">
      <w:pPr>
        <w:pStyle w:val="berschrift1"/>
        <w:spacing w:line="232" w:lineRule="auto"/>
        <w:jc w:val="both"/>
      </w:pPr>
      <w:r>
        <w:rPr>
          <w:color w:val="231F20"/>
          <w:spacing w:val="-2"/>
        </w:rPr>
        <w:t>erbrachte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Dienstleistungen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wie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Lei-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tung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Pilotregion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Basel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2000-Watt-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Gesellschaft.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2002/2003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entwickelte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Prof.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Binz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für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Schweizer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Kantone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Super-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4"/>
        </w:rPr>
        <w:t>B</w:t>
      </w:r>
      <w:r>
        <w:rPr>
          <w:color w:val="231F20"/>
          <w:spacing w:val="-1"/>
        </w:rPr>
        <w:t>aus</w:t>
      </w:r>
      <w:r>
        <w:rPr>
          <w:color w:val="231F20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r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ine</w:t>
      </w:r>
      <w:r>
        <w:rPr>
          <w:color w:val="231F20"/>
          <w:spacing w:val="-7"/>
        </w:rPr>
        <w:t>r</w:t>
      </w:r>
      <w:r>
        <w:rPr>
          <w:color w:val="231F20"/>
          <w:spacing w:val="-1"/>
        </w:rPr>
        <w:t>gie</w:t>
      </w:r>
      <w:r>
        <w:rPr>
          <w:color w:val="231F20"/>
        </w:rPr>
        <w:t>-</w:t>
      </w:r>
      <w:r>
        <w:rPr>
          <w:color w:val="231F20"/>
          <w:spacing w:val="-30"/>
        </w:rPr>
        <w:t>P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Auc</w:t>
      </w:r>
      <w:r>
        <w:rPr>
          <w:color w:val="231F20"/>
        </w:rPr>
        <w:t>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u</w:t>
      </w:r>
      <w:r>
        <w:rPr>
          <w:color w:val="231F20"/>
        </w:rPr>
        <w:t>l</w:t>
      </w:r>
      <w:r>
        <w:rPr>
          <w:color w:val="231F20"/>
          <w:spacing w:val="-1"/>
        </w:rPr>
        <w:t>lener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giehäusern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nachhaltigen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Siedlungspla-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nungen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war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federführend.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Ausserdem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Verfasser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oder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Mitautor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zahlreichen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Publikationen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über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Energie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Energieef-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fizienz.</w:t>
      </w:r>
    </w:p>
    <w:p w14:paraId="433450D1" w14:textId="77777777" w:rsidR="00477EF6" w:rsidRDefault="00B42835">
      <w:pPr>
        <w:spacing w:line="232" w:lineRule="auto"/>
        <w:ind w:left="106" w:right="8" w:firstLine="22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1"/>
          <w:sz w:val="18"/>
        </w:rPr>
        <w:t>Heute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begleitet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und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berät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4"/>
          <w:sz w:val="18"/>
        </w:rPr>
        <w:t>Prof.</w:t>
      </w:r>
      <w:r>
        <w:rPr>
          <w:rFonts w:ascii="Theinhardt Regular" w:hAnsi="Theinhardt Regular"/>
          <w:color w:val="231F20"/>
          <w:spacing w:val="-5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Binz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For-</w:t>
      </w:r>
      <w:r>
        <w:rPr>
          <w:rFonts w:ascii="Theinhardt Regular" w:hAnsi="Theinhardt Regular"/>
          <w:color w:val="231F20"/>
          <w:spacing w:val="35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schungsprojekte</w:t>
      </w:r>
      <w:r>
        <w:rPr>
          <w:rFonts w:ascii="Theinhardt Regular" w:hAnsi="Theinhardt Regular"/>
          <w:color w:val="231F20"/>
          <w:spacing w:val="-6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im</w:t>
      </w:r>
      <w:r>
        <w:rPr>
          <w:rFonts w:ascii="Theinhardt Regular" w:hAnsi="Theinhardt Regular"/>
          <w:color w:val="231F20"/>
          <w:spacing w:val="-6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Bereich</w:t>
      </w:r>
      <w:r>
        <w:rPr>
          <w:rFonts w:ascii="Theinhardt Regular" w:hAnsi="Theinhardt Regular"/>
          <w:color w:val="231F20"/>
          <w:spacing w:val="-6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des</w:t>
      </w:r>
      <w:r>
        <w:rPr>
          <w:rFonts w:ascii="Theinhardt Regular" w:hAnsi="Theinhardt Regular"/>
          <w:color w:val="231F20"/>
          <w:spacing w:val="-6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energieeffi-</w:t>
      </w:r>
      <w:r>
        <w:rPr>
          <w:rFonts w:ascii="Theinhardt Regular" w:hAnsi="Theinhardt Regular"/>
          <w:color w:val="231F20"/>
          <w:spacing w:val="45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zienten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Bauens.</w:t>
      </w:r>
      <w:r>
        <w:rPr>
          <w:rFonts w:ascii="Theinhardt Regular" w:hAnsi="Theinhardt Regular"/>
          <w:color w:val="231F20"/>
          <w:spacing w:val="-1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Ab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2016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leitete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er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vor</w:t>
      </w:r>
      <w:r>
        <w:rPr>
          <w:rFonts w:ascii="Theinhardt Regular" w:hAnsi="Theinhardt Regular"/>
          <w:color w:val="231F20"/>
          <w:spacing w:val="-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allem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-4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Entwicklung</w:t>
      </w:r>
      <w:r>
        <w:rPr>
          <w:rFonts w:ascii="Theinhardt Regular" w:hAnsi="Theinhardt Regular"/>
          <w:color w:val="231F20"/>
          <w:spacing w:val="-4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der</w:t>
      </w:r>
      <w:r>
        <w:rPr>
          <w:rFonts w:ascii="Theinhardt Regular" w:hAnsi="Theinhardt Regular"/>
          <w:color w:val="231F20"/>
          <w:spacing w:val="-4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Gebäudestandards</w:t>
      </w:r>
      <w:r>
        <w:rPr>
          <w:rFonts w:ascii="Theinhardt Regular" w:hAnsi="Theinhardt Regular"/>
          <w:color w:val="231F20"/>
          <w:spacing w:val="-4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und</w:t>
      </w:r>
      <w:r>
        <w:rPr>
          <w:rFonts w:ascii="Theinhardt Regular" w:hAnsi="Theinhardt Regular"/>
          <w:color w:val="231F20"/>
          <w:spacing w:val="36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seit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2017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berät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er</w:t>
      </w:r>
      <w:r>
        <w:rPr>
          <w:rFonts w:ascii="Theinhardt Regular" w:hAnsi="Theinhardt Regular"/>
          <w:color w:val="231F20"/>
          <w:spacing w:val="5"/>
          <w:sz w:val="18"/>
        </w:rPr>
        <w:t xml:space="preserve"> </w:t>
      </w:r>
      <w:r>
        <w:rPr>
          <w:rFonts w:ascii="Theinhardt Regular" w:hAnsi="Theinhardt Regular"/>
          <w:color w:val="231F20"/>
          <w:spacing w:val="-2"/>
          <w:sz w:val="18"/>
        </w:rPr>
        <w:t>Gebäudeenergieprojekte</w:t>
      </w:r>
      <w:r>
        <w:rPr>
          <w:rFonts w:ascii="Theinhardt Regular" w:hAnsi="Theinhardt Regular"/>
          <w:color w:val="231F20"/>
          <w:spacing w:val="38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in</w:t>
      </w:r>
      <w:r>
        <w:rPr>
          <w:rFonts w:ascii="Theinhardt Regular" w:hAnsi="Theinhardt Regular"/>
          <w:color w:val="231F20"/>
          <w:spacing w:val="-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Südamerika</w:t>
      </w:r>
      <w:r>
        <w:rPr>
          <w:rFonts w:ascii="Theinhardt Regular" w:hAnsi="Theinhardt Regular"/>
          <w:color w:val="231F20"/>
          <w:spacing w:val="-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und</w:t>
      </w:r>
      <w:r>
        <w:rPr>
          <w:rFonts w:ascii="Theinhardt Regular" w:hAnsi="Theinhardt Regular"/>
          <w:color w:val="231F20"/>
          <w:spacing w:val="-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China.</w:t>
      </w:r>
    </w:p>
    <w:p w14:paraId="490D3279" w14:textId="77777777" w:rsidR="00477EF6" w:rsidRDefault="00B42835">
      <w:pPr>
        <w:pStyle w:val="Textkrper"/>
        <w:spacing w:line="232" w:lineRule="auto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1"/>
        </w:rPr>
        <w:t>pour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gérer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région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pilote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Bâle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soci-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été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2’000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watts.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2002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2003,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Armin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Binz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développé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norme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construction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Minergie-P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pour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cantons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suisses.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Auteur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co-auteur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nombreuses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publications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l’énergie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l’efficacité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énergétique,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aussi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contribué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construire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maisons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zéro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éner-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gie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planifier</w:t>
      </w:r>
      <w:r>
        <w:rPr>
          <w:color w:val="231F20"/>
          <w:spacing w:val="-2"/>
        </w:rPr>
        <w:t xml:space="preserve"> des lotissements </w:t>
      </w:r>
      <w:r>
        <w:rPr>
          <w:color w:val="231F20"/>
          <w:spacing w:val="-1"/>
        </w:rPr>
        <w:t>durables.</w:t>
      </w:r>
    </w:p>
    <w:p w14:paraId="1A562FEA" w14:textId="77777777" w:rsidR="00477EF6" w:rsidRDefault="00B42835">
      <w:pPr>
        <w:pStyle w:val="Textkrper"/>
        <w:spacing w:line="232" w:lineRule="auto"/>
        <w:ind w:firstLine="226"/>
        <w:jc w:val="both"/>
        <w:rPr>
          <w:i w:val="0"/>
        </w:rPr>
      </w:pPr>
      <w:r>
        <w:rPr>
          <w:color w:val="231F20"/>
          <w:spacing w:val="-2"/>
        </w:rPr>
        <w:t>Aujourd’hui,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professeur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Binz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encadre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projets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recherche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construction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ef-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ficiente.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2016,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été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principa-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lement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responsable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développement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normes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construction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depuis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2017,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met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connaissances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service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projets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construction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énergétique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Amérique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 xml:space="preserve">Sud </w:t>
      </w:r>
      <w:r>
        <w:rPr>
          <w:color w:val="231F20"/>
          <w:spacing w:val="-1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 xml:space="preserve"> Chine.</w:t>
      </w:r>
    </w:p>
    <w:p w14:paraId="7778E352" w14:textId="77777777" w:rsidR="00477EF6" w:rsidRDefault="00B42835">
      <w:pPr>
        <w:spacing w:before="59" w:line="205" w:lineRule="auto"/>
        <w:ind w:left="106" w:right="111"/>
        <w:rPr>
          <w:rFonts w:ascii="Theinhardt Regular" w:eastAsia="Theinhardt Regular" w:hAnsi="Theinhardt Regular" w:cs="Theinhardt Regular"/>
          <w:sz w:val="14"/>
          <w:szCs w:val="14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Energieeffizientes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Bauen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–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Konzepte,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Kriterien,</w:t>
      </w:r>
      <w:r>
        <w:rPr>
          <w:rFonts w:ascii="Theinhardt Bold" w:eastAsia="Theinhardt Bold" w:hAnsi="Theinhardt Bold" w:cs="Theinhardt Bold"/>
          <w:b/>
          <w:bCs/>
          <w:color w:val="231F20"/>
          <w:spacing w:val="54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Systeme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,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Binz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et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al,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2014,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überarbeitet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2020,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als</w:t>
      </w:r>
      <w:r>
        <w:rPr>
          <w:rFonts w:ascii="Theinhardt Regular" w:eastAsia="Theinhardt Regular" w:hAnsi="Theinhardt Regular" w:cs="Theinhardt Regular"/>
          <w:color w:val="231F20"/>
          <w:spacing w:val="3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Download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(kostenfrei)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bei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EnergieSchweiz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oder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als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Buch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beim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Faktor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Verlag</w:t>
      </w:r>
      <w:hyperlink r:id="rId5">
        <w:r>
          <w:rPr>
            <w:rFonts w:ascii="Theinhardt Regular" w:eastAsia="Theinhardt Regular" w:hAnsi="Theinhardt Regular" w:cs="Theinhardt Regular"/>
            <w:color w:val="231F20"/>
            <w:spacing w:val="1"/>
            <w:sz w:val="14"/>
            <w:szCs w:val="14"/>
          </w:rPr>
          <w:t>,</w:t>
        </w:r>
        <w:r>
          <w:rPr>
            <w:rFonts w:ascii="Theinhardt Regular" w:eastAsia="Theinhardt Regular" w:hAnsi="Theinhardt Regular" w:cs="Theinhardt Regular"/>
            <w:color w:val="231F20"/>
            <w:sz w:val="14"/>
            <w:szCs w:val="14"/>
          </w:rPr>
          <w:t xml:space="preserve"> </w:t>
        </w:r>
        <w:r>
          <w:rPr>
            <w:rFonts w:ascii="Theinhardt Regular" w:eastAsia="Theinhardt Regular" w:hAnsi="Theinhardt Regular" w:cs="Theinhardt Regular"/>
            <w:color w:val="231F20"/>
            <w:spacing w:val="1"/>
            <w:sz w:val="14"/>
            <w:szCs w:val="14"/>
          </w:rPr>
          <w:t>www.faktor.ch</w:t>
        </w:r>
      </w:hyperlink>
    </w:p>
    <w:p w14:paraId="73B5AD48" w14:textId="77777777" w:rsidR="00477EF6" w:rsidRDefault="00B42835">
      <w:pPr>
        <w:spacing w:before="47" w:line="160" w:lineRule="exact"/>
        <w:ind w:left="106" w:right="11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Energetische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Gebäudeerneuerung</w:t>
      </w:r>
      <w:r>
        <w:rPr>
          <w:rFonts w:ascii="Theinhardt Regular" w:hAnsi="Theinhardt Regular"/>
          <w:color w:val="231F20"/>
          <w:spacing w:val="1"/>
          <w:sz w:val="14"/>
        </w:rPr>
        <w:t>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SIA-Dokumenta-</w:t>
      </w:r>
      <w:r>
        <w:rPr>
          <w:rFonts w:ascii="Theinhardt Regular" w:hAnsi="Theinhardt Regular"/>
          <w:color w:val="231F20"/>
          <w:spacing w:val="3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tion</w:t>
      </w:r>
      <w:r>
        <w:rPr>
          <w:rFonts w:ascii="Theinhardt Regular" w:hAnsi="Theinhardt Regular"/>
          <w:color w:val="231F20"/>
          <w:sz w:val="14"/>
        </w:rPr>
        <w:t xml:space="preserve"> D </w:t>
      </w:r>
      <w:r>
        <w:rPr>
          <w:rFonts w:ascii="Theinhardt Regular" w:hAnsi="Theinhardt Regular"/>
          <w:color w:val="231F20"/>
          <w:spacing w:val="-1"/>
          <w:sz w:val="14"/>
        </w:rPr>
        <w:t>0249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zum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Merkblatt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SIA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2047,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2017</w:t>
      </w:r>
    </w:p>
    <w:p w14:paraId="1BC5A3F6" w14:textId="77777777" w:rsidR="00477EF6" w:rsidRDefault="00B42835">
      <w:pPr>
        <w:spacing w:before="108" w:line="200" w:lineRule="auto"/>
        <w:ind w:left="106" w:right="11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Energierespekt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–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Schlüssel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für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nachhalti-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ge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Energieversorgung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,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mit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R.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Bacher,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H.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Eicher,</w:t>
      </w:r>
    </w:p>
    <w:p w14:paraId="082FD123" w14:textId="77777777" w:rsidR="00477EF6" w:rsidRDefault="00B42835">
      <w:pPr>
        <w:spacing w:line="168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Iten,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M.</w:t>
      </w:r>
      <w:r>
        <w:rPr>
          <w:rFonts w:ascii="Theinhardt Regular"/>
          <w:color w:val="231F20"/>
          <w:sz w:val="14"/>
        </w:rPr>
        <w:t xml:space="preserve"> Keller, </w:t>
      </w:r>
      <w:r>
        <w:rPr>
          <w:rFonts w:ascii="Theinhardt Regular"/>
          <w:color w:val="231F20"/>
          <w:spacing w:val="2"/>
          <w:sz w:val="14"/>
        </w:rPr>
        <w:t>Faktor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Verlag,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2014</w:t>
      </w:r>
    </w:p>
    <w:p w14:paraId="2D76EB1B" w14:textId="77777777" w:rsidR="00477EF6" w:rsidRDefault="00B42835">
      <w:pPr>
        <w:spacing w:before="32"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Erneuerbare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Energien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Architektur</w:t>
      </w:r>
      <w:r>
        <w:rPr>
          <w:rFonts w:ascii="Theinhardt Regular"/>
          <w:color w:val="231F20"/>
          <w:spacing w:val="1"/>
          <w:sz w:val="14"/>
        </w:rPr>
        <w:t>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mit</w:t>
      </w:r>
    </w:p>
    <w:p w14:paraId="462637E9" w14:textId="77777777" w:rsidR="00477EF6" w:rsidRDefault="00B42835">
      <w:pPr>
        <w:spacing w:before="6" w:line="207" w:lineRule="auto"/>
        <w:ind w:left="106" w:right="11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E.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Labhard,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Binz,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T.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Zanoni,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Impulsprogramm</w:t>
      </w:r>
      <w:r>
        <w:rPr>
          <w:rFonts w:ascii="Theinhardt Regular" w:hAnsi="Theinhardt Regular"/>
          <w:color w:val="231F20"/>
          <w:spacing w:val="46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PACER, </w:t>
      </w:r>
      <w:r>
        <w:rPr>
          <w:rFonts w:ascii="Theinhardt Regular" w:hAnsi="Theinhardt Regular"/>
          <w:color w:val="231F20"/>
          <w:spacing w:val="2"/>
          <w:sz w:val="14"/>
        </w:rPr>
        <w:t>Bundesamt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Konjunkturfragen,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Bern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1995,</w:t>
      </w:r>
      <w:hyperlink r:id="rId6">
        <w:r>
          <w:rPr>
            <w:rFonts w:ascii="Theinhardt Regular" w:hAnsi="Theinhardt Regular"/>
            <w:color w:val="231F20"/>
            <w:spacing w:val="22"/>
            <w:sz w:val="14"/>
          </w:rPr>
          <w:t xml:space="preserve"> </w:t>
        </w:r>
        <w:r>
          <w:rPr>
            <w:rFonts w:ascii="Theinhardt Regular" w:hAnsi="Theinhardt Regular"/>
            <w:color w:val="231F20"/>
            <w:spacing w:val="1"/>
            <w:sz w:val="14"/>
          </w:rPr>
          <w:t>www.arminbinz.ch</w:t>
        </w:r>
      </w:hyperlink>
    </w:p>
    <w:p w14:paraId="433BBBF6" w14:textId="77777777" w:rsidR="00477EF6" w:rsidRDefault="00B42835">
      <w:pPr>
        <w:spacing w:before="46" w:line="160" w:lineRule="exact"/>
        <w:ind w:left="106" w:right="198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Energiebewusstes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Bauen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mit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dem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Klima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pacing w:val="27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Sonne</w:t>
      </w:r>
      <w:r>
        <w:rPr>
          <w:rFonts w:ascii="Theinhardt Regular"/>
          <w:color w:val="231F20"/>
          <w:spacing w:val="1"/>
          <w:sz w:val="14"/>
        </w:rPr>
        <w:t>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SES-Report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Nr.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13,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198</w:t>
      </w:r>
      <w:hyperlink r:id="rId7">
        <w:r>
          <w:rPr>
            <w:rFonts w:ascii="Theinhardt Regular"/>
            <w:color w:val="231F20"/>
            <w:spacing w:val="-1"/>
            <w:sz w:val="14"/>
          </w:rPr>
          <w:t>3,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www.arminbinz.ch</w:t>
        </w:r>
      </w:hyperlink>
    </w:p>
    <w:p w14:paraId="65A6AFCC" w14:textId="77777777" w:rsidR="00477EF6" w:rsidRDefault="00477EF6">
      <w:pPr>
        <w:spacing w:before="11"/>
        <w:rPr>
          <w:rFonts w:ascii="Theinhardt Regular" w:eastAsia="Theinhardt Regular" w:hAnsi="Theinhardt Regular" w:cs="Theinhardt Regular"/>
          <w:sz w:val="15"/>
          <w:szCs w:val="15"/>
        </w:rPr>
      </w:pPr>
    </w:p>
    <w:p w14:paraId="46B3005F" w14:textId="77777777" w:rsidR="00477EF6" w:rsidRDefault="00B42835">
      <w:pPr>
        <w:tabs>
          <w:tab w:val="left" w:pos="3439"/>
        </w:tabs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  <w:u w:val="dotted" w:color="231F20"/>
        </w:rPr>
        <w:t>Kontak</w:t>
      </w:r>
      <w:r>
        <w:rPr>
          <w:rFonts w:ascii="Theinhardt Black"/>
          <w:b/>
          <w:color w:val="231F20"/>
          <w:spacing w:val="-25"/>
          <w:sz w:val="14"/>
          <w:u w:val="dotted" w:color="231F20"/>
        </w:rPr>
        <w:t xml:space="preserve"> </w:t>
      </w:r>
      <w:r>
        <w:rPr>
          <w:rFonts w:ascii="Theinhardt Black"/>
          <w:b/>
          <w:color w:val="231F20"/>
          <w:sz w:val="14"/>
          <w:u w:val="dotted" w:color="231F20"/>
        </w:rPr>
        <w:t xml:space="preserve">t </w:t>
      </w:r>
      <w:r>
        <w:rPr>
          <w:rFonts w:ascii="Theinhardt Black"/>
          <w:b/>
          <w:color w:val="231F20"/>
          <w:sz w:val="14"/>
          <w:u w:val="dotted" w:color="231F20"/>
        </w:rPr>
        <w:tab/>
      </w:r>
    </w:p>
    <w:p w14:paraId="5C221F7E" w14:textId="77777777" w:rsidR="00477EF6" w:rsidRDefault="00477EF6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241EFC97" w14:textId="77777777" w:rsidR="00477EF6" w:rsidRDefault="00B42835">
      <w:pPr>
        <w:tabs>
          <w:tab w:val="left" w:pos="3443"/>
        </w:tabs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5723D17F">
          <v:group id="_x0000_s1037" style="width:.45pt;height:.45pt;mso-position-horizontal-relative:char;mso-position-vertical-relative:line" coordsize="9,9">
            <v:group id="_x0000_s1038" style="position:absolute;left:4;top:4;width:2;height:2" coordorigin="4,4" coordsize="2,2">
              <v:shape id="_x0000_s1039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7E176D4A">
          <v:group id="_x0000_s1034" style="width:.45pt;height:.45pt;mso-position-horizontal-relative:char;mso-position-vertical-relative:line" coordsize="9,9">
            <v:group id="_x0000_s1035" style="position:absolute;left:4;top:4;width:2;height:2" coordorigin="4,4" coordsize="2,2">
              <v:shape id="_x0000_s1036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</w:p>
    <w:p w14:paraId="53CD0233" w14:textId="77777777" w:rsidR="00477EF6" w:rsidRDefault="00B42835">
      <w:pPr>
        <w:spacing w:before="28" w:line="160" w:lineRule="exact"/>
        <w:ind w:left="106" w:right="68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Armin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Binz,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Binz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Energie</w:t>
      </w:r>
      <w:r>
        <w:rPr>
          <w:rFonts w:ascii="Theinhardt Regular" w:hAnsi="Theinhardt Regular"/>
          <w:color w:val="231F20"/>
          <w:sz w:val="14"/>
        </w:rPr>
        <w:t xml:space="preserve"> am </w:t>
      </w:r>
      <w:r>
        <w:rPr>
          <w:rFonts w:ascii="Theinhardt Regular" w:hAnsi="Theinhardt Regular"/>
          <w:color w:val="231F20"/>
          <w:spacing w:val="1"/>
          <w:sz w:val="14"/>
        </w:rPr>
        <w:t>Bau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GmbH</w:t>
      </w:r>
      <w:r>
        <w:rPr>
          <w:rFonts w:ascii="Theinhardt Regular" w:hAnsi="Theinhardt Regular"/>
          <w:color w:val="231F20"/>
          <w:spacing w:val="3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Eichtalhöhe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10e,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5400</w:t>
      </w:r>
      <w:r>
        <w:rPr>
          <w:rFonts w:ascii="Theinhardt Regular" w:hAnsi="Theinhardt Regular"/>
          <w:color w:val="231F20"/>
          <w:sz w:val="14"/>
        </w:rPr>
        <w:t xml:space="preserve"> Baden/AG</w:t>
      </w:r>
      <w:hyperlink r:id="rId8">
        <w:r>
          <w:rPr>
            <w:rFonts w:ascii="Theinhardt Regular" w:hAnsi="Theinhardt Regular"/>
            <w:color w:val="231F20"/>
            <w:spacing w:val="34"/>
            <w:sz w:val="14"/>
          </w:rPr>
          <w:t xml:space="preserve"> </w:t>
        </w:r>
        <w:r>
          <w:rPr>
            <w:rFonts w:ascii="Theinhardt Regular" w:hAnsi="Theinhardt Regular"/>
            <w:color w:val="231F20"/>
            <w:spacing w:val="1"/>
            <w:sz w:val="14"/>
          </w:rPr>
          <w:t>armin.binz@arminbinz.ch,</w:t>
        </w:r>
      </w:hyperlink>
      <w:r>
        <w:rPr>
          <w:rFonts w:ascii="Theinhardt Regular" w:hAnsi="Theinhardt Regular"/>
          <w:color w:val="231F20"/>
          <w:sz w:val="14"/>
        </w:rPr>
        <w:t xml:space="preserve"> </w:t>
      </w:r>
      <w:hyperlink r:id="rId9">
        <w:r>
          <w:rPr>
            <w:rFonts w:ascii="Theinhardt Regular" w:hAnsi="Theinhardt Regular"/>
            <w:color w:val="231F20"/>
            <w:spacing w:val="1"/>
            <w:sz w:val="14"/>
          </w:rPr>
          <w:t>www.arminbinz.ch</w:t>
        </w:r>
      </w:hyperlink>
    </w:p>
    <w:p w14:paraId="7ADA3418" w14:textId="77777777" w:rsidR="00477EF6" w:rsidRDefault="00477EF6">
      <w:pPr>
        <w:spacing w:line="160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477EF6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63" w:space="109"/>
            <w:col w:w="3453" w:space="119"/>
            <w:col w:w="3566"/>
          </w:cols>
        </w:sectPr>
      </w:pPr>
    </w:p>
    <w:p w14:paraId="200D6732" w14:textId="77777777" w:rsidR="00477EF6" w:rsidRDefault="00477EF6">
      <w:pPr>
        <w:spacing w:before="13"/>
        <w:rPr>
          <w:rFonts w:ascii="Theinhardt Regular" w:eastAsia="Theinhardt Regular" w:hAnsi="Theinhardt Regular" w:cs="Theinhardt Regular"/>
          <w:sz w:val="3"/>
          <w:szCs w:val="3"/>
        </w:rPr>
      </w:pPr>
    </w:p>
    <w:p w14:paraId="38609B4C" w14:textId="765E2CE3" w:rsidR="00477EF6" w:rsidRPr="00B42835" w:rsidRDefault="00B42835" w:rsidP="00B42835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2360419A">
          <v:group id="_x0000_s1027" style="width:167.25pt;height:.45pt;mso-position-horizontal-relative:char;mso-position-vertical-relative:line" coordsize="3345,9">
            <v:group id="_x0000_s1032" style="position:absolute;left:21;top:4;width:3311;height:2" coordorigin="21,4" coordsize="3311,2">
              <v:shape id="_x0000_s103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8" style="position:absolute;left:3341;top:4;width:2;height:2" coordorigin="3341,4" coordsize="2,2">
              <v:shape id="_x0000_s102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D329690" w14:textId="77777777" w:rsidR="00477EF6" w:rsidRDefault="00477EF6">
      <w:pPr>
        <w:spacing w:before="7"/>
        <w:rPr>
          <w:rFonts w:ascii="Theinhardt Regular" w:eastAsia="Theinhardt Regular" w:hAnsi="Theinhardt Regular" w:cs="Theinhardt Regular"/>
          <w:sz w:val="21"/>
          <w:szCs w:val="21"/>
        </w:rPr>
      </w:pPr>
    </w:p>
    <w:p w14:paraId="48C6F7FD" w14:textId="77777777" w:rsidR="00477EF6" w:rsidRDefault="00B42835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14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2020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2020</w:t>
      </w:r>
    </w:p>
    <w:p w14:paraId="1424917C" w14:textId="77777777" w:rsidR="00477EF6" w:rsidRDefault="00477EF6">
      <w:pPr>
        <w:rPr>
          <w:rFonts w:ascii="Theinhardt Regular" w:eastAsia="Theinhardt Regular" w:hAnsi="Theinhardt Regular" w:cs="Theinhardt Regular"/>
          <w:sz w:val="14"/>
          <w:szCs w:val="14"/>
        </w:rPr>
        <w:sectPr w:rsidR="00477EF6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59EDFD17" w14:textId="77777777" w:rsidR="00477EF6" w:rsidRDefault="00477EF6">
      <w:pPr>
        <w:spacing w:before="6"/>
        <w:rPr>
          <w:rFonts w:ascii="Theinhardt Regular" w:eastAsia="Theinhardt Regular" w:hAnsi="Theinhardt Regular" w:cs="Theinhardt Regular"/>
          <w:sz w:val="5"/>
          <w:szCs w:val="5"/>
        </w:rPr>
      </w:pPr>
    </w:p>
    <w:p w14:paraId="1A133A4B" w14:textId="77777777" w:rsidR="00477EF6" w:rsidRDefault="00B42835">
      <w:pPr>
        <w:tabs>
          <w:tab w:val="left" w:pos="4854"/>
        </w:tabs>
        <w:spacing w:line="200" w:lineRule="atLeast"/>
        <w:ind w:left="11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/>
          <w:noProof/>
          <w:sz w:val="20"/>
        </w:rPr>
        <w:drawing>
          <wp:inline distT="0" distB="0" distL="0" distR="0" wp14:anchorId="3EC1829E" wp14:editId="20BCC0CA">
            <wp:extent cx="2738642" cy="3855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642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  <w:tab/>
      </w:r>
      <w:r>
        <w:rPr>
          <w:rFonts w:ascii="Theinhardt Regular"/>
          <w:sz w:val="20"/>
        </w:rPr>
      </w:r>
      <w:r>
        <w:rPr>
          <w:rFonts w:ascii="Theinhardt Regular"/>
          <w:sz w:val="20"/>
        </w:rPr>
        <w:pict w14:anchorId="2C8ED3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86.05pt;height:303.05pt;mso-left-percent:-10001;mso-top-percent:-10001;mso-position-horizontal:absolute;mso-position-horizontal-relative:char;mso-position-vertical:absolute;mso-position-vertical-relative:line;mso-left-percent:-10001;mso-top-percent:-10001" filled="f" strokecolor="#0067b1" strokeweight="1pt">
            <v:textbox inset="0,0,0,0">
              <w:txbxContent>
                <w:p w14:paraId="6C14151C" w14:textId="77777777" w:rsidR="00477EF6" w:rsidRDefault="00477EF6">
                  <w:pPr>
                    <w:spacing w:before="7"/>
                    <w:rPr>
                      <w:rFonts w:ascii="Theinhardt Regular" w:eastAsia="Theinhardt Regular" w:hAnsi="Theinhardt Regular" w:cs="Theinhardt Regular"/>
                      <w:sz w:val="14"/>
                      <w:szCs w:val="14"/>
                    </w:rPr>
                  </w:pPr>
                </w:p>
                <w:p w14:paraId="597AD625" w14:textId="77777777" w:rsidR="00477EF6" w:rsidRDefault="00B42835">
                  <w:pPr>
                    <w:ind w:left="226"/>
                    <w:rPr>
                      <w:rFonts w:ascii="Theinhardt Bold" w:eastAsia="Theinhardt Bold" w:hAnsi="Theinhardt Bold" w:cs="Theinhardt Bold"/>
                      <w:sz w:val="20"/>
                      <w:szCs w:val="20"/>
                    </w:rPr>
                  </w:pPr>
                  <w:r>
                    <w:rPr>
                      <w:rFonts w:ascii="Theinhardt Bold"/>
                      <w:b/>
                      <w:color w:val="231F20"/>
                      <w:spacing w:val="1"/>
                      <w:sz w:val="20"/>
                    </w:rPr>
                    <w:t>Minergie-P:</w:t>
                  </w:r>
                  <w:r>
                    <w:rPr>
                      <w:rFonts w:ascii="Theinhardt Bold"/>
                      <w:b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Theinhardt Bold"/>
                      <w:b/>
                      <w:color w:val="231F20"/>
                      <w:spacing w:val="2"/>
                      <w:sz w:val="20"/>
                    </w:rPr>
                    <w:t>setzt</w:t>
                  </w:r>
                  <w:r>
                    <w:rPr>
                      <w:rFonts w:ascii="Theinhardt Bold"/>
                      <w:b/>
                      <w:color w:val="231F20"/>
                      <w:sz w:val="20"/>
                    </w:rPr>
                    <w:t xml:space="preserve"> Pariser Klimaabkommen optimal </w:t>
                  </w:r>
                  <w:r>
                    <w:rPr>
                      <w:rFonts w:ascii="Theinhardt Bold"/>
                      <w:b/>
                      <w:color w:val="231F20"/>
                      <w:spacing w:val="-1"/>
                      <w:sz w:val="20"/>
                    </w:rPr>
                    <w:t>um</w:t>
                  </w:r>
                </w:p>
                <w:p w14:paraId="587636C3" w14:textId="77777777" w:rsidR="00477EF6" w:rsidRDefault="00B42835">
                  <w:pPr>
                    <w:spacing w:before="83" w:line="200" w:lineRule="exact"/>
                    <w:ind w:left="226" w:right="279"/>
                    <w:jc w:val="both"/>
                    <w:rPr>
                      <w:rFonts w:ascii="Theinhardt Regular Italic" w:eastAsia="Theinhardt Regular Italic" w:hAnsi="Theinhardt Regular Italic" w:cs="Theinhardt Regular Italic"/>
                      <w:sz w:val="16"/>
                      <w:szCs w:val="16"/>
                    </w:rPr>
                  </w:pPr>
                  <w:r>
                    <w:rPr>
                      <w:rFonts w:ascii="Theinhardt Bold" w:hAnsi="Theinhardt Bold"/>
                      <w:b/>
                      <w:color w:val="231F20"/>
                      <w:sz w:val="16"/>
                    </w:rPr>
                    <w:t>«Prof.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1"/>
                      <w:sz w:val="16"/>
                    </w:rPr>
                    <w:t>Binz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2"/>
                      <w:sz w:val="16"/>
                    </w:rPr>
                    <w:t xml:space="preserve"> Minergie-P-Baustandard»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 xml:space="preserve">garantiert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eine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ökologische,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>ener-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32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getisch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2"/>
                      <w:sz w:val="16"/>
                    </w:rPr>
                    <w:t>sichere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und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ökonomisch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sehr</w:t>
                  </w:r>
                  <w:r>
                    <w:rPr>
                      <w:rFonts w:ascii="Theinhardt Regular" w:hAnsi="Theinhardt Regular"/>
                      <w:color w:val="231F20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erfolgreiche</w:t>
                  </w:r>
                  <w:r>
                    <w:rPr>
                      <w:rFonts w:ascii="Theinhardt Regular" w:hAnsi="Theinhardt Regular"/>
                      <w:color w:val="231F20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Umsetzung</w:t>
                  </w:r>
                  <w:r>
                    <w:rPr>
                      <w:rFonts w:ascii="Theinhardt Regular" w:hAnsi="Theinhardt Regular"/>
                      <w:color w:val="231F20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des</w:t>
                  </w:r>
                  <w:r>
                    <w:rPr>
                      <w:rFonts w:ascii="Theinhardt Regular" w:hAnsi="Theinhardt Regular"/>
                      <w:color w:val="231F20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Pariser</w:t>
                  </w:r>
                  <w:r>
                    <w:rPr>
                      <w:rFonts w:ascii="Theinhardt Regular" w:hAnsi="Theinhardt Regular"/>
                      <w:color w:val="231F20"/>
                      <w:spacing w:val="65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Klimaabkommens.</w:t>
                  </w:r>
                  <w:r>
                    <w:rPr>
                      <w:rFonts w:ascii="Theinhardt Regular" w:hAnsi="Theinhardt Regular"/>
                      <w:color w:val="231F20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Die</w:t>
                  </w:r>
                  <w:r>
                    <w:rPr>
                      <w:rFonts w:ascii="Theinhardt Regular" w:hAnsi="Theinhardt Regular"/>
                      <w:color w:val="231F20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Voraussetzungen</w:t>
                  </w:r>
                  <w:r>
                    <w:rPr>
                      <w:rFonts w:ascii="Theinhardt Regular" w:hAnsi="Theinhardt Regular"/>
                      <w:color w:val="231F20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für</w:t>
                  </w:r>
                  <w:r>
                    <w:rPr>
                      <w:rFonts w:ascii="Theinhardt Regular" w:hAnsi="Theinhardt Regular"/>
                      <w:color w:val="231F20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eine</w:t>
                  </w:r>
                  <w:r>
                    <w:rPr>
                      <w:rFonts w:ascii="Theinhardt Regular" w:hAnsi="Theinhardt Regular"/>
                      <w:color w:val="231F20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CO</w:t>
                  </w:r>
                  <w:r>
                    <w:rPr>
                      <w:rFonts w:ascii="Theinhardt Regular" w:hAnsi="Theinhardt Regular"/>
                      <w:color w:val="231F20"/>
                      <w:position w:val="-4"/>
                      <w:sz w:val="9"/>
                    </w:rPr>
                    <w:t>2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-freie</w:t>
                  </w:r>
                  <w:r>
                    <w:rPr>
                      <w:rFonts w:ascii="Theinhardt Regular" w:hAnsi="Theinhardt Regular"/>
                      <w:color w:val="231F20"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Gesamtenergie-</w:t>
                  </w:r>
                  <w:r>
                    <w:rPr>
                      <w:rFonts w:ascii="Theinhardt Regular" w:hAnsi="Theinhardt Regular"/>
                      <w:color w:val="231F20"/>
                      <w:spacing w:val="7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versorgung</w:t>
                  </w:r>
                  <w:r>
                    <w:rPr>
                      <w:rFonts w:ascii="Theinhardt Regular" w:hAnsi="Theinhardt Regular"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inkl.</w:t>
                  </w:r>
                  <w:r>
                    <w:rPr>
                      <w:rFonts w:ascii="Theinhardt Regular" w:hAnsi="Theinhardt Regular"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terrestrischem</w:t>
                  </w:r>
                  <w:r>
                    <w:rPr>
                      <w:rFonts w:ascii="Theinhardt Regular" w:hAnsi="Theinhardt Regular"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Verkehr</w:t>
                  </w:r>
                  <w:r>
                    <w:rPr>
                      <w:rFonts w:ascii="Theinhardt Regular" w:hAnsi="Theinhardt Regular"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sind</w:t>
                  </w:r>
                  <w:r>
                    <w:rPr>
                      <w:rFonts w:ascii="Theinhardt Regular" w:hAnsi="Theinhardt Regular"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dem</w:t>
                  </w:r>
                  <w:r>
                    <w:rPr>
                      <w:rFonts w:ascii="Theinhardt Regular" w:hAnsi="Theinhardt Regular"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Norman</w:t>
                  </w:r>
                  <w:r>
                    <w:rPr>
                      <w:rFonts w:ascii="Theinhardt Regular" w:hAnsi="Theinhardt Regular"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Foster</w:t>
                  </w:r>
                  <w:r>
                    <w:rPr>
                      <w:rFonts w:ascii="Theinhardt Regular" w:hAnsi="Theinhardt Regular"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PlusEner-</w:t>
                  </w:r>
                  <w:r>
                    <w:rPr>
                      <w:rFonts w:ascii="Theinhardt Regular" w:hAnsi="Theinhardt Regular"/>
                      <w:color w:val="231F20"/>
                      <w:spacing w:val="4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gieBau-(PEB)-Reglement</w:t>
                  </w:r>
                  <w:r>
                    <w:rPr>
                      <w:rFonts w:ascii="Theinhardt Regular" w:hAnsi="Theinhardt Regular"/>
                      <w:color w:val="231F20"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und</w:t>
                  </w:r>
                  <w:r>
                    <w:rPr>
                      <w:rFonts w:ascii="Theinhardt Regular" w:hAnsi="Theinhardt Regular"/>
                      <w:color w:val="231F20"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der</w:t>
                  </w:r>
                  <w:r>
                    <w:rPr>
                      <w:rFonts w:ascii="Theinhardt Regular" w:hAnsi="Theinhardt Regular"/>
                      <w:color w:val="231F20"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PEB-Gebäudestudie</w:t>
                  </w:r>
                  <w:r>
                    <w:rPr>
                      <w:rFonts w:ascii="Theinhardt Regular" w:hAnsi="Theinhardt Regular"/>
                      <w:color w:val="231F20"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-3"/>
                      <w:sz w:val="16"/>
                    </w:rPr>
                    <w:t>2019</w:t>
                  </w:r>
                  <w:r>
                    <w:rPr>
                      <w:rFonts w:ascii="Theinhardt Regular" w:hAnsi="Theinhardt Regular"/>
                      <w:color w:val="231F20"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zu</w:t>
                  </w:r>
                  <w:r>
                    <w:rPr>
                      <w:rFonts w:ascii="Theinhardt Regular" w:hAnsi="Theinhardt Regular"/>
                      <w:color w:val="231F20"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entneh-</w:t>
                  </w:r>
                  <w:r>
                    <w:rPr>
                      <w:rFonts w:ascii="Theinhardt Regular" w:hAnsi="Theinhardt Regular"/>
                      <w:color w:val="231F20"/>
                      <w:spacing w:val="4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men.</w:t>
                  </w:r>
                  <w:r>
                    <w:rPr>
                      <w:rFonts w:ascii="Theinhardt Regular" w:hAnsi="Theinhardt Regular"/>
                      <w:color w:val="231F20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Die</w:t>
                  </w:r>
                  <w:r>
                    <w:rPr>
                      <w:rFonts w:ascii="Theinhardt Regular" w:hAnsi="Theinhardt Regular"/>
                      <w:color w:val="231F20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Norman</w:t>
                  </w:r>
                  <w:r>
                    <w:rPr>
                      <w:rFonts w:ascii="Theinhardt Regular" w:hAnsi="Theinhardt Regular"/>
                      <w:color w:val="231F20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Foster</w:t>
                  </w:r>
                  <w:r>
                    <w:rPr>
                      <w:rFonts w:ascii="Theinhardt Regular" w:hAnsi="Theinhardt Regular"/>
                      <w:color w:val="231F20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PEB-Thesen</w:t>
                  </w:r>
                  <w:r>
                    <w:rPr>
                      <w:rFonts w:ascii="Theinhardt Regular" w:hAnsi="Theinhardt Regular"/>
                      <w:color w:val="231F20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3</w:t>
                  </w:r>
                  <w:r>
                    <w:rPr>
                      <w:rFonts w:ascii="Theinhardt Regular" w:hAnsi="Theinhardt Regular"/>
                      <w:color w:val="231F20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und</w:t>
                  </w:r>
                  <w:r>
                    <w:rPr>
                      <w:rFonts w:ascii="Theinhardt Regular" w:hAnsi="Theinhardt Regular"/>
                      <w:color w:val="231F20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4</w:t>
                  </w:r>
                  <w:r>
                    <w:rPr>
                      <w:rFonts w:ascii="Theinhardt Regular" w:hAnsi="Theinhardt Regular"/>
                      <w:color w:val="231F20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zeigen,</w:t>
                  </w:r>
                  <w:r>
                    <w:rPr>
                      <w:rFonts w:ascii="Theinhardt Regular" w:hAnsi="Theinhardt Regular"/>
                      <w:color w:val="231F20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wie</w:t>
                  </w:r>
                  <w:r>
                    <w:rPr>
                      <w:rFonts w:ascii="Theinhardt Regular" w:hAnsi="Theinhardt Regular"/>
                      <w:color w:val="231F20"/>
                      <w:spacing w:val="1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elegant</w:t>
                  </w:r>
                  <w:r>
                    <w:rPr>
                      <w:rFonts w:ascii="Theinhardt Regular" w:hAnsi="Theinhardt Regular"/>
                      <w:color w:val="231F20"/>
                      <w:spacing w:val="28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Gebäudehüllen</w:t>
                  </w:r>
                  <w:r>
                    <w:rPr>
                      <w:rFonts w:ascii="Theinhardt Regular" w:hAnsi="Theinhardt Regular"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dank</w:t>
                  </w:r>
                  <w:r>
                    <w:rPr>
                      <w:rFonts w:ascii="Theinhardt Regular" w:hAnsi="Theinhardt Regular"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dem</w:t>
                  </w:r>
                  <w:r>
                    <w:rPr>
                      <w:rFonts w:ascii="Theinhardt Regular" w:hAnsi="Theinhardt Regular"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Minergie-P-Baustandard</w:t>
                  </w:r>
                  <w:r>
                    <w:rPr>
                      <w:rFonts w:ascii="Theinhardt Regular" w:hAnsi="Theinhardt Regular"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80%</w:t>
                  </w:r>
                  <w:r>
                    <w:rPr>
                      <w:rFonts w:ascii="Theinhardt Regular" w:hAnsi="Theinhardt Regular"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Energieverluste</w:t>
                  </w:r>
                  <w:r>
                    <w:rPr>
                      <w:rFonts w:ascii="Theinhardt Regular" w:hAnsi="Theinhardt Regular"/>
                      <w:color w:val="231F20"/>
                      <w:spacing w:val="6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reduzieren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und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preisgünstig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>CO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position w:val="-4"/>
                      <w:sz w:val="9"/>
                    </w:rPr>
                    <w:t>2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-freie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2"/>
                      <w:sz w:val="16"/>
                    </w:rPr>
                    <w:t>Solarstromüberschüsse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bis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über</w:t>
                  </w:r>
                </w:p>
                <w:p w14:paraId="4A1FB134" w14:textId="77777777" w:rsidR="00477EF6" w:rsidRDefault="00B42835">
                  <w:pPr>
                    <w:spacing w:line="216" w:lineRule="exact"/>
                    <w:ind w:left="226"/>
                    <w:rPr>
                      <w:rFonts w:ascii="Theinhardt Regular" w:eastAsia="Theinhardt Regular" w:hAnsi="Theinhardt Regular" w:cs="Theinhardt Regular"/>
                      <w:sz w:val="13"/>
                      <w:szCs w:val="13"/>
                    </w:rPr>
                  </w:pP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>700%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des</w:t>
                  </w:r>
                  <w:r>
                    <w:rPr>
                      <w:rFonts w:ascii="Theinhardt Regular" w:hAnsi="Theinhardt Regular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Gebäudeenergiebedarfs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ermöglichen.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position w:val="7"/>
                      <w:sz w:val="13"/>
                    </w:rPr>
                    <w:t>3</w:t>
                  </w:r>
                </w:p>
                <w:p w14:paraId="3CDDF3FA" w14:textId="77777777" w:rsidR="00477EF6" w:rsidRDefault="00B42835">
                  <w:pPr>
                    <w:spacing w:before="125" w:line="204" w:lineRule="auto"/>
                    <w:ind w:left="226" w:right="281"/>
                    <w:jc w:val="both"/>
                    <w:rPr>
                      <w:rFonts w:ascii="Theinhardt Regular" w:eastAsia="Theinhardt Regular" w:hAnsi="Theinhardt Regular" w:cs="Theinhardt Regular"/>
                      <w:sz w:val="13"/>
                      <w:szCs w:val="13"/>
                    </w:rPr>
                  </w:pPr>
                  <w:r>
                    <w:rPr>
                      <w:rFonts w:ascii="Theinhardt Bold" w:hAnsi="Theinhardt Bold"/>
                      <w:b/>
                      <w:color w:val="231F20"/>
                      <w:spacing w:val="1"/>
                      <w:sz w:val="16"/>
                    </w:rPr>
                    <w:t>Minergie-P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11"/>
                      <w:sz w:val="16"/>
                    </w:rPr>
                    <w:t xml:space="preserve"> </w:t>
                  </w:r>
                  <w:r>
                    <w:rPr>
                      <w:rFonts w:ascii="Theinhardt Bold" w:hAnsi="Theinhardt Bold"/>
                      <w:b/>
                      <w:color w:val="231F20"/>
                      <w:sz w:val="16"/>
                    </w:rPr>
                    <w:t>Dämmungs-Trilogie: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2"/>
                      <w:sz w:val="16"/>
                    </w:rPr>
                    <w:t>Ganzfl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37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chig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in</w:t>
                  </w:r>
                  <w:r>
                    <w:rPr>
                      <w:rFonts w:ascii="Theinhardt Regular" w:hAnsi="Theinhardt Regular"/>
                      <w:color w:val="231F20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die</w:t>
                  </w:r>
                  <w:r>
                    <w:rPr>
                      <w:rFonts w:ascii="Theinhardt Regular" w:hAnsi="Theinhardt Regular"/>
                      <w:color w:val="231F20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Gebäudehülle</w:t>
                  </w:r>
                  <w:r>
                    <w:rPr>
                      <w:rFonts w:ascii="Theinhardt Regular" w:hAnsi="Theinhardt Regular"/>
                      <w:color w:val="231F20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integ-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56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3"/>
                      <w:sz w:val="16"/>
                    </w:rPr>
                    <w:t>rierte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2"/>
                      <w:sz w:val="16"/>
                    </w:rPr>
                    <w:t>Solaranlagen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ersetzen</w:t>
                  </w:r>
                  <w:r>
                    <w:rPr>
                      <w:rFonts w:ascii="Theinhardt Regular" w:hAnsi="Theinhardt Regular"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möglichst</w:t>
                  </w:r>
                  <w:r>
                    <w:rPr>
                      <w:rFonts w:ascii="Theinhardt Regular" w:hAnsi="Theinhardt Regular"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alle</w:t>
                  </w:r>
                  <w:r>
                    <w:rPr>
                      <w:rFonts w:ascii="Theinhardt Regular" w:hAnsi="Theinhardt Regular"/>
                      <w:color w:val="231F20"/>
                      <w:spacing w:val="2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inaktiven</w:t>
                  </w:r>
                  <w:r>
                    <w:rPr>
                      <w:rFonts w:ascii="Theinhardt Regular" w:hAnsi="Theinhardt Regular"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durch</w:t>
                  </w:r>
                  <w:r>
                    <w:rPr>
                      <w:rFonts w:ascii="Theinhardt Regular" w:hAnsi="Theinhardt Regular"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aktive</w:t>
                  </w:r>
                  <w:r>
                    <w:rPr>
                      <w:rFonts w:ascii="Theinhardt Regular" w:hAnsi="Theinhardt Regular"/>
                      <w:color w:val="231F20"/>
                      <w:spacing w:val="2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Dach-</w:t>
                  </w:r>
                  <w:r>
                    <w:rPr>
                      <w:rFonts w:ascii="Theinhardt Regular" w:hAnsi="Theinhardt Regular"/>
                      <w:color w:val="231F20"/>
                      <w:spacing w:val="5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und</w:t>
                  </w:r>
                  <w:r>
                    <w:rPr>
                      <w:rFonts w:ascii="Theinhardt Regular" w:hAnsi="Theinhardt Regular"/>
                      <w:color w:val="231F20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soweit</w:t>
                  </w:r>
                  <w:r>
                    <w:rPr>
                      <w:rFonts w:ascii="Theinhardt Regular" w:hAnsi="Theinhardt Regular"/>
                      <w:color w:val="231F20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erforderlich</w:t>
                  </w:r>
                  <w:r>
                    <w:rPr>
                      <w:rFonts w:ascii="Theinhardt Regular" w:hAnsi="Theinhardt Regular"/>
                      <w:color w:val="231F20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auch</w:t>
                  </w:r>
                  <w:r>
                    <w:rPr>
                      <w:rFonts w:ascii="Theinhardt Regular" w:hAnsi="Theinhardt Regular"/>
                      <w:color w:val="231F20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Fassadenelemente</w:t>
                  </w:r>
                  <w:r>
                    <w:rPr>
                      <w:rFonts w:ascii="Theinhardt Regular" w:hAnsi="Theinhardt Regular"/>
                      <w:color w:val="231F20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ab</w:t>
                  </w:r>
                  <w:r>
                    <w:rPr>
                      <w:rFonts w:ascii="Theinhardt Regular" w:hAnsi="Theinhardt Regular"/>
                      <w:color w:val="231F20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der</w:t>
                  </w:r>
                  <w:r>
                    <w:rPr>
                      <w:rFonts w:ascii="Theinhardt Regular" w:hAnsi="Theinhardt Regular"/>
                      <w:color w:val="231F20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ersten</w:t>
                  </w:r>
                  <w:r>
                    <w:rPr>
                      <w:rFonts w:ascii="Theinhardt Regular" w:hAnsi="Theinhardt Regular"/>
                      <w:color w:val="231F20"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Etage.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position w:val="7"/>
                      <w:sz w:val="13"/>
                    </w:rPr>
                    <w:t>4</w:t>
                  </w:r>
                </w:p>
                <w:p w14:paraId="29E5A0BA" w14:textId="77777777" w:rsidR="00477EF6" w:rsidRDefault="00B42835">
                  <w:pPr>
                    <w:spacing w:before="5" w:line="227" w:lineRule="auto"/>
                    <w:ind w:left="226" w:right="281"/>
                    <w:jc w:val="both"/>
                    <w:rPr>
                      <w:rFonts w:ascii="Theinhardt Regular" w:eastAsia="Theinhardt Regular" w:hAnsi="Theinhardt Regular" w:cs="Theinhardt Regular"/>
                      <w:sz w:val="16"/>
                      <w:szCs w:val="16"/>
                    </w:rPr>
                  </w:pP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Durch</w:t>
                  </w:r>
                  <w:r>
                    <w:rPr>
                      <w:rFonts w:ascii="Theinhardt Regular" w:hAnsi="Theinhardt Regular"/>
                      <w:color w:val="231F20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die</w:t>
                  </w:r>
                  <w:r>
                    <w:rPr>
                      <w:rFonts w:ascii="Theinhardt Regular" w:hAnsi="Theinhardt Regular"/>
                      <w:color w:val="231F20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nachstehende</w:t>
                  </w:r>
                  <w:r>
                    <w:rPr>
                      <w:rFonts w:ascii="Theinhardt Regular" w:hAnsi="Theinhardt Regular"/>
                      <w:color w:val="231F20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«Minergie-P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Dämmungs-Trilogie»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sind</w:t>
                  </w:r>
                  <w:r>
                    <w:rPr>
                      <w:rFonts w:ascii="Theinhardt Regular" w:hAnsi="Theinhardt Regular"/>
                      <w:color w:val="231F20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die</w:t>
                  </w:r>
                  <w:r>
                    <w:rPr>
                      <w:rFonts w:ascii="Theinhardt Regular" w:hAnsi="Theinhardt Regular"/>
                      <w:color w:val="231F20"/>
                      <w:spacing w:val="15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ange-</w:t>
                  </w:r>
                  <w:r>
                    <w:rPr>
                      <w:rFonts w:ascii="Theinhardt Regular" w:hAnsi="Theinhardt Regular"/>
                      <w:color w:val="231F20"/>
                      <w:spacing w:val="6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peilten</w:t>
                  </w:r>
                  <w:r>
                    <w:rPr>
                      <w:rFonts w:ascii="Theinhardt Regular" w:hAnsi="Theinhardt Regular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Ziele</w:t>
                  </w:r>
                  <w:r>
                    <w:rPr>
                      <w:rFonts w:ascii="Theinhardt Regular" w:hAnsi="Theinhardt Regular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von</w:t>
                  </w:r>
                  <w:r>
                    <w:rPr>
                      <w:rFonts w:ascii="Theinhardt Regular" w:hAnsi="Theinhardt Regular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-6"/>
                      <w:sz w:val="16"/>
                    </w:rPr>
                    <w:t>0.10</w:t>
                  </w:r>
                  <w:r>
                    <w:rPr>
                      <w:rFonts w:ascii="Theinhardt Regular" w:hAnsi="Theinhardt Regular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bis</w:t>
                  </w:r>
                  <w:r>
                    <w:rPr>
                      <w:rFonts w:ascii="Theinhardt Regular" w:hAnsi="Theinhardt Regular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-7"/>
                      <w:sz w:val="16"/>
                    </w:rPr>
                    <w:t>0.12</w:t>
                  </w:r>
                  <w:r>
                    <w:rPr>
                      <w:rFonts w:ascii="Theinhardt Regular" w:hAnsi="Theinhardt Regular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-3"/>
                      <w:sz w:val="16"/>
                    </w:rPr>
                    <w:t>W/m</w:t>
                  </w:r>
                  <w:r>
                    <w:rPr>
                      <w:rFonts w:ascii="Theinhardt Regular" w:hAnsi="Theinhardt Regular"/>
                      <w:color w:val="231F20"/>
                      <w:spacing w:val="-3"/>
                      <w:position w:val="5"/>
                      <w:sz w:val="9"/>
                    </w:rPr>
                    <w:t>2</w:t>
                  </w:r>
                  <w:r>
                    <w:rPr>
                      <w:rFonts w:ascii="Theinhardt Regular" w:hAnsi="Theinhardt Regular"/>
                      <w:color w:val="231F20"/>
                      <w:spacing w:val="-3"/>
                      <w:sz w:val="16"/>
                    </w:rPr>
                    <w:t>K</w:t>
                  </w:r>
                  <w:r>
                    <w:rPr>
                      <w:rFonts w:ascii="Theinhardt Regular" w:hAnsi="Theinhardt Regular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relativ</w:t>
                  </w:r>
                  <w:r>
                    <w:rPr>
                      <w:rFonts w:ascii="Theinhardt Regular" w:hAnsi="Theinhardt Regular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einfach,</w:t>
                  </w:r>
                  <w:r>
                    <w:rPr>
                      <w:rFonts w:ascii="Theinhardt Regular" w:hAnsi="Theinhardt Regular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nachhaltig</w:t>
                  </w:r>
                  <w:r>
                    <w:rPr>
                      <w:rFonts w:ascii="Theinhardt Regular" w:hAnsi="Theinhardt Regular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und</w:t>
                  </w:r>
                  <w:r>
                    <w:rPr>
                      <w:rFonts w:ascii="Theinhardt Regular" w:hAnsi="Theinhardt Regular"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preis-</w:t>
                  </w:r>
                  <w:r>
                    <w:rPr>
                      <w:rFonts w:ascii="Theinhardt Regular" w:hAnsi="Theinhardt Regular"/>
                      <w:color w:val="231F20"/>
                      <w:spacing w:val="54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günstig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erreichbar:</w:t>
                  </w:r>
                </w:p>
                <w:p w14:paraId="6953D06A" w14:textId="77777777" w:rsidR="00477EF6" w:rsidRDefault="00B42835">
                  <w:pPr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before="100" w:line="200" w:lineRule="exact"/>
                    <w:ind w:right="499"/>
                    <w:rPr>
                      <w:rFonts w:ascii="Theinhardt Regular" w:eastAsia="Theinhardt Regular" w:hAnsi="Theinhardt Regular" w:cs="Theinhardt Regular"/>
                      <w:sz w:val="16"/>
                      <w:szCs w:val="16"/>
                    </w:rPr>
                  </w:pPr>
                  <w:r>
                    <w:rPr>
                      <w:rFonts w:ascii="Theinhardt Bold" w:hAnsi="Theinhardt Bold"/>
                      <w:b/>
                      <w:color w:val="231F20"/>
                      <w:sz w:val="16"/>
                    </w:rPr>
                    <w:t xml:space="preserve">50% 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1"/>
                      <w:sz w:val="16"/>
                    </w:rPr>
                    <w:t>weniger</w:t>
                  </w:r>
                  <w:r>
                    <w:rPr>
                      <w:rFonts w:ascii="Theinhardt Bold" w:hAnsi="Theinhardt Bold"/>
                      <w:b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1"/>
                      <w:sz w:val="16"/>
                    </w:rPr>
                    <w:t>Energieverluste: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Mit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-6"/>
                      <w:sz w:val="16"/>
                    </w:rPr>
                    <w:t>«10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cm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2"/>
                      <w:sz w:val="16"/>
                    </w:rPr>
                    <w:t>Dämmung»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werden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die</w:t>
                  </w:r>
                  <w:r>
                    <w:rPr>
                      <w:rFonts w:ascii="Theinhardt Regular" w:hAnsi="Theinhardt Regular"/>
                      <w:color w:val="231F20"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hohen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durchschnittlichen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80%-Energieverluste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im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Gebäudebereich</w:t>
                  </w:r>
                  <w:r>
                    <w:rPr>
                      <w:rFonts w:ascii="Theinhardt Regular" w:hAnsi="Theinhardt Regular"/>
                      <w:color w:val="231F20"/>
                      <w:spacing w:val="76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um die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Hälfte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von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ca.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-1"/>
                      <w:sz w:val="16"/>
                    </w:rPr>
                    <w:t>250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kWh/m</w:t>
                  </w:r>
                  <w:r>
                    <w:rPr>
                      <w:rFonts w:ascii="Theinhardt Regular" w:hAnsi="Theinhardt Regular"/>
                      <w:color w:val="231F20"/>
                      <w:position w:val="5"/>
                      <w:sz w:val="9"/>
                    </w:rPr>
                    <w:t>2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a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 xml:space="preserve"> auf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-4"/>
                      <w:sz w:val="16"/>
                    </w:rPr>
                    <w:t>120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kWh/m</w:t>
                  </w:r>
                  <w:r>
                    <w:rPr>
                      <w:rFonts w:ascii="Theinhardt Regular" w:hAnsi="Theinhardt Regular"/>
                      <w:color w:val="231F20"/>
                      <w:position w:val="5"/>
                      <w:sz w:val="9"/>
                    </w:rPr>
                    <w:t>2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a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reduziert.</w:t>
                  </w:r>
                </w:p>
                <w:p w14:paraId="4F6F7256" w14:textId="77777777" w:rsidR="00477EF6" w:rsidRDefault="00B42835">
                  <w:pPr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before="113" w:line="200" w:lineRule="exact"/>
                    <w:ind w:right="484"/>
                    <w:rPr>
                      <w:rFonts w:ascii="Theinhardt Regular" w:eastAsia="Theinhardt Regular" w:hAnsi="Theinhardt Regular" w:cs="Theinhardt Regular"/>
                      <w:sz w:val="16"/>
                      <w:szCs w:val="16"/>
                    </w:rPr>
                  </w:pPr>
                  <w:r>
                    <w:rPr>
                      <w:rFonts w:ascii="Theinhardt Bold" w:hAnsi="Theinhardt Bold"/>
                      <w:b/>
                      <w:color w:val="231F20"/>
                      <w:sz w:val="16"/>
                    </w:rPr>
                    <w:t xml:space="preserve">50% 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1"/>
                      <w:sz w:val="16"/>
                    </w:rPr>
                    <w:t>weniger</w:t>
                  </w:r>
                  <w:r>
                    <w:rPr>
                      <w:rFonts w:ascii="Theinhardt Bold" w:hAnsi="Theinhardt Bold"/>
                      <w:b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1"/>
                      <w:sz w:val="16"/>
                    </w:rPr>
                    <w:t>Energieverluste: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Mit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den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2"/>
                      <w:sz w:val="16"/>
                    </w:rPr>
                    <w:t>«zweiten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-5"/>
                      <w:sz w:val="16"/>
                    </w:rPr>
                    <w:t>10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cm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2"/>
                      <w:sz w:val="16"/>
                    </w:rPr>
                    <w:t>Dämmung»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38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bis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zu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20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cm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Dämmung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können die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verbleibenden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Energieverluste</w:t>
                  </w:r>
                  <w:r>
                    <w:rPr>
                      <w:rFonts w:ascii="Theinhardt Regular" w:hAnsi="Theinhardt Regular"/>
                      <w:color w:val="231F20"/>
                      <w:spacing w:val="34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von </w:t>
                  </w:r>
                  <w:r>
                    <w:rPr>
                      <w:rFonts w:ascii="Theinhardt Regular" w:hAnsi="Theinhardt Regular"/>
                      <w:color w:val="231F20"/>
                      <w:spacing w:val="3"/>
                      <w:sz w:val="16"/>
                    </w:rPr>
                    <w:t>etwa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-4"/>
                      <w:sz w:val="16"/>
                    </w:rPr>
                    <w:t>120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kWh/m</w:t>
                  </w:r>
                  <w:r>
                    <w:rPr>
                      <w:rFonts w:ascii="Theinhardt Regular" w:hAnsi="Theinhardt Regular"/>
                      <w:color w:val="231F20"/>
                      <w:position w:val="5"/>
                      <w:sz w:val="9"/>
                    </w:rPr>
                    <w:t>2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a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auf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 xml:space="preserve">rund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65 kWh/m</w:t>
                  </w:r>
                  <w:r>
                    <w:rPr>
                      <w:rFonts w:ascii="Theinhardt Regular" w:hAnsi="Theinhardt Regular"/>
                      <w:color w:val="231F20"/>
                      <w:position w:val="5"/>
                      <w:sz w:val="9"/>
                    </w:rPr>
                    <w:t>2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a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reduziert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werden.</w:t>
                  </w:r>
                </w:p>
                <w:p w14:paraId="01822271" w14:textId="77777777" w:rsidR="00477EF6" w:rsidRDefault="00B42835">
                  <w:pPr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before="141" w:line="204" w:lineRule="auto"/>
                    <w:ind w:right="450"/>
                    <w:rPr>
                      <w:rFonts w:ascii="Theinhardt Regular" w:eastAsia="Theinhardt Regular" w:hAnsi="Theinhardt Regular" w:cs="Theinhardt Regular"/>
                      <w:sz w:val="13"/>
                      <w:szCs w:val="13"/>
                    </w:rPr>
                  </w:pPr>
                  <w:r>
                    <w:rPr>
                      <w:rFonts w:ascii="Theinhardt Bold" w:hAnsi="Theinhardt Bold"/>
                      <w:b/>
                      <w:color w:val="231F20"/>
                      <w:sz w:val="16"/>
                    </w:rPr>
                    <w:t xml:space="preserve">50% 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1"/>
                      <w:sz w:val="16"/>
                    </w:rPr>
                    <w:t>weniger</w:t>
                  </w:r>
                  <w:r>
                    <w:rPr>
                      <w:rFonts w:ascii="Theinhardt Bold" w:hAnsi="Theinhardt Bold"/>
                      <w:b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Bold" w:hAnsi="Theinhardt Bold"/>
                      <w:b/>
                      <w:color w:val="231F20"/>
                      <w:spacing w:val="1"/>
                      <w:sz w:val="16"/>
                    </w:rPr>
                    <w:t>Energieverluste:</w:t>
                  </w:r>
                  <w:r>
                    <w:rPr>
                      <w:rFonts w:ascii="Theinhardt Bold" w:hAnsi="Theinhardt Bold"/>
                      <w:b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Die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3"/>
                      <w:sz w:val="16"/>
                    </w:rPr>
                    <w:t>«dritten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-5"/>
                      <w:sz w:val="16"/>
                    </w:rPr>
                    <w:t>10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cm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bis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30-35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1"/>
                      <w:sz w:val="16"/>
                    </w:rPr>
                    <w:t>cm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pacing w:val="2"/>
                      <w:sz w:val="16"/>
                    </w:rPr>
                    <w:t>Dämmung»</w:t>
                  </w:r>
                  <w:r>
                    <w:rPr>
                      <w:rFonts w:ascii="Theinhardt Regular Italic" w:hAnsi="Theinhardt Regular Italic"/>
                      <w:i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senken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nochmals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3"/>
                      <w:sz w:val="16"/>
                    </w:rPr>
                    <w:t>etwa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die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Hälfte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der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restlichen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Energie-</w:t>
                  </w:r>
                  <w:r>
                    <w:rPr>
                      <w:rFonts w:ascii="Theinhardt Regular" w:hAnsi="Theinhardt Regular"/>
                      <w:color w:val="231F20"/>
                      <w:spacing w:val="5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>verluste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von </w:t>
                  </w:r>
                  <w:r>
                    <w:rPr>
                      <w:rFonts w:ascii="Theinhardt Regular" w:hAnsi="Theinhardt Regular"/>
                      <w:color w:val="231F20"/>
                      <w:spacing w:val="2"/>
                      <w:sz w:val="16"/>
                    </w:rPr>
                    <w:t>ca.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65 kWh/m</w:t>
                  </w:r>
                  <w:r>
                    <w:rPr>
                      <w:rFonts w:ascii="Theinhardt Regular" w:hAnsi="Theinhardt Regular"/>
                      <w:color w:val="231F20"/>
                      <w:position w:val="5"/>
                      <w:sz w:val="9"/>
                    </w:rPr>
                    <w:t>2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a</w:t>
                  </w:r>
                  <w:r>
                    <w:rPr>
                      <w:rFonts w:ascii="Theinhardt Regular" w:hAnsi="Theinhardt Regular"/>
                      <w:color w:val="231F20"/>
                      <w:spacing w:val="1"/>
                      <w:sz w:val="16"/>
                    </w:rPr>
                    <w:t xml:space="preserve"> auf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</w:t>
                  </w:r>
                  <w:r>
                    <w:rPr>
                      <w:rFonts w:ascii="Theinhardt Regular" w:hAnsi="Theinhardt Regular"/>
                      <w:color w:val="231F20"/>
                      <w:spacing w:val="-2"/>
                      <w:sz w:val="16"/>
                    </w:rPr>
                    <w:t>32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 xml:space="preserve"> kWh/m</w:t>
                  </w:r>
                  <w:r>
                    <w:rPr>
                      <w:rFonts w:ascii="Theinhardt Regular" w:hAnsi="Theinhardt Regular"/>
                      <w:color w:val="231F20"/>
                      <w:position w:val="5"/>
                      <w:sz w:val="9"/>
                    </w:rPr>
                    <w:t>2</w:t>
                  </w:r>
                  <w:r>
                    <w:rPr>
                      <w:rFonts w:ascii="Theinhardt Regular" w:hAnsi="Theinhardt Regular"/>
                      <w:color w:val="231F20"/>
                      <w:sz w:val="16"/>
                    </w:rPr>
                    <w:t>a.</w:t>
                  </w:r>
                  <w:r>
                    <w:rPr>
                      <w:rFonts w:ascii="Theinhardt Regular" w:hAnsi="Theinhardt Regular"/>
                      <w:color w:val="231F20"/>
                      <w:position w:val="7"/>
                      <w:sz w:val="13"/>
                    </w:rPr>
                    <w:t>5</w:t>
                  </w:r>
                </w:p>
              </w:txbxContent>
            </v:textbox>
          </v:shape>
        </w:pict>
      </w:r>
    </w:p>
    <w:p w14:paraId="6EB0080A" w14:textId="77777777" w:rsidR="00477EF6" w:rsidRDefault="00B42835">
      <w:pPr>
        <w:spacing w:before="2"/>
        <w:ind w:left="108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</w:p>
    <w:p w14:paraId="72315BB2" w14:textId="77777777" w:rsidR="00477EF6" w:rsidRDefault="00477EF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A97A370" w14:textId="77777777" w:rsidR="00477EF6" w:rsidRDefault="00477EF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665EF8E" w14:textId="77777777" w:rsidR="00477EF6" w:rsidRDefault="00477EF6">
      <w:pPr>
        <w:spacing w:before="2"/>
        <w:rPr>
          <w:rFonts w:ascii="Theinhardt Bold" w:eastAsia="Theinhardt Bold" w:hAnsi="Theinhardt Bold" w:cs="Theinhardt Bold"/>
          <w:b/>
          <w:bCs/>
          <w:sz w:val="25"/>
          <w:szCs w:val="25"/>
        </w:rPr>
      </w:pPr>
    </w:p>
    <w:p w14:paraId="1FA3FBB2" w14:textId="77777777" w:rsidR="00477EF6" w:rsidRDefault="00B42835">
      <w:pPr>
        <w:spacing w:line="200" w:lineRule="atLeast"/>
        <w:ind w:left="113"/>
        <w:rPr>
          <w:rFonts w:ascii="Theinhardt Bold" w:eastAsia="Theinhardt Bold" w:hAnsi="Theinhardt Bold" w:cs="Theinhardt Bold"/>
          <w:sz w:val="20"/>
          <w:szCs w:val="20"/>
        </w:rPr>
      </w:pPr>
      <w:r>
        <w:rPr>
          <w:rFonts w:ascii="Theinhardt Bold" w:eastAsia="Theinhardt Bold" w:hAnsi="Theinhardt Bold" w:cs="Theinhardt Bold"/>
          <w:noProof/>
          <w:sz w:val="20"/>
          <w:szCs w:val="20"/>
        </w:rPr>
        <w:drawing>
          <wp:inline distT="0" distB="0" distL="0" distR="0" wp14:anchorId="7E51C892" wp14:editId="22889049">
            <wp:extent cx="4928015" cy="31607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015" cy="316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B9EB9" w14:textId="77777777" w:rsidR="00477EF6" w:rsidRDefault="00B42835">
      <w:pPr>
        <w:spacing w:before="19"/>
        <w:ind w:left="112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</w:p>
    <w:p w14:paraId="00050EDB" w14:textId="77777777" w:rsidR="00477EF6" w:rsidRDefault="00477EF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D178D8C" w14:textId="77777777" w:rsidR="00477EF6" w:rsidRDefault="00477EF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B9E1138" w14:textId="77777777" w:rsidR="00477EF6" w:rsidRDefault="00477EF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A07857C" w14:textId="77777777" w:rsidR="00477EF6" w:rsidRDefault="00477EF6">
      <w:pPr>
        <w:rPr>
          <w:rFonts w:ascii="Theinhardt Bold" w:eastAsia="Theinhardt Bold" w:hAnsi="Theinhardt Bold" w:cs="Theinhardt Bold"/>
          <w:sz w:val="20"/>
          <w:szCs w:val="20"/>
        </w:rPr>
        <w:sectPr w:rsidR="00477EF6">
          <w:pgSz w:w="11910" w:h="16840"/>
          <w:pgMar w:top="860" w:right="460" w:bottom="280" w:left="740" w:header="720" w:footer="720" w:gutter="0"/>
          <w:cols w:space="720"/>
        </w:sectPr>
      </w:pPr>
    </w:p>
    <w:p w14:paraId="7D98AE80" w14:textId="77777777" w:rsidR="00477EF6" w:rsidRDefault="00477EF6">
      <w:pPr>
        <w:spacing w:before="10"/>
        <w:rPr>
          <w:rFonts w:ascii="Theinhardt Bold" w:eastAsia="Theinhardt Bold" w:hAnsi="Theinhardt Bold" w:cs="Theinhardt Bold"/>
          <w:b/>
          <w:bCs/>
          <w:sz w:val="17"/>
          <w:szCs w:val="17"/>
        </w:rPr>
      </w:pPr>
    </w:p>
    <w:p w14:paraId="656B5723" w14:textId="77777777" w:rsidR="00477EF6" w:rsidRDefault="00B42835">
      <w:pPr>
        <w:numPr>
          <w:ilvl w:val="0"/>
          <w:numId w:val="1"/>
        </w:numPr>
        <w:tabs>
          <w:tab w:val="left" w:pos="338"/>
        </w:tabs>
        <w:jc w:val="lef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Armin Binz,</w:t>
      </w:r>
      <w:r>
        <w:rPr>
          <w:rFonts w:asci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Baden/AG</w:t>
      </w:r>
    </w:p>
    <w:p w14:paraId="61FAD69E" w14:textId="77777777" w:rsidR="00477EF6" w:rsidRDefault="00B42835">
      <w:pPr>
        <w:numPr>
          <w:ilvl w:val="0"/>
          <w:numId w:val="1"/>
        </w:numPr>
        <w:tabs>
          <w:tab w:val="left" w:pos="338"/>
        </w:tabs>
        <w:spacing w:before="39" w:line="160" w:lineRule="exact"/>
        <w:jc w:val="lef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Das </w:t>
      </w:r>
      <w:r>
        <w:rPr>
          <w:rFonts w:ascii="Theinhardt Bold" w:hAnsi="Theinhardt Bold"/>
          <w:b/>
          <w:color w:val="231F20"/>
          <w:spacing w:val="-1"/>
          <w:sz w:val="14"/>
        </w:rPr>
        <w:t>Nullenergiehaus</w:t>
      </w:r>
      <w:r>
        <w:rPr>
          <w:rFonts w:ascii="Theinhardt Bold" w:hAnsi="Theinhardt Bold"/>
          <w:b/>
          <w:color w:val="231F20"/>
          <w:sz w:val="14"/>
        </w:rPr>
        <w:t xml:space="preserve"> an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 xml:space="preserve"> HEUREKA 1991 in</w:t>
      </w:r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Zürich</w:t>
      </w:r>
      <w:r>
        <w:rPr>
          <w:rFonts w:ascii="Theinhardt Bold" w:hAnsi="Theinhardt Bold"/>
          <w:b/>
          <w:color w:val="231F20"/>
          <w:sz w:val="14"/>
        </w:rPr>
        <w:t xml:space="preserve">  </w:t>
      </w:r>
      <w:r>
        <w:rPr>
          <w:rFonts w:ascii="Theinhardt Bold" w:hAnsi="Theinhardt Bold"/>
          <w:b/>
          <w:color w:val="231F20"/>
          <w:spacing w:val="-1"/>
          <w:sz w:val="14"/>
        </w:rPr>
        <w:t>wurde</w:t>
      </w:r>
      <w:r>
        <w:rPr>
          <w:rFonts w:ascii="Theinhardt Bold" w:hAnsi="Theinhardt Bold"/>
          <w:b/>
          <w:color w:val="231F20"/>
          <w:sz w:val="14"/>
        </w:rPr>
        <w:t xml:space="preserve"> auch mit Unterstützung von </w:t>
      </w:r>
      <w:r>
        <w:rPr>
          <w:rFonts w:ascii="Theinhardt Bold" w:hAnsi="Theinhardt Bold"/>
          <w:b/>
          <w:color w:val="231F20"/>
          <w:spacing w:val="-4"/>
          <w:sz w:val="14"/>
        </w:rPr>
        <w:t>Dr.</w:t>
      </w:r>
      <w:r>
        <w:rPr>
          <w:rFonts w:ascii="Theinhardt Bold" w:hAnsi="Theinhardt Bold"/>
          <w:b/>
          <w:color w:val="231F20"/>
          <w:spacing w:val="2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Ruedi Kriesi,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Energiefachstelle</w:t>
      </w:r>
      <w:r>
        <w:rPr>
          <w:rFonts w:ascii="Theinhardt Bold" w:hAnsi="Theinhardt Bold"/>
          <w:b/>
          <w:color w:val="231F20"/>
          <w:sz w:val="14"/>
        </w:rPr>
        <w:t xml:space="preserve"> des </w:t>
      </w:r>
      <w:r>
        <w:rPr>
          <w:rFonts w:ascii="Theinhardt Bold" w:hAnsi="Theinhardt Bold"/>
          <w:b/>
          <w:color w:val="231F20"/>
          <w:spacing w:val="-1"/>
          <w:sz w:val="14"/>
        </w:rPr>
        <w:t>Kantons</w:t>
      </w:r>
      <w:r>
        <w:rPr>
          <w:rFonts w:ascii="Theinhardt Bold" w:hAnsi="Theinhardt Bold"/>
          <w:b/>
          <w:color w:val="231F20"/>
          <w:spacing w:val="39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Zürich,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realisiert.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Die </w:t>
      </w:r>
      <w:r>
        <w:rPr>
          <w:rFonts w:ascii="Theinhardt Bold" w:hAnsi="Theinhardt Bold"/>
          <w:b/>
          <w:color w:val="231F20"/>
          <w:spacing w:val="-1"/>
          <w:sz w:val="14"/>
        </w:rPr>
        <w:t>ursprüngliche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Passivhaus-</w:t>
      </w:r>
      <w:r>
        <w:rPr>
          <w:rFonts w:ascii="Theinhardt Bold" w:hAnsi="Theinhardt Bold"/>
          <w:b/>
          <w:color w:val="231F20"/>
          <w:spacing w:val="6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Idee </w:t>
      </w:r>
      <w:r>
        <w:rPr>
          <w:rFonts w:ascii="Theinhardt Bold" w:hAnsi="Theinhardt Bold"/>
          <w:b/>
          <w:color w:val="231F20"/>
          <w:spacing w:val="-1"/>
          <w:sz w:val="14"/>
        </w:rPr>
        <w:t>stammt</w:t>
      </w:r>
      <w:r>
        <w:rPr>
          <w:rFonts w:ascii="Theinhardt Bold" w:hAnsi="Theinhardt Bold"/>
          <w:b/>
          <w:color w:val="231F20"/>
          <w:sz w:val="14"/>
        </w:rPr>
        <w:t xml:space="preserve"> vom deutschen </w:t>
      </w:r>
      <w:r>
        <w:rPr>
          <w:rFonts w:ascii="Theinhardt Bold" w:hAnsi="Theinhardt Bold"/>
          <w:b/>
          <w:color w:val="231F20"/>
          <w:spacing w:val="-1"/>
          <w:sz w:val="14"/>
        </w:rPr>
        <w:t>Physiker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4"/>
          <w:sz w:val="14"/>
        </w:rPr>
        <w:t>Dr.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Wolfgang</w:t>
      </w:r>
      <w:r>
        <w:rPr>
          <w:rFonts w:ascii="Theinhardt Bold" w:hAnsi="Theinhardt Bold"/>
          <w:b/>
          <w:color w:val="231F20"/>
          <w:spacing w:val="29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Feist</w:t>
      </w:r>
      <w:r>
        <w:rPr>
          <w:rFonts w:ascii="Theinhardt Bold" w:hAnsi="Theinhardt Bold"/>
          <w:b/>
          <w:color w:val="231F20"/>
          <w:sz w:val="14"/>
        </w:rPr>
        <w:t xml:space="preserve"> Darmstadt.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(Bild: ETH-Bibliothek </w:t>
      </w:r>
      <w:r>
        <w:rPr>
          <w:rFonts w:ascii="Theinhardt Bold" w:hAnsi="Theinhardt Bold"/>
          <w:b/>
          <w:color w:val="231F20"/>
          <w:spacing w:val="-1"/>
          <w:sz w:val="14"/>
        </w:rPr>
        <w:t>Zürich,</w:t>
      </w:r>
      <w:r>
        <w:rPr>
          <w:rFonts w:ascii="Theinhardt Bold" w:hAnsi="Theinhardt Bold"/>
          <w:b/>
          <w:color w:val="231F20"/>
          <w:spacing w:val="22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Bildarchiv.)</w:t>
      </w:r>
    </w:p>
    <w:p w14:paraId="6F0863BB" w14:textId="77777777" w:rsidR="00477EF6" w:rsidRDefault="00B42835">
      <w:pPr>
        <w:spacing w:before="5"/>
        <w:rPr>
          <w:rFonts w:ascii="Theinhardt Bold" w:eastAsia="Theinhardt Bold" w:hAnsi="Theinhardt Bold" w:cs="Theinhardt Bold"/>
          <w:b/>
          <w:bCs/>
          <w:sz w:val="19"/>
          <w:szCs w:val="19"/>
        </w:rPr>
      </w:pPr>
      <w:r>
        <w:br w:type="column"/>
      </w:r>
    </w:p>
    <w:p w14:paraId="2FE6F233" w14:textId="77777777" w:rsidR="00477EF6" w:rsidRDefault="00B42835">
      <w:pPr>
        <w:numPr>
          <w:ilvl w:val="0"/>
          <w:numId w:val="1"/>
        </w:numPr>
        <w:tabs>
          <w:tab w:val="left" w:pos="189"/>
        </w:tabs>
        <w:spacing w:line="203" w:lineRule="auto"/>
        <w:ind w:left="188"/>
        <w:jc w:val="lef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Norman Foster-PEB-Reglement: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Art.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8-10 und</w:t>
      </w:r>
      <w:r>
        <w:rPr>
          <w:rFonts w:ascii="Theinhardt Bold" w:eastAsia="Theinhardt Bold" w:hAnsi="Theinhardt Bold" w:cs="Theinhardt Bold"/>
          <w:b/>
          <w:bCs/>
          <w:color w:val="231F20"/>
          <w:spacing w:val="2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PEB-Gebäudestudie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2019,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>Teil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4"/>
          <w:szCs w:val="14"/>
        </w:rPr>
        <w:t>V.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lit.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C,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S.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130–</w:t>
      </w:r>
      <w:r>
        <w:rPr>
          <w:rFonts w:ascii="Theinhardt Bold" w:eastAsia="Theinhardt Bold" w:hAnsi="Theinhardt Bold" w:cs="Theinhardt Bold"/>
          <w:b/>
          <w:bCs/>
          <w:color w:val="231F20"/>
          <w:spacing w:val="3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136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ff.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(vgl.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PEB-Definition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Art.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3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Abs.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PEB-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Reglement;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PV-Prod.: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200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kWh/m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a,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Schweiz.</w:t>
      </w:r>
      <w:r>
        <w:rPr>
          <w:rFonts w:ascii="Theinhardt Bold" w:eastAsia="Theinhardt Bold" w:hAnsi="Theinhardt Bold" w:cs="Theinhardt Bold"/>
          <w:b/>
          <w:bCs/>
          <w:color w:val="231F20"/>
          <w:spacing w:val="3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Solarpreis 2017,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S.53;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Minergie-P-Baustandard</w:t>
      </w:r>
      <w:r>
        <w:rPr>
          <w:rFonts w:ascii="Theinhardt Bold" w:eastAsia="Theinhardt Bold" w:hAnsi="Theinhardt Bold" w:cs="Theinhardt Bold"/>
          <w:b/>
          <w:bCs/>
          <w:color w:val="231F20"/>
          <w:spacing w:val="4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reduziert 80%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Energieverluste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inkl.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4"/>
          <w:sz w:val="8"/>
          <w:szCs w:val="8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-Emissio-</w:t>
      </w:r>
      <w:r>
        <w:rPr>
          <w:rFonts w:ascii="Theinhardt Bold" w:eastAsia="Theinhardt Bold" w:hAnsi="Theinhardt Bold" w:cs="Theinhardt Bold"/>
          <w:b/>
          <w:bCs/>
          <w:color w:val="231F20"/>
          <w:spacing w:val="5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nen,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Bundesrat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IP RW 10.3873; Mineralwolle,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z.B.</w:t>
      </w:r>
    </w:p>
    <w:p w14:paraId="49E64C58" w14:textId="77777777" w:rsidR="00477EF6" w:rsidRDefault="00B42835">
      <w:pPr>
        <w:spacing w:line="168" w:lineRule="exact"/>
        <w:ind w:left="188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Flumroc; vgl.</w:t>
      </w:r>
      <w:r>
        <w:rPr>
          <w:rFonts w:asci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M.</w:t>
      </w:r>
      <w:r>
        <w:rPr>
          <w:rFonts w:ascii="Theinhardt Bold"/>
          <w:b/>
          <w:color w:val="231F20"/>
          <w:spacing w:val="-12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Thoma,</w:t>
      </w:r>
      <w:r>
        <w:rPr>
          <w:rFonts w:asci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2.4.2020).</w:t>
      </w:r>
    </w:p>
    <w:p w14:paraId="230BA031" w14:textId="77777777" w:rsidR="00477EF6" w:rsidRDefault="00B42835">
      <w:pPr>
        <w:spacing w:before="5"/>
        <w:rPr>
          <w:rFonts w:ascii="Theinhardt Bold" w:eastAsia="Theinhardt Bold" w:hAnsi="Theinhardt Bold" w:cs="Theinhardt Bold"/>
          <w:b/>
          <w:bCs/>
          <w:sz w:val="18"/>
          <w:szCs w:val="18"/>
        </w:rPr>
      </w:pPr>
      <w:r>
        <w:br w:type="column"/>
      </w:r>
    </w:p>
    <w:p w14:paraId="100D3193" w14:textId="77777777" w:rsidR="00477EF6" w:rsidRDefault="00B42835">
      <w:pPr>
        <w:numPr>
          <w:ilvl w:val="0"/>
          <w:numId w:val="1"/>
        </w:numPr>
        <w:tabs>
          <w:tab w:val="left" w:pos="277"/>
        </w:tabs>
        <w:spacing w:line="160" w:lineRule="exact"/>
        <w:ind w:left="276" w:right="539"/>
        <w:jc w:val="lef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Norman </w:t>
      </w:r>
      <w:r>
        <w:rPr>
          <w:rFonts w:ascii="Theinhardt Bold" w:hAnsi="Theinhardt Bold"/>
          <w:b/>
          <w:color w:val="231F20"/>
          <w:spacing w:val="-1"/>
          <w:sz w:val="14"/>
        </w:rPr>
        <w:t>Foster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insb.</w:t>
      </w:r>
      <w:r>
        <w:rPr>
          <w:rFonts w:ascii="Theinhardt Bold" w:hAnsi="Theinhardt Bold"/>
          <w:b/>
          <w:color w:val="231F20"/>
          <w:spacing w:val="-1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Thesen 3 und 4; Stefan</w:t>
      </w:r>
      <w:r>
        <w:rPr>
          <w:rFonts w:ascii="Theinhardt Bold" w:hAnsi="Theinhardt Bold"/>
          <w:b/>
          <w:color w:val="231F20"/>
          <w:spacing w:val="2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Cadosch,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dipl.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Arch.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ETH/SIA,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Präsident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SIA,</w:t>
      </w:r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Vizepräs.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Norman </w:t>
      </w:r>
      <w:r>
        <w:rPr>
          <w:rFonts w:ascii="Theinhardt Bold" w:hAnsi="Theinhardt Bold"/>
          <w:b/>
          <w:color w:val="231F20"/>
          <w:spacing w:val="-1"/>
          <w:sz w:val="14"/>
        </w:rPr>
        <w:t>Foster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PEB-Jury.</w:t>
      </w:r>
    </w:p>
    <w:p w14:paraId="65338999" w14:textId="77777777" w:rsidR="00477EF6" w:rsidRDefault="00B42835">
      <w:pPr>
        <w:numPr>
          <w:ilvl w:val="0"/>
          <w:numId w:val="1"/>
        </w:numPr>
        <w:tabs>
          <w:tab w:val="left" w:pos="277"/>
        </w:tabs>
        <w:spacing w:before="56" w:line="160" w:lineRule="exact"/>
        <w:ind w:left="276" w:right="237"/>
        <w:jc w:val="lef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Minergie-P-Dämmung zahlt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sich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gut 8 Mal aus: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zusätzliche Minergie-P-Dämmung einer 100 m</w:t>
      </w:r>
      <w:r>
        <w:rPr>
          <w:rFonts w:ascii="Theinhardt Bold" w:eastAsia="Theinhardt Bold" w:hAnsi="Theinhardt Bold" w:cs="Theinhardt Bold"/>
          <w:b/>
          <w:bCs/>
          <w:color w:val="231F20"/>
          <w:position w:val="5"/>
          <w:sz w:val="8"/>
          <w:szCs w:val="8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w w:val="102"/>
          <w:position w:val="5"/>
          <w:sz w:val="8"/>
          <w:szCs w:val="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grossen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Wohnung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verursacht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etwa 2’300 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4"/>
          <w:szCs w:val="14"/>
        </w:rPr>
        <w:t>Fr.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— im</w:t>
      </w:r>
      <w:r>
        <w:rPr>
          <w:rFonts w:ascii="Theinhardt Bold" w:eastAsia="Theinhardt Bold" w:hAnsi="Theinhardt Bold" w:cs="Theinhardt Bold"/>
          <w:b/>
          <w:bCs/>
          <w:color w:val="231F20"/>
          <w:spacing w:val="4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Vergleich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zu Energieaufwendungen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(40-jähriger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Lebenszyklus)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von ca.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19’800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>Fr.;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vgl.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NF-PEB-</w:t>
      </w:r>
      <w:r>
        <w:rPr>
          <w:rFonts w:ascii="Theinhardt Bold" w:eastAsia="Theinhardt Bold" w:hAnsi="Theinhardt Bold" w:cs="Theinhardt Bold"/>
          <w:b/>
          <w:bCs/>
          <w:color w:val="231F20"/>
          <w:spacing w:val="3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Reglement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Art.10.</w:t>
      </w:r>
    </w:p>
    <w:p w14:paraId="0532B171" w14:textId="77777777" w:rsidR="00477EF6" w:rsidRDefault="00477EF6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477EF6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600" w:space="40"/>
            <w:col w:w="3365" w:space="40"/>
            <w:col w:w="3665"/>
          </w:cols>
        </w:sectPr>
      </w:pPr>
    </w:p>
    <w:p w14:paraId="04CDDD06" w14:textId="77777777" w:rsidR="00477EF6" w:rsidRDefault="00477EF6">
      <w:pPr>
        <w:spacing w:before="9"/>
        <w:rPr>
          <w:rFonts w:ascii="Theinhardt Bold" w:eastAsia="Theinhardt Bold" w:hAnsi="Theinhardt Bold" w:cs="Theinhardt Bold"/>
          <w:b/>
          <w:bCs/>
          <w:sz w:val="25"/>
          <w:szCs w:val="25"/>
        </w:rPr>
      </w:pPr>
    </w:p>
    <w:p w14:paraId="68A4DFA8" w14:textId="77777777" w:rsidR="00477EF6" w:rsidRDefault="00B42835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2020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2020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15</w:t>
      </w:r>
    </w:p>
    <w:sectPr w:rsidR="00477EF6">
      <w:type w:val="continuous"/>
      <w:pgSz w:w="11910" w:h="16840"/>
      <w:pgMar w:top="8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A63A2"/>
    <w:multiLevelType w:val="hybridMultilevel"/>
    <w:tmpl w:val="F7ECD162"/>
    <w:lvl w:ilvl="0" w:tplc="1EE481CE">
      <w:start w:val="1"/>
      <w:numFmt w:val="decimal"/>
      <w:lvlText w:val="%1."/>
      <w:lvlJc w:val="left"/>
      <w:pPr>
        <w:ind w:left="453" w:hanging="227"/>
        <w:jc w:val="left"/>
      </w:pPr>
      <w:rPr>
        <w:rFonts w:ascii="Theinhardt Bold" w:eastAsia="Theinhardt Bold" w:hAnsi="Theinhardt Bold" w:hint="default"/>
        <w:b/>
        <w:bCs/>
        <w:color w:val="231F20"/>
        <w:spacing w:val="-5"/>
        <w:sz w:val="16"/>
        <w:szCs w:val="16"/>
      </w:rPr>
    </w:lvl>
    <w:lvl w:ilvl="1" w:tplc="48C89E5E">
      <w:start w:val="1"/>
      <w:numFmt w:val="bullet"/>
      <w:lvlText w:val="•"/>
      <w:lvlJc w:val="left"/>
      <w:pPr>
        <w:ind w:left="978" w:hanging="227"/>
      </w:pPr>
      <w:rPr>
        <w:rFonts w:hint="default"/>
      </w:rPr>
    </w:lvl>
    <w:lvl w:ilvl="2" w:tplc="18E46240">
      <w:start w:val="1"/>
      <w:numFmt w:val="bullet"/>
      <w:lvlText w:val="•"/>
      <w:lvlJc w:val="left"/>
      <w:pPr>
        <w:ind w:left="1502" w:hanging="227"/>
      </w:pPr>
      <w:rPr>
        <w:rFonts w:hint="default"/>
      </w:rPr>
    </w:lvl>
    <w:lvl w:ilvl="3" w:tplc="BABC4C50">
      <w:start w:val="1"/>
      <w:numFmt w:val="bullet"/>
      <w:lvlText w:val="•"/>
      <w:lvlJc w:val="left"/>
      <w:pPr>
        <w:ind w:left="2027" w:hanging="227"/>
      </w:pPr>
      <w:rPr>
        <w:rFonts w:hint="default"/>
      </w:rPr>
    </w:lvl>
    <w:lvl w:ilvl="4" w:tplc="22905CE8">
      <w:start w:val="1"/>
      <w:numFmt w:val="bullet"/>
      <w:lvlText w:val="•"/>
      <w:lvlJc w:val="left"/>
      <w:pPr>
        <w:ind w:left="2552" w:hanging="227"/>
      </w:pPr>
      <w:rPr>
        <w:rFonts w:hint="default"/>
      </w:rPr>
    </w:lvl>
    <w:lvl w:ilvl="5" w:tplc="BA26E7B4">
      <w:start w:val="1"/>
      <w:numFmt w:val="bullet"/>
      <w:lvlText w:val="•"/>
      <w:lvlJc w:val="left"/>
      <w:pPr>
        <w:ind w:left="3076" w:hanging="227"/>
      </w:pPr>
      <w:rPr>
        <w:rFonts w:hint="default"/>
      </w:rPr>
    </w:lvl>
    <w:lvl w:ilvl="6" w:tplc="8F2E5896">
      <w:start w:val="1"/>
      <w:numFmt w:val="bullet"/>
      <w:lvlText w:val="•"/>
      <w:lvlJc w:val="left"/>
      <w:pPr>
        <w:ind w:left="3601" w:hanging="227"/>
      </w:pPr>
      <w:rPr>
        <w:rFonts w:hint="default"/>
      </w:rPr>
    </w:lvl>
    <w:lvl w:ilvl="7" w:tplc="DF707EAC">
      <w:start w:val="1"/>
      <w:numFmt w:val="bullet"/>
      <w:lvlText w:val="•"/>
      <w:lvlJc w:val="left"/>
      <w:pPr>
        <w:ind w:left="4126" w:hanging="227"/>
      </w:pPr>
      <w:rPr>
        <w:rFonts w:hint="default"/>
      </w:rPr>
    </w:lvl>
    <w:lvl w:ilvl="8" w:tplc="F79E2F1C">
      <w:start w:val="1"/>
      <w:numFmt w:val="bullet"/>
      <w:lvlText w:val="•"/>
      <w:lvlJc w:val="left"/>
      <w:pPr>
        <w:ind w:left="4650" w:hanging="227"/>
      </w:pPr>
      <w:rPr>
        <w:rFonts w:hint="default"/>
      </w:rPr>
    </w:lvl>
  </w:abstractNum>
  <w:abstractNum w:abstractNumId="1" w15:restartNumberingAfterBreak="0">
    <w:nsid w:val="4F343E42"/>
    <w:multiLevelType w:val="hybridMultilevel"/>
    <w:tmpl w:val="5DF03318"/>
    <w:lvl w:ilvl="0" w:tplc="714E3292">
      <w:start w:val="1"/>
      <w:numFmt w:val="decimal"/>
      <w:lvlText w:val="%1"/>
      <w:lvlJc w:val="left"/>
      <w:pPr>
        <w:ind w:left="337" w:hanging="227"/>
        <w:jc w:val="righ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8F16C8CE">
      <w:start w:val="1"/>
      <w:numFmt w:val="bullet"/>
      <w:lvlText w:val="•"/>
      <w:lvlJc w:val="left"/>
      <w:pPr>
        <w:ind w:left="663" w:hanging="227"/>
      </w:pPr>
      <w:rPr>
        <w:rFonts w:hint="default"/>
      </w:rPr>
    </w:lvl>
    <w:lvl w:ilvl="2" w:tplc="11484DEA">
      <w:start w:val="1"/>
      <w:numFmt w:val="bullet"/>
      <w:lvlText w:val="•"/>
      <w:lvlJc w:val="left"/>
      <w:pPr>
        <w:ind w:left="989" w:hanging="227"/>
      </w:pPr>
      <w:rPr>
        <w:rFonts w:hint="default"/>
      </w:rPr>
    </w:lvl>
    <w:lvl w:ilvl="3" w:tplc="5F64EEDC">
      <w:start w:val="1"/>
      <w:numFmt w:val="bullet"/>
      <w:lvlText w:val="•"/>
      <w:lvlJc w:val="left"/>
      <w:pPr>
        <w:ind w:left="1315" w:hanging="227"/>
      </w:pPr>
      <w:rPr>
        <w:rFonts w:hint="default"/>
      </w:rPr>
    </w:lvl>
    <w:lvl w:ilvl="4" w:tplc="1BC0E7D8">
      <w:start w:val="1"/>
      <w:numFmt w:val="bullet"/>
      <w:lvlText w:val="•"/>
      <w:lvlJc w:val="left"/>
      <w:pPr>
        <w:ind w:left="1642" w:hanging="227"/>
      </w:pPr>
      <w:rPr>
        <w:rFonts w:hint="default"/>
      </w:rPr>
    </w:lvl>
    <w:lvl w:ilvl="5" w:tplc="C9041150">
      <w:start w:val="1"/>
      <w:numFmt w:val="bullet"/>
      <w:lvlText w:val="•"/>
      <w:lvlJc w:val="left"/>
      <w:pPr>
        <w:ind w:left="1968" w:hanging="227"/>
      </w:pPr>
      <w:rPr>
        <w:rFonts w:hint="default"/>
      </w:rPr>
    </w:lvl>
    <w:lvl w:ilvl="6" w:tplc="9CBE8FA2">
      <w:start w:val="1"/>
      <w:numFmt w:val="bullet"/>
      <w:lvlText w:val="•"/>
      <w:lvlJc w:val="left"/>
      <w:pPr>
        <w:ind w:left="2294" w:hanging="227"/>
      </w:pPr>
      <w:rPr>
        <w:rFonts w:hint="default"/>
      </w:rPr>
    </w:lvl>
    <w:lvl w:ilvl="7" w:tplc="CB285EC6">
      <w:start w:val="1"/>
      <w:numFmt w:val="bullet"/>
      <w:lvlText w:val="•"/>
      <w:lvlJc w:val="left"/>
      <w:pPr>
        <w:ind w:left="2620" w:hanging="227"/>
      </w:pPr>
      <w:rPr>
        <w:rFonts w:hint="default"/>
      </w:rPr>
    </w:lvl>
    <w:lvl w:ilvl="8" w:tplc="460A6A2C">
      <w:start w:val="1"/>
      <w:numFmt w:val="bullet"/>
      <w:lvlText w:val="•"/>
      <w:lvlJc w:val="left"/>
      <w:pPr>
        <w:ind w:left="2947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F6"/>
    <w:rsid w:val="00477EF6"/>
    <w:rsid w:val="00B4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;"/>
  <w14:docId w14:val="05390CFF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06"/>
      <w:outlineLvl w:val="0"/>
    </w:pPr>
    <w:rPr>
      <w:rFonts w:ascii="Theinhardt Regular" w:eastAsia="Theinhardt Regular" w:hAnsi="Theinhardt Regular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heinhardt Regular Italic" w:eastAsia="Theinhardt Regular Italic" w:hAnsi="Theinhardt Regular Italic"/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n.binz@arminbinz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minbinz.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inbinz.ch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faktor.ch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rminbinz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6866</Characters>
  <Application>Microsoft Office Word</Application>
  <DocSecurity>0</DocSecurity>
  <Lines>57</Lines>
  <Paragraphs>15</Paragraphs>
  <ScaleCrop>false</ScaleCrop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2</cp:revision>
  <dcterms:created xsi:type="dcterms:W3CDTF">2020-10-07T10:31:00Z</dcterms:created>
  <dcterms:modified xsi:type="dcterms:W3CDTF">2020-10-07T08:34:00Z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