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5080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072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326pt;width:.1pt;height:.1pt;mso-position-horizontal-relative:page;mso-position-vertical-relative:paragraph;z-index:-5032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326pt;width:.1pt;height:.1pt;mso-position-horizontal-relative:page;mso-position-vertical-relative:paragraph;z-index:1120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  <w:u w:val="dotted" w:color="231F20"/>
        </w:rPr>
        <w:t>Kategorie   </w:t>
      </w:r>
      <w:r>
        <w:rPr>
          <w:rFonts w:ascii="Theinhardt Heavy"/>
          <w:b/>
          <w:color w:val="231F20"/>
          <w:spacing w:val="9"/>
          <w:sz w:val="18"/>
          <w:u w:val="dotted" w:color="231F20"/>
        </w:rPr>
        <w:t> </w:t>
      </w:r>
      <w:r>
        <w:rPr>
          <w:rFonts w:ascii="Theinhardt Heavy"/>
          <w:b/>
          <w:color w:val="231F20"/>
          <w:sz w:val="18"/>
          <w:u w:val="dotted" w:color="231F20"/>
        </w:rPr>
        <w:t>C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</w:rPr>
        <w:t> </w:t>
      </w:r>
      <w:r>
        <w:rPr>
          <w:rFonts w:ascii="Theinhardt Heavy"/>
          <w:b/>
          <w:color w:val="231F20"/>
          <w:spacing w:val="-1"/>
          <w:sz w:val="18"/>
          <w:u w:val="dotted" w:color="231F20"/>
        </w:rPr>
        <w:t>Energieanlagen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pacing w:val="24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Schweizer</w:t>
      </w:r>
      <w:r>
        <w:rPr>
          <w:rFonts w:ascii="Theinhardt Regular"/>
          <w:color w:val="231F20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Solarpreis</w:t>
      </w:r>
      <w:r>
        <w:rPr>
          <w:rFonts w:ascii="Theinhardt Regular"/>
          <w:color w:val="231F20"/>
          <w:sz w:val="18"/>
        </w:rPr>
        <w:t> 2019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09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Solarfaltdach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Abwasserreinigungsanlage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ARA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Chur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basiert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glasfreier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Leichtbau-</w:t>
      </w:r>
      <w:r>
        <w:rPr>
          <w:rFonts w:ascii="Theinhardt Bold" w:hAnsi="Theinhardt Bold" w:cs="Theinhardt Bold" w:eastAsia="Theinhardt Bold"/>
          <w:b/>
          <w:bCs/>
          <w:color w:val="231F20"/>
          <w:spacing w:val="4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technik.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Es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wird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vollautomatisch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gesteuert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resp.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ein-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ausgefahren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überspannt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ganze</w:t>
      </w:r>
      <w:r>
        <w:rPr>
          <w:rFonts w:ascii="Theinhardt Bold" w:hAnsi="Theinhardt Bold" w:cs="Theinhardt Bold" w:eastAsia="Theinhardt Bold"/>
          <w:b/>
          <w:bCs/>
          <w:color w:val="231F20"/>
          <w:spacing w:val="6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Anlage.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faltbare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643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generiert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0.54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GWh/a.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leistet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Anteil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14%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am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(inkl.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Schlammtrocknung)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3.95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GWh/a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ARA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Chur.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ARA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Chur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zeigt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erzeugten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0.54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GWh/a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beispielhaft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auf,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was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infra-</w:t>
      </w:r>
      <w:r>
        <w:rPr>
          <w:rFonts w:ascii="Theinhardt Bold" w:hAnsi="Theinhardt Bold" w:cs="Theinhardt Bold" w:eastAsia="Theinhardt Bold"/>
          <w:b/>
          <w:bCs/>
          <w:color w:val="231F20"/>
          <w:spacing w:val="5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strukturintegrierte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leisten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können.</w:t>
      </w:r>
      <w:r>
        <w:rPr>
          <w:rFonts w:ascii="Theinhardt Bold" w:hAnsi="Theinhardt Bold" w:cs="Theinhardt Bold" w:eastAsia="Theinhardt 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Stadt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Chur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ganzen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Schweiz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</w:t>
      </w:r>
      <w:r>
        <w:rPr>
          <w:rFonts w:ascii="Theinhardt Bold" w:hAnsi="Theinhardt Bold" w:cs="Theinhardt Bold" w:eastAsia="Theinhardt Bold"/>
          <w:b/>
          <w:bCs/>
          <w:color w:val="231F20"/>
          <w:spacing w:val="5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ähnlichen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Infrastrukturbauten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möge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funktionierende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ARA-PV-Anlage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231F20"/>
          <w:spacing w:val="7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leuchtendes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Beispiel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dienen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(zum Aufwachen und Nachahmen).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4"/>
          <w:sz w:val="40"/>
        </w:rPr>
        <w:t>Abwasserreinigungsanlage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4"/>
          <w:sz w:val="40"/>
        </w:rPr>
        <w:t>ARA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7"/>
          <w:sz w:val="40"/>
        </w:rPr>
        <w:t>C</w:t>
      </w:r>
      <w:r>
        <w:rPr>
          <w:rFonts w:ascii="Theinhardt Black"/>
          <w:b/>
          <w:color w:val="0067B1"/>
          <w:spacing w:val="2"/>
          <w:sz w:val="40"/>
        </w:rPr>
        <w:t>hu</w:t>
      </w:r>
      <w:r>
        <w:rPr>
          <w:rFonts w:ascii="Theinhardt Black"/>
          <w:b/>
          <w:color w:val="0067B1"/>
          <w:spacing w:val="-24"/>
          <w:sz w:val="40"/>
        </w:rPr>
        <w:t>r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7000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1"/>
          <w:sz w:val="40"/>
        </w:rPr>
        <w:t>Chur/GR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innovative</w:t>
      </w:r>
      <w:r>
        <w:rPr>
          <w:color w:val="231F20"/>
          <w:spacing w:val="33"/>
        </w:rPr>
        <w:t> </w:t>
      </w:r>
      <w:r>
        <w:rPr>
          <w:color w:val="231F20"/>
        </w:rPr>
        <w:t>Solarfaltdach</w:t>
      </w:r>
      <w:r>
        <w:rPr>
          <w:color w:val="231F20"/>
          <w:spacing w:val="32"/>
        </w:rPr>
        <w:t> </w:t>
      </w:r>
      <w:r>
        <w:rPr>
          <w:color w:val="231F20"/>
        </w:rPr>
        <w:t>über</w:t>
      </w:r>
      <w:r>
        <w:rPr>
          <w:color w:val="231F20"/>
          <w:spacing w:val="33"/>
        </w:rPr>
        <w:t> </w:t>
      </w:r>
      <w:r>
        <w:rPr>
          <w:color w:val="231F20"/>
        </w:rPr>
        <w:t>den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of-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fenen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Klärbecken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Abwasserreinigungs-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anlage</w:t>
      </w:r>
      <w:r>
        <w:rPr>
          <w:color w:val="231F20"/>
          <w:spacing w:val="31"/>
        </w:rPr>
        <w:t> </w:t>
      </w:r>
      <w:r>
        <w:rPr>
          <w:color w:val="231F20"/>
        </w:rPr>
        <w:t>in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Chur</w:t>
      </w:r>
      <w:r>
        <w:rPr>
          <w:color w:val="231F20"/>
          <w:spacing w:val="31"/>
        </w:rPr>
        <w:t> </w:t>
      </w:r>
      <w:r>
        <w:rPr>
          <w:color w:val="231F20"/>
        </w:rPr>
        <w:t>zeigt</w:t>
      </w:r>
      <w:r>
        <w:rPr>
          <w:color w:val="231F20"/>
          <w:spacing w:val="32"/>
        </w:rPr>
        <w:t> </w:t>
      </w:r>
      <w:r>
        <w:rPr>
          <w:color w:val="231F20"/>
        </w:rPr>
        <w:t>beispielhaft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auf,</w:t>
      </w:r>
      <w:r>
        <w:rPr>
          <w:color w:val="231F20"/>
          <w:spacing w:val="21"/>
        </w:rPr>
        <w:t> </w:t>
      </w:r>
      <w:r>
        <w:rPr>
          <w:color w:val="231F20"/>
        </w:rPr>
        <w:t>was</w:t>
      </w:r>
      <w:r>
        <w:rPr>
          <w:color w:val="231F20"/>
          <w:spacing w:val="27"/>
        </w:rPr>
        <w:t> </w:t>
      </w:r>
      <w:r>
        <w:rPr>
          <w:color w:val="231F20"/>
        </w:rPr>
        <w:t>integrierte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PV-Anlagen</w:t>
      </w:r>
      <w:r>
        <w:rPr>
          <w:color w:val="231F20"/>
          <w:spacing w:val="18"/>
        </w:rPr>
        <w:t> </w:t>
      </w:r>
      <w:r>
        <w:rPr>
          <w:color w:val="231F20"/>
        </w:rPr>
        <w:t>zur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Eigenenergie-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versorgung</w:t>
      </w:r>
      <w:r>
        <w:rPr>
          <w:color w:val="231F20"/>
          <w:spacing w:val="3"/>
        </w:rPr>
        <w:t> </w:t>
      </w:r>
      <w:r>
        <w:rPr>
          <w:color w:val="231F20"/>
        </w:rPr>
        <w:t>für</w:t>
      </w:r>
      <w:r>
        <w:rPr>
          <w:color w:val="231F20"/>
          <w:spacing w:val="3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kommunale</w:t>
      </w:r>
      <w:r>
        <w:rPr>
          <w:color w:val="231F20"/>
          <w:spacing w:val="3"/>
        </w:rPr>
        <w:t> </w:t>
      </w:r>
      <w:r>
        <w:rPr>
          <w:color w:val="231F20"/>
        </w:rPr>
        <w:t>Infrastruktur</w:t>
      </w:r>
      <w:r>
        <w:rPr>
          <w:color w:val="231F20"/>
          <w:spacing w:val="24"/>
        </w:rPr>
        <w:t> </w:t>
      </w:r>
      <w:r>
        <w:rPr>
          <w:color w:val="231F20"/>
        </w:rPr>
        <w:t>leisten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können.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vollautomatisch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gesteu-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erte</w:t>
      </w:r>
      <w:r>
        <w:rPr>
          <w:color w:val="231F20"/>
          <w:spacing w:val="-10"/>
        </w:rPr>
        <w:t> </w:t>
      </w:r>
      <w:r>
        <w:rPr>
          <w:color w:val="231F20"/>
        </w:rPr>
        <w:t>0.64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MW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-10"/>
        </w:rPr>
        <w:t> </w:t>
      </w:r>
      <w:r>
        <w:rPr>
          <w:color w:val="231F20"/>
        </w:rPr>
        <w:t>generiert</w:t>
      </w:r>
      <w:r>
        <w:rPr>
          <w:color w:val="231F20"/>
          <w:spacing w:val="-10"/>
        </w:rPr>
        <w:t> </w:t>
      </w:r>
      <w:r>
        <w:rPr>
          <w:color w:val="231F20"/>
        </w:rPr>
        <w:t>im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ausgefahrenen</w:t>
      </w:r>
      <w:r>
        <w:rPr>
          <w:color w:val="231F20"/>
          <w:spacing w:val="6"/>
        </w:rPr>
        <w:t> </w:t>
      </w:r>
      <w:r>
        <w:rPr>
          <w:color w:val="231F20"/>
        </w:rPr>
        <w:t>Zustand</w:t>
      </w:r>
      <w:r>
        <w:rPr>
          <w:color w:val="231F20"/>
          <w:spacing w:val="6"/>
        </w:rPr>
        <w:t> </w:t>
      </w:r>
      <w:r>
        <w:rPr>
          <w:color w:val="231F20"/>
        </w:rPr>
        <w:t>540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MWh/a.</w:t>
      </w:r>
      <w:r>
        <w:rPr>
          <w:color w:val="231F20"/>
          <w:spacing w:val="-5"/>
        </w:rPr>
        <w:t> </w:t>
      </w:r>
      <w:r>
        <w:rPr>
          <w:color w:val="231F20"/>
        </w:rPr>
        <w:t>Damit</w:t>
      </w:r>
      <w:r>
        <w:rPr>
          <w:color w:val="231F20"/>
          <w:spacing w:val="29"/>
        </w:rPr>
        <w:t> </w:t>
      </w:r>
      <w:r>
        <w:rPr>
          <w:color w:val="231F20"/>
        </w:rPr>
        <w:t>leistet</w:t>
      </w:r>
      <w:r>
        <w:rPr>
          <w:color w:val="231F20"/>
          <w:spacing w:val="-4"/>
        </w:rPr>
        <w:t> </w:t>
      </w:r>
      <w:r>
        <w:rPr>
          <w:color w:val="231F20"/>
        </w:rPr>
        <w:t>sie</w:t>
      </w:r>
      <w:r>
        <w:rPr>
          <w:color w:val="231F20"/>
          <w:spacing w:val="-4"/>
        </w:rPr>
        <w:t> </w:t>
      </w:r>
      <w:r>
        <w:rPr>
          <w:color w:val="231F20"/>
        </w:rPr>
        <w:t>einen</w:t>
      </w:r>
      <w:r>
        <w:rPr>
          <w:color w:val="231F20"/>
          <w:spacing w:val="-4"/>
        </w:rPr>
        <w:t> </w:t>
      </w:r>
      <w:r>
        <w:rPr>
          <w:color w:val="231F20"/>
        </w:rPr>
        <w:t>Anteil</w:t>
      </w:r>
      <w:r>
        <w:rPr>
          <w:color w:val="231F20"/>
          <w:spacing w:val="-4"/>
        </w:rPr>
        <w:t> </w:t>
      </w:r>
      <w:r>
        <w:rPr>
          <w:color w:val="231F20"/>
        </w:rPr>
        <w:t>von</w:t>
      </w:r>
      <w:r>
        <w:rPr>
          <w:color w:val="231F20"/>
          <w:spacing w:val="-4"/>
        </w:rPr>
        <w:t> </w:t>
      </w:r>
      <w:r>
        <w:rPr>
          <w:color w:val="231F20"/>
        </w:rPr>
        <w:t>14%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Gesam-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tenergiebedarf</w:t>
      </w:r>
      <w:r>
        <w:rPr>
          <w:color w:val="231F20"/>
          <w:spacing w:val="42"/>
        </w:rPr>
        <w:t> </w:t>
      </w:r>
      <w:r>
        <w:rPr>
          <w:color w:val="231F20"/>
        </w:rPr>
        <w:t>von</w:t>
      </w:r>
      <w:r>
        <w:rPr>
          <w:color w:val="231F20"/>
          <w:spacing w:val="43"/>
        </w:rPr>
        <w:t> </w:t>
      </w:r>
      <w:r>
        <w:rPr>
          <w:color w:val="231F20"/>
        </w:rPr>
        <w:t>3.95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GWh/a</w:t>
      </w:r>
      <w:r>
        <w:rPr>
          <w:color w:val="231F20"/>
          <w:spacing w:val="43"/>
        </w:rPr>
        <w:t> </w:t>
      </w:r>
      <w:r>
        <w:rPr>
          <w:color w:val="231F20"/>
        </w:rPr>
        <w:t>der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ARA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Chur</w:t>
      </w:r>
      <w:r>
        <w:rPr>
          <w:color w:val="231F20"/>
          <w:spacing w:val="-13"/>
        </w:rPr>
        <w:t> </w:t>
      </w:r>
      <w:r>
        <w:rPr>
          <w:color w:val="231F20"/>
        </w:rPr>
        <w:t>(inkl.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Schlammtrocknung).</w:t>
      </w:r>
      <w:r>
        <w:rPr>
          <w:color w:val="231F20"/>
          <w:spacing w:val="-23"/>
        </w:rPr>
        <w:t> </w:t>
      </w:r>
      <w:r>
        <w:rPr>
          <w:color w:val="231F20"/>
        </w:rPr>
        <w:t>Bei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schlech-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pliant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innovant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bassins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d’aération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d’épuration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illustre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façon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muni-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cipalité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propre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infrastructure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intégrée.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Entièrement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automatisée,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0,64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540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MWh/a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plein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régime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14%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des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3,95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GWh/a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que consomme le site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d’ARA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Chur,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compris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séchage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mauvais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temps,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replie,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protège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exemple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grêle,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mais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101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tabs>
          <w:tab w:pos="2529" w:val="left" w:leader="none"/>
          <w:tab w:pos="2992" w:val="left" w:leader="none"/>
        </w:tabs>
        <w:spacing w:line="172" w:lineRule="exact" w:before="66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w w:val="95"/>
          <w:sz w:val="14"/>
        </w:rPr>
        <w:t>Strombedarf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10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3’950’000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965" w:val="left" w:leader="none"/>
          <w:tab w:pos="1909" w:val="left" w:leader="none"/>
          <w:tab w:pos="2500" w:val="left" w:leader="none"/>
          <w:tab w:pos="2992" w:val="left" w:leader="none"/>
        </w:tabs>
        <w:spacing w:line="207" w:lineRule="auto" w:before="5"/>
        <w:ind w:left="106" w:right="165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PV-Dach: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5’900    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640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143.1</w:t>
        <w:tab/>
        <w:t>14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540’000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29" w:val="left" w:leader="none"/>
          <w:tab w:pos="2992" w:val="left" w:leader="none"/>
        </w:tabs>
        <w:spacing w:line="172" w:lineRule="exact" w:before="38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97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14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540’000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</w:tabs>
        <w:spacing w:line="160" w:lineRule="exact" w:before="0"/>
        <w:ind w:left="106" w:right="0" w:firstLine="0"/>
        <w:jc w:val="left"/>
        <w:rPr>
          <w:rFonts w:ascii="Theinhardt Light" w:hAnsi="Theinhardt Light" w:cs="Theinhardt Light" w:eastAsia="Theinhardt Light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4"/>
          <w:szCs w:val="14"/>
        </w:rPr>
        <w:t> </w:t>
      </w:r>
      <w:r>
        <w:rPr>
          <w:rFonts w:ascii="Theinhardt Light" w:hAnsi="Theinhardt Light" w:cs="Theinhardt Light" w:eastAsia="Theinhardt Light"/>
          <w:b w:val="0"/>
          <w:bCs w:val="0"/>
          <w:color w:val="231F20"/>
          <w:spacing w:val="1"/>
          <w:sz w:val="14"/>
          <w:szCs w:val="14"/>
        </w:rPr>
        <w:t>3’950’000</w:t>
      </w:r>
      <w:r>
        <w:rPr>
          <w:rFonts w:ascii="Theinhardt Light" w:hAnsi="Theinhardt Light" w:cs="Theinhardt Light" w:eastAsia="Theinhardt Light"/>
          <w:sz w:val="14"/>
          <w:szCs w:val="14"/>
        </w:rPr>
      </w:r>
    </w:p>
    <w:p>
      <w:pPr>
        <w:tabs>
          <w:tab w:pos="2490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Fremdenergiezufuhr: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86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3’410’000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IBC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Wasser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Chur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color w:val="231F20"/>
          <w:spacing w:val="32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17.06.2019,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Clement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Pleban</w:t>
      </w:r>
      <w:hyperlink r:id="rId5">
        <w:r>
          <w:rPr>
            <w:rFonts w:ascii="Theinhardt Regular" w:hAnsi="Theinhardt Regular"/>
            <w:color w:val="231F20"/>
            <w:spacing w:val="1"/>
            <w:sz w:val="14"/>
          </w:rPr>
          <w:t>i,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info@ibc-chur.ch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65" w:lineRule="exact" w:before="105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after="0" w:line="165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2" w:space="119"/>
            <w:col w:w="3453" w:space="119"/>
            <w:col w:w="3567"/>
          </w:cols>
        </w:sectPr>
      </w:pPr>
    </w:p>
    <w:p>
      <w:pPr>
        <w:pStyle w:val="BodyText"/>
        <w:spacing w:line="199" w:lineRule="exact"/>
        <w:ind w:right="0"/>
        <w:jc w:val="left"/>
      </w:pPr>
      <w:r>
        <w:rPr>
          <w:color w:val="231F20"/>
        </w:rPr>
        <w:t>ten</w:t>
      </w:r>
      <w:r>
        <w:rPr>
          <w:color w:val="231F20"/>
          <w:spacing w:val="20"/>
        </w:rPr>
        <w:t> </w:t>
      </w:r>
      <w:r>
        <w:rPr>
          <w:color w:val="231F20"/>
        </w:rPr>
        <w:t>Wetterverhältnissen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20"/>
        </w:rPr>
        <w:t> </w:t>
      </w:r>
      <w:r>
        <w:rPr>
          <w:color w:val="231F20"/>
        </w:rPr>
        <w:t>das</w:t>
      </w:r>
      <w:r>
        <w:rPr>
          <w:color w:val="231F20"/>
          <w:spacing w:val="20"/>
        </w:rPr>
        <w:t> </w:t>
      </w:r>
      <w:r>
        <w:rPr>
          <w:color w:val="231F20"/>
        </w:rPr>
        <w:t>Solarfalt-</w:t>
      </w:r>
      <w:r>
        <w:rPr/>
      </w:r>
    </w:p>
    <w:p>
      <w:pPr>
        <w:tabs>
          <w:tab w:pos="3699" w:val="left" w:leader="none"/>
          <w:tab w:pos="7010" w:val="left" w:leader="none"/>
        </w:tabs>
        <w:spacing w:line="154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évite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neige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s’y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hiver,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ab/>
        <w:t> </w:t>
        <w:tab/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76" w:lineRule="exact" w:before="0"/>
        <w:ind w:left="367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group style="position:absolute;margin-left:385.511902pt;margin-top:-4.892602pt;width:167.25pt;height:.45pt;mso-position-horizontal-relative:page;mso-position-vertical-relative:paragraph;z-index:-4984" coordorigin="7710,-98" coordsize="3345,9">
            <v:group style="position:absolute;left:7732;top:-94;width:3311;height:2" coordorigin="7732,-94" coordsize="3311,2">
              <v:shape style="position:absolute;left:7732;top:-94;width:3311;height:2" coordorigin="7732,-94" coordsize="3311,0" path="m7732,-94l11042,-94e" filled="false" stroked="true" strokeweight=".425pt" strokecolor="#231f20">
                <v:path arrowok="t"/>
                <v:stroke dashstyle="dash"/>
              </v:shape>
            </v:group>
            <v:group style="position:absolute;left:7714;top:-94;width:2;height:2" coordorigin="7714,-94" coordsize="2,2">
              <v:shape style="position:absolute;left:7714;top:-94;width:2;height:2" coordorigin="7714,-94" coordsize="0,0" path="m7714,-94l7714,-94e" filled="false" stroked="true" strokeweight=".425pt" strokecolor="#231f20">
                <v:path arrowok="t"/>
              </v:shape>
            </v:group>
            <v:group style="position:absolute;left:11051;top:-94;width:2;height:2" coordorigin="11051,-94" coordsize="2,2">
              <v:shape style="position:absolute;left:11051;top:-94;width:2;height:2" coordorigin="11051,-94" coordsize="0,0" path="m11051,-94l11051,-94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old"/>
          <w:b/>
          <w:color w:val="231F20"/>
          <w:spacing w:val="2"/>
          <w:sz w:val="14"/>
        </w:rPr>
        <w:t>Standort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der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Anlage</w:t>
      </w:r>
      <w:r>
        <w:rPr>
          <w:rFonts w:ascii="Theinhardt Bold"/>
          <w:sz w:val="14"/>
        </w:rPr>
      </w:r>
    </w:p>
    <w:p>
      <w:pPr>
        <w:spacing w:after="0" w:line="76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2" w:equalWidth="0">
            <w:col w:w="3452" w:space="119"/>
            <w:col w:w="7139"/>
          </w:cols>
        </w:sectPr>
      </w:pPr>
    </w:p>
    <w:p>
      <w:pPr>
        <w:pStyle w:val="BodyText"/>
        <w:spacing w:line="195" w:lineRule="exact"/>
        <w:ind w:right="0"/>
        <w:jc w:val="both"/>
      </w:pPr>
      <w:r>
        <w:rPr>
          <w:color w:val="231F20"/>
          <w:spacing w:val="-1"/>
        </w:rPr>
        <w:t>dach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eingefahren,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wodurch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beispielswei-</w:t>
      </w:r>
      <w:r>
        <w:rPr/>
      </w:r>
    </w:p>
    <w:p>
      <w:pPr>
        <w:pStyle w:val="BodyText"/>
        <w:spacing w:line="232" w:lineRule="auto" w:before="1"/>
        <w:ind w:right="8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16"/>
        </w:rPr>
        <w:t> </w:t>
      </w:r>
      <w:r>
        <w:rPr>
          <w:color w:val="231F20"/>
        </w:rPr>
        <w:t>vor</w:t>
      </w:r>
      <w:r>
        <w:rPr>
          <w:color w:val="231F20"/>
          <w:spacing w:val="16"/>
        </w:rPr>
        <w:t> </w:t>
      </w:r>
      <w:r>
        <w:rPr>
          <w:color w:val="231F20"/>
        </w:rPr>
        <w:t>Hagel</w:t>
      </w:r>
      <w:r>
        <w:rPr>
          <w:color w:val="231F20"/>
          <w:spacing w:val="16"/>
        </w:rPr>
        <w:t> </w:t>
      </w:r>
      <w:r>
        <w:rPr>
          <w:color w:val="231F20"/>
        </w:rPr>
        <w:t>geschützt</w:t>
      </w:r>
      <w:r>
        <w:rPr>
          <w:color w:val="231F20"/>
          <w:spacing w:val="16"/>
        </w:rPr>
        <w:t> </w:t>
      </w:r>
      <w:r>
        <w:rPr>
          <w:color w:val="231F20"/>
        </w:rPr>
        <w:t>ist.</w:t>
      </w:r>
      <w:r>
        <w:rPr>
          <w:color w:val="231F20"/>
          <w:spacing w:val="5"/>
        </w:rPr>
        <w:t> </w:t>
      </w:r>
      <w:r>
        <w:rPr>
          <w:color w:val="231F20"/>
        </w:rPr>
        <w:t>Im</w:t>
      </w:r>
      <w:r>
        <w:rPr>
          <w:color w:val="231F20"/>
          <w:spacing w:val="16"/>
        </w:rPr>
        <w:t> </w:t>
      </w:r>
      <w:r>
        <w:rPr>
          <w:color w:val="231F20"/>
        </w:rPr>
        <w:t>Winter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kann</w:t>
      </w:r>
      <w:r>
        <w:rPr>
          <w:color w:val="231F20"/>
          <w:spacing w:val="27"/>
        </w:rPr>
        <w:t> </w:t>
      </w:r>
      <w:r>
        <w:rPr>
          <w:color w:val="231F20"/>
        </w:rPr>
        <w:t>sich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keine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Schneedecke</w:t>
      </w:r>
      <w:r>
        <w:rPr>
          <w:color w:val="231F20"/>
          <w:spacing w:val="10"/>
        </w:rPr>
        <w:t> </w:t>
      </w:r>
      <w:r>
        <w:rPr>
          <w:color w:val="231F20"/>
        </w:rPr>
        <w:t>auf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31"/>
        </w:rPr>
        <w:t> </w:t>
      </w:r>
      <w:r>
        <w:rPr>
          <w:color w:val="231F20"/>
        </w:rPr>
        <w:t>bilden,</w:t>
      </w:r>
      <w:r>
        <w:rPr>
          <w:color w:val="231F20"/>
          <w:spacing w:val="21"/>
        </w:rPr>
        <w:t> </w:t>
      </w:r>
      <w:r>
        <w:rPr>
          <w:color w:val="231F20"/>
        </w:rPr>
        <w:t>welche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Solarstromproduktion</w:t>
      </w:r>
      <w:r>
        <w:rPr>
          <w:color w:val="231F20"/>
          <w:spacing w:val="20"/>
        </w:rPr>
        <w:t> </w:t>
      </w:r>
      <w:r>
        <w:rPr>
          <w:color w:val="231F20"/>
        </w:rPr>
        <w:t>unterbinden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würde.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Klärbetriebsper-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sonal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kann</w:t>
      </w:r>
      <w:r>
        <w:rPr>
          <w:color w:val="231F20"/>
          <w:spacing w:val="23"/>
        </w:rPr>
        <w:t> </w:t>
      </w:r>
      <w:r>
        <w:rPr>
          <w:color w:val="231F20"/>
        </w:rPr>
        <w:t>das</w:t>
      </w:r>
      <w:r>
        <w:rPr>
          <w:color w:val="231F20"/>
          <w:spacing w:val="23"/>
        </w:rPr>
        <w:t> </w:t>
      </w:r>
      <w:r>
        <w:rPr>
          <w:color w:val="231F20"/>
        </w:rPr>
        <w:t>Solarfaltdach</w:t>
      </w:r>
      <w:r>
        <w:rPr>
          <w:color w:val="231F20"/>
          <w:spacing w:val="23"/>
        </w:rPr>
        <w:t> </w:t>
      </w:r>
      <w:r>
        <w:rPr>
          <w:color w:val="231F20"/>
        </w:rPr>
        <w:t>jederzeit</w:t>
      </w:r>
      <w:r>
        <w:rPr>
          <w:color w:val="231F20"/>
          <w:spacing w:val="23"/>
        </w:rPr>
        <w:t> </w:t>
      </w:r>
      <w:r>
        <w:rPr>
          <w:color w:val="231F20"/>
        </w:rPr>
        <w:t>per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Knopfdruck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einfahren</w:t>
      </w:r>
      <w:r>
        <w:rPr>
          <w:color w:val="231F20"/>
          <w:spacing w:val="27"/>
        </w:rPr>
        <w:t> </w:t>
      </w:r>
      <w:r>
        <w:rPr>
          <w:color w:val="231F20"/>
        </w:rPr>
        <w:t>und</w:t>
      </w:r>
      <w:r>
        <w:rPr>
          <w:color w:val="231F20"/>
          <w:spacing w:val="26"/>
        </w:rPr>
        <w:t> </w:t>
      </w:r>
      <w:r>
        <w:rPr>
          <w:color w:val="231F20"/>
        </w:rPr>
        <w:t>erhält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einfa-</w:t>
      </w:r>
      <w:r>
        <w:rPr>
          <w:color w:val="231F20"/>
          <w:spacing w:val="31"/>
        </w:rPr>
        <w:t> </w:t>
      </w:r>
      <w:r>
        <w:rPr>
          <w:color w:val="231F20"/>
        </w:rPr>
        <w:t>chen</w:t>
      </w:r>
      <w:r>
        <w:rPr>
          <w:color w:val="231F20"/>
          <w:spacing w:val="18"/>
        </w:rPr>
        <w:t> </w:t>
      </w:r>
      <w:r>
        <w:rPr>
          <w:color w:val="231F20"/>
        </w:rPr>
        <w:t>Zugang</w:t>
      </w:r>
      <w:r>
        <w:rPr>
          <w:color w:val="231F20"/>
          <w:spacing w:val="18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</w:rPr>
        <w:t>oben</w:t>
      </w:r>
      <w:r>
        <w:rPr>
          <w:color w:val="231F20"/>
          <w:spacing w:val="18"/>
        </w:rPr>
        <w:t> </w:t>
      </w:r>
      <w:r>
        <w:rPr>
          <w:color w:val="231F20"/>
        </w:rPr>
        <w:t>zu</w:t>
      </w:r>
      <w:r>
        <w:rPr>
          <w:color w:val="231F20"/>
          <w:spacing w:val="18"/>
        </w:rPr>
        <w:t> </w:t>
      </w:r>
      <w:r>
        <w:rPr>
          <w:color w:val="231F20"/>
        </w:rPr>
        <w:t>den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Becken</w:t>
      </w:r>
      <w:r>
        <w:rPr>
          <w:color w:val="231F20"/>
          <w:spacing w:val="18"/>
        </w:rPr>
        <w:t> </w:t>
      </w:r>
      <w:r>
        <w:rPr>
          <w:color w:val="231F20"/>
        </w:rPr>
        <w:t>für</w:t>
      </w:r>
      <w:r>
        <w:rPr>
          <w:color w:val="231F20"/>
          <w:spacing w:val="22"/>
        </w:rPr>
        <w:t> </w:t>
      </w:r>
      <w:r>
        <w:rPr>
          <w:color w:val="231F20"/>
        </w:rPr>
        <w:t>die </w:t>
      </w:r>
      <w:r>
        <w:rPr>
          <w:color w:val="231F20"/>
          <w:spacing w:val="-1"/>
        </w:rPr>
        <w:t>Wartung.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7"/>
        </w:rPr>
        <w:t> </w:t>
      </w:r>
      <w:r>
        <w:rPr>
          <w:color w:val="231F20"/>
        </w:rPr>
        <w:t>Solarfaltdach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kombiniert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Leicht-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bautechnologie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(glasfreie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PV-Module),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46"/>
        </w:rPr>
        <w:t> </w:t>
      </w:r>
      <w:r>
        <w:rPr>
          <w:color w:val="231F20"/>
        </w:rPr>
        <w:t>Seilbahntechnik</w:t>
      </w:r>
      <w:r>
        <w:rPr>
          <w:color w:val="231F20"/>
          <w:spacing w:val="47"/>
        </w:rPr>
        <w:t> </w:t>
      </w:r>
      <w:r>
        <w:rPr>
          <w:color w:val="231F20"/>
        </w:rPr>
        <w:t>und</w:t>
      </w:r>
      <w:r>
        <w:rPr>
          <w:color w:val="231F20"/>
          <w:spacing w:val="46"/>
        </w:rPr>
        <w:t> </w:t>
      </w:r>
      <w:r>
        <w:rPr>
          <w:color w:val="231F20"/>
        </w:rPr>
        <w:t>eine</w:t>
      </w:r>
      <w:r>
        <w:rPr>
          <w:color w:val="231F20"/>
          <w:spacing w:val="47"/>
        </w:rPr>
        <w:t> </w:t>
      </w:r>
      <w:r>
        <w:rPr>
          <w:color w:val="231F20"/>
        </w:rPr>
        <w:t>voll-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automatische</w:t>
      </w:r>
      <w:r>
        <w:rPr>
          <w:color w:val="231F20"/>
          <w:spacing w:val="21"/>
        </w:rPr>
        <w:t> </w:t>
      </w:r>
      <w:r>
        <w:rPr>
          <w:color w:val="231F20"/>
        </w:rPr>
        <w:t>Steuerung</w:t>
      </w:r>
      <w:r>
        <w:rPr>
          <w:color w:val="231F20"/>
          <w:spacing w:val="21"/>
        </w:rPr>
        <w:t> </w:t>
      </w:r>
      <w:r>
        <w:rPr>
          <w:color w:val="231F20"/>
        </w:rPr>
        <w:t>im</w:t>
      </w:r>
      <w:r>
        <w:rPr>
          <w:color w:val="231F20"/>
          <w:spacing w:val="21"/>
        </w:rPr>
        <w:t> </w:t>
      </w:r>
      <w:r>
        <w:rPr>
          <w:color w:val="231F20"/>
        </w:rPr>
        <w:t>Rahmen</w:t>
      </w:r>
      <w:r>
        <w:rPr>
          <w:color w:val="231F20"/>
          <w:spacing w:val="21"/>
        </w:rPr>
        <w:t> </w:t>
      </w:r>
      <w:r>
        <w:rPr>
          <w:color w:val="231F20"/>
        </w:rPr>
        <w:t>eines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KTI-Projektes</w:t>
      </w:r>
      <w:r>
        <w:rPr>
          <w:color w:val="231F20"/>
          <w:spacing w:val="37"/>
        </w:rPr>
        <w:t> </w:t>
      </w:r>
      <w:r>
        <w:rPr>
          <w:color w:val="231F20"/>
        </w:rPr>
        <w:t>von</w:t>
      </w:r>
      <w:r>
        <w:rPr>
          <w:color w:val="231F20"/>
          <w:spacing w:val="38"/>
        </w:rPr>
        <w:t> </w:t>
      </w:r>
      <w:r>
        <w:rPr>
          <w:color w:val="231F20"/>
        </w:rPr>
        <w:t>der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ZHAW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entwickelten</w:t>
      </w:r>
      <w:r>
        <w:rPr>
          <w:color w:val="231F20"/>
          <w:spacing w:val="39"/>
        </w:rPr>
        <w:t> </w:t>
      </w:r>
      <w:r>
        <w:rPr>
          <w:color w:val="231F20"/>
        </w:rPr>
        <w:t>Meteoalgorithmen.</w:t>
      </w:r>
      <w:r>
        <w:rPr/>
      </w:r>
    </w:p>
    <w:p>
      <w:pPr>
        <w:pStyle w:val="BodyText"/>
        <w:spacing w:line="232" w:lineRule="auto"/>
        <w:ind w:right="8" w:firstLine="226"/>
        <w:jc w:val="both"/>
      </w:pPr>
      <w:r>
        <w:rPr>
          <w:color w:val="231F20"/>
          <w:spacing w:val="-1"/>
        </w:rPr>
        <w:t>Abwasserreinigungsanlagen</w:t>
      </w:r>
      <w:r>
        <w:rPr>
          <w:color w:val="231F20"/>
        </w:rPr>
        <w:t> 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gehören</w:t>
      </w:r>
      <w:r>
        <w:rPr>
          <w:color w:val="231F20"/>
          <w:spacing w:val="33"/>
        </w:rPr>
        <w:t> </w:t>
      </w:r>
      <w:r>
        <w:rPr>
          <w:color w:val="231F20"/>
        </w:rPr>
        <w:t>zu</w:t>
      </w:r>
      <w:r>
        <w:rPr>
          <w:color w:val="231F20"/>
          <w:spacing w:val="36"/>
        </w:rPr>
        <w:t> </w:t>
      </w:r>
      <w:r>
        <w:rPr>
          <w:color w:val="231F20"/>
        </w:rPr>
        <w:t>den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grössten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«kommunalen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Stromfres-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sern».</w:t>
      </w:r>
      <w:r>
        <w:rPr>
          <w:color w:val="231F20"/>
          <w:spacing w:val="-16"/>
        </w:rPr>
        <w:t> </w:t>
      </w:r>
      <w:r>
        <w:rPr>
          <w:color w:val="231F20"/>
        </w:rPr>
        <w:t>Dabei</w:t>
      </w:r>
      <w:r>
        <w:rPr>
          <w:color w:val="231F20"/>
          <w:spacing w:val="-5"/>
        </w:rPr>
        <w:t> </w:t>
      </w:r>
      <w:r>
        <w:rPr>
          <w:color w:val="231F20"/>
        </w:rPr>
        <w:t>verfügen</w:t>
      </w:r>
      <w:r>
        <w:rPr>
          <w:color w:val="231F20"/>
          <w:spacing w:val="-5"/>
        </w:rPr>
        <w:t> </w:t>
      </w:r>
      <w:r>
        <w:rPr>
          <w:color w:val="231F20"/>
        </w:rPr>
        <w:t>sie</w:t>
      </w:r>
      <w:r>
        <w:rPr>
          <w:color w:val="231F20"/>
          <w:spacing w:val="-5"/>
        </w:rPr>
        <w:t> </w:t>
      </w:r>
      <w:r>
        <w:rPr>
          <w:color w:val="231F20"/>
        </w:rPr>
        <w:t>meistens</w:t>
      </w:r>
      <w:r>
        <w:rPr>
          <w:color w:val="231F20"/>
          <w:spacing w:val="-5"/>
        </w:rPr>
        <w:t> </w:t>
      </w:r>
      <w:r>
        <w:rPr>
          <w:color w:val="231F20"/>
        </w:rPr>
        <w:t>über</w:t>
      </w:r>
      <w:r>
        <w:rPr>
          <w:color w:val="231F20"/>
          <w:spacing w:val="-5"/>
        </w:rPr>
        <w:t> </w:t>
      </w:r>
      <w:r>
        <w:rPr>
          <w:color w:val="231F20"/>
        </w:rPr>
        <w:t>ein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grosses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Potential</w:t>
      </w:r>
      <w:r>
        <w:rPr>
          <w:color w:val="231F20"/>
          <w:spacing w:val="30"/>
        </w:rPr>
        <w:t> </w:t>
      </w:r>
      <w:r>
        <w:rPr>
          <w:color w:val="231F20"/>
        </w:rPr>
        <w:t>für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infrastrukturintegrier-</w:t>
      </w:r>
      <w:r>
        <w:rPr>
          <w:color w:val="231F20"/>
          <w:spacing w:val="57"/>
        </w:rPr>
        <w:t> </w:t>
      </w:r>
      <w:r>
        <w:rPr>
          <w:color w:val="231F20"/>
        </w:rPr>
        <w:t>te</w:t>
      </w:r>
      <w:r>
        <w:rPr>
          <w:color w:val="231F20"/>
          <w:spacing w:val="32"/>
        </w:rPr>
        <w:t> </w:t>
      </w:r>
      <w:r>
        <w:rPr>
          <w:color w:val="231F20"/>
        </w:rPr>
        <w:t>Photovoltaikanlagen,</w:t>
      </w:r>
      <w:r>
        <w:rPr>
          <w:color w:val="231F20"/>
          <w:spacing w:val="21"/>
        </w:rPr>
        <w:t> </w:t>
      </w:r>
      <w:r>
        <w:rPr>
          <w:color w:val="231F20"/>
        </w:rPr>
        <w:t>wie</w:t>
      </w:r>
      <w:r>
        <w:rPr>
          <w:color w:val="231F20"/>
          <w:spacing w:val="33"/>
        </w:rPr>
        <w:t> </w:t>
      </w:r>
      <w:r>
        <w:rPr>
          <w:color w:val="231F20"/>
        </w:rPr>
        <w:t>die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ARA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Chur</w:t>
      </w:r>
      <w:r>
        <w:rPr>
          <w:color w:val="231F20"/>
          <w:spacing w:val="27"/>
        </w:rPr>
        <w:t> </w:t>
      </w:r>
      <w:r>
        <w:rPr>
          <w:color w:val="231F20"/>
        </w:rPr>
        <w:t>vorbildlich</w:t>
      </w:r>
      <w:r>
        <w:rPr>
          <w:color w:val="231F20"/>
          <w:spacing w:val="20"/>
        </w:rPr>
        <w:t> </w:t>
      </w:r>
      <w:r>
        <w:rPr>
          <w:color w:val="231F20"/>
        </w:rPr>
        <w:t>zeigt.</w:t>
      </w:r>
      <w:r>
        <w:rPr>
          <w:color w:val="231F20"/>
          <w:spacing w:val="9"/>
        </w:rPr>
        <w:t> </w:t>
      </w:r>
      <w:r>
        <w:rPr>
          <w:color w:val="231F20"/>
        </w:rPr>
        <w:t>Deshalb</w:t>
      </w:r>
      <w:r>
        <w:rPr>
          <w:color w:val="231F20"/>
          <w:spacing w:val="20"/>
        </w:rPr>
        <w:t> </w:t>
      </w:r>
      <w:r>
        <w:rPr>
          <w:color w:val="231F20"/>
        </w:rPr>
        <w:t>gilt</w:t>
      </w:r>
      <w:r>
        <w:rPr>
          <w:color w:val="231F20"/>
          <w:spacing w:val="20"/>
        </w:rPr>
        <w:t> </w:t>
      </w:r>
      <w:r>
        <w:rPr>
          <w:color w:val="231F20"/>
        </w:rPr>
        <w:t>es,</w:t>
      </w:r>
      <w:r>
        <w:rPr>
          <w:color w:val="231F20"/>
          <w:spacing w:val="9"/>
        </w:rPr>
        <w:t> </w:t>
      </w:r>
      <w:r>
        <w:rPr>
          <w:color w:val="231F20"/>
        </w:rPr>
        <w:t>alle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ARA-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Betreiber</w:t>
      </w:r>
      <w:r>
        <w:rPr>
          <w:color w:val="231F20"/>
          <w:spacing w:val="-7"/>
        </w:rPr>
        <w:t> </w:t>
      </w:r>
      <w:r>
        <w:rPr>
          <w:color w:val="231F20"/>
        </w:rPr>
        <w:t>zu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motivieren,</w:t>
      </w:r>
      <w:r>
        <w:rPr>
          <w:color w:val="231F20"/>
          <w:spacing w:val="-18"/>
        </w:rPr>
        <w:t> </w:t>
      </w:r>
      <w:r>
        <w:rPr>
          <w:color w:val="231F20"/>
        </w:rPr>
        <w:t>auf</w:t>
      </w:r>
      <w:r>
        <w:rPr>
          <w:color w:val="231F20"/>
          <w:spacing w:val="-7"/>
        </w:rPr>
        <w:t> </w:t>
      </w:r>
      <w:r>
        <w:rPr>
          <w:color w:val="231F20"/>
        </w:rPr>
        <w:t>einen</w:t>
      </w:r>
      <w:r>
        <w:rPr>
          <w:color w:val="231F20"/>
          <w:spacing w:val="-7"/>
        </w:rPr>
        <w:t> </w:t>
      </w:r>
      <w:r>
        <w:rPr>
          <w:color w:val="231F20"/>
        </w:rPr>
        <w:t>möglichst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energieeffizienten</w:t>
      </w:r>
      <w:r>
        <w:rPr>
          <w:color w:val="231F20"/>
          <w:spacing w:val="14"/>
        </w:rPr>
        <w:t> </w:t>
      </w:r>
      <w:r>
        <w:rPr>
          <w:color w:val="231F20"/>
        </w:rPr>
        <w:t>Betrieb</w:t>
      </w:r>
      <w:r>
        <w:rPr>
          <w:color w:val="231F20"/>
          <w:spacing w:val="14"/>
        </w:rPr>
        <w:t> </w:t>
      </w:r>
      <w:r>
        <w:rPr>
          <w:color w:val="231F20"/>
        </w:rPr>
        <w:t>umzustellen</w:t>
      </w:r>
      <w:r>
        <w:rPr>
          <w:color w:val="231F20"/>
          <w:spacing w:val="14"/>
        </w:rPr>
        <w:t> </w:t>
      </w:r>
      <w:r>
        <w:rPr>
          <w:color w:val="231F20"/>
        </w:rPr>
        <w:t>und</w:t>
      </w:r>
      <w:r>
        <w:rPr>
          <w:color w:val="231F20"/>
          <w:spacing w:val="36"/>
        </w:rPr>
        <w:t> </w:t>
      </w:r>
      <w:r>
        <w:rPr>
          <w:color w:val="231F20"/>
        </w:rPr>
        <w:t>einen</w:t>
      </w:r>
      <w:r>
        <w:rPr>
          <w:color w:val="231F20"/>
          <w:spacing w:val="-4"/>
        </w:rPr>
        <w:t> Teil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benötigten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selber</w:t>
      </w:r>
      <w:r>
        <w:rPr>
          <w:color w:val="231F20"/>
          <w:spacing w:val="10"/>
        </w:rPr>
        <w:t> </w:t>
      </w:r>
      <w:r>
        <w:rPr>
          <w:color w:val="231F20"/>
        </w:rPr>
        <w:t>zu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produzieren.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23"/>
        </w:rPr>
        <w:t> </w:t>
      </w:r>
      <w:r>
        <w:rPr>
          <w:color w:val="231F20"/>
        </w:rPr>
        <w:t>das</w:t>
      </w:r>
      <w:r>
        <w:rPr>
          <w:color w:val="231F20"/>
          <w:spacing w:val="24"/>
        </w:rPr>
        <w:t> </w:t>
      </w:r>
      <w:r>
        <w:rPr>
          <w:color w:val="231F20"/>
        </w:rPr>
        <w:t>pionierhafte</w:t>
      </w:r>
      <w:r>
        <w:rPr>
          <w:color w:val="231F20"/>
          <w:spacing w:val="23"/>
        </w:rPr>
        <w:t> </w:t>
      </w:r>
      <w:r>
        <w:rPr>
          <w:color w:val="231F20"/>
        </w:rPr>
        <w:t>Engage-</w:t>
      </w:r>
      <w:r>
        <w:rPr>
          <w:color w:val="231F20"/>
          <w:spacing w:val="27"/>
        </w:rPr>
        <w:t> </w:t>
      </w:r>
      <w:r>
        <w:rPr>
          <w:color w:val="231F20"/>
        </w:rPr>
        <w:t>ment,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-8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ARA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Chur</w:t>
      </w:r>
      <w:r>
        <w:rPr>
          <w:color w:val="231F20"/>
          <w:spacing w:val="-8"/>
        </w:rPr>
        <w:t> </w:t>
      </w:r>
      <w:r>
        <w:rPr>
          <w:color w:val="231F20"/>
        </w:rPr>
        <w:t>mit</w:t>
      </w:r>
      <w:r>
        <w:rPr>
          <w:color w:val="231F20"/>
          <w:spacing w:val="-8"/>
        </w:rPr>
        <w:t> </w:t>
      </w:r>
      <w:r>
        <w:rPr>
          <w:color w:val="231F20"/>
        </w:rPr>
        <w:t>dem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2019 ausgezeichnet.</w:t>
      </w:r>
      <w:r>
        <w:rPr/>
      </w:r>
    </w:p>
    <w:p>
      <w:pPr>
        <w:spacing w:line="195" w:lineRule="exact" w:before="0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empêchant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production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courant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solaire.</w:t>
      </w:r>
      <w:r>
        <w:rPr>
          <w:rFonts w:ascii="Theinhardt Regular Italic" w:hAnsi="Theinhardt Regular Italic"/>
          <w:sz w:val="18"/>
        </w:rPr>
      </w:r>
    </w:p>
    <w:p>
      <w:pPr>
        <w:spacing w:line="232" w:lineRule="auto" w:before="1"/>
        <w:ind w:left="106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personnel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moment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décider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rabattre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appuyant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afin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d’accéder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facilement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bassins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les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entretenir.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3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pliant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combine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infra-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construction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mobile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légère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(mo-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verre)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technologie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téléphériques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mande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automatiquement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développé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ZHAW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le cadre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projet CTI.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3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d’épuration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comptent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gros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«dévoreurs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muni-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cipaux»,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plupart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trales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potentielles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idéales,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façon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exemplaire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ARA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Chur.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Raison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encourager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opérateurs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œuvre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infrastructure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énergétiquement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efficace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eux-mêmes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partie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qu’ils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consomment.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3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z w:val="18"/>
        </w:rPr>
        <w:t>ARA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Chur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reçoit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Prix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Solaire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Suisse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2019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son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engagement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pionnier.</w:t>
      </w:r>
      <w:r>
        <w:rPr>
          <w:rFonts w:ascii="Theinhardt Regular Italic" w:hAnsi="Theinhardt Regular Italic"/>
          <w:sz w:val="18"/>
        </w:rPr>
      </w:r>
    </w:p>
    <w:p>
      <w:pPr>
        <w:spacing w:line="172" w:lineRule="exact" w:before="38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pacing w:val="2"/>
          <w:sz w:val="14"/>
        </w:rPr>
        <w:t>ARA</w:t>
      </w:r>
      <w:r>
        <w:rPr>
          <w:rFonts w:ascii="Theinhardt Regular"/>
          <w:color w:val="231F20"/>
          <w:sz w:val="14"/>
        </w:rPr>
        <w:t> Chur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Rheinmühleweg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87,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7000</w:t>
      </w:r>
      <w:r>
        <w:rPr>
          <w:rFonts w:ascii="Theinhardt Regular" w:hAnsi="Theinhardt Regular"/>
          <w:color w:val="231F20"/>
          <w:sz w:val="14"/>
        </w:rPr>
        <w:t> Chur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254 49 </w:t>
      </w:r>
      <w:r>
        <w:rPr>
          <w:rFonts w:ascii="Theinhardt Regular"/>
          <w:color w:val="231F20"/>
          <w:spacing w:val="-7"/>
          <w:sz w:val="14"/>
        </w:rPr>
        <w:t>17</w:t>
      </w:r>
      <w:hyperlink r:id="rId6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Curdin.Hedinger@chur.ch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06" w:right="33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Eigentümerin,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Betreiberin</w:t>
      </w:r>
      <w:r>
        <w:rPr>
          <w:rFonts w:ascii="Theinhardt Bold" w:hAnsi="Theinhardt Bold"/>
          <w:b/>
          <w:color w:val="231F20"/>
          <w:spacing w:val="5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IBC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Wasser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Chur,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Markus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Kunz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Felsenaustrasse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7000</w:t>
      </w:r>
      <w:r>
        <w:rPr>
          <w:rFonts w:ascii="Theinhardt Regular" w:hAnsi="Theinhardt Regular"/>
          <w:color w:val="231F20"/>
          <w:sz w:val="14"/>
        </w:rPr>
        <w:t> Chur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254 </w:t>
      </w:r>
      <w:r>
        <w:rPr>
          <w:rFonts w:ascii="Theinhardt Regular"/>
          <w:color w:val="231F20"/>
          <w:spacing w:val="1"/>
          <w:sz w:val="14"/>
        </w:rPr>
        <w:t>48</w:t>
      </w:r>
      <w:r>
        <w:rPr>
          <w:rFonts w:ascii="Theinhardt Regular"/>
          <w:color w:val="231F20"/>
          <w:sz w:val="14"/>
        </w:rPr>
        <w:t> 0</w:t>
      </w:r>
      <w:hyperlink r:id="rId7">
        <w:r>
          <w:rPr>
            <w:rFonts w:ascii="Theinhardt Regular"/>
            <w:color w:val="231F20"/>
            <w:sz w:val="14"/>
          </w:rPr>
          <w:t>2, </w:t>
        </w:r>
        <w:r>
          <w:rPr>
            <w:rFonts w:ascii="Theinhardt Regular"/>
            <w:color w:val="231F20"/>
            <w:spacing w:val="1"/>
            <w:sz w:val="14"/>
          </w:rPr>
          <w:t>markus.kunz@ibc-chur.ch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Initiant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Contractingnehmerin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33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Stadt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Chur,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Departement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Bau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Planung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Umwelt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Roland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Arpagaus,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Stadtingenieur,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Tiefbaudienste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254 </w:t>
      </w:r>
      <w:r>
        <w:rPr>
          <w:rFonts w:ascii="Theinhardt Regular"/>
          <w:color w:val="231F20"/>
          <w:spacing w:val="-3"/>
          <w:sz w:val="14"/>
        </w:rPr>
        <w:t>47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21</w:t>
      </w:r>
      <w:hyperlink r:id="rId8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Roland.Arpagaus@chur.ch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46"/>
        <w:ind w:left="106" w:right="165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Projektplanung,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Produktentwicklung,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Systemlie-</w:t>
      </w:r>
      <w:r>
        <w:rPr>
          <w:rFonts w:ascii="Theinhardt Bold"/>
          <w:b/>
          <w:color w:val="231F20"/>
          <w:spacing w:val="44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ferant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Realisierung</w:t>
      </w:r>
      <w:r>
        <w:rPr>
          <w:rFonts w:ascii="Theinhardt Bold"/>
          <w:sz w:val="14"/>
        </w:rPr>
      </w:r>
    </w:p>
    <w:p>
      <w:pPr>
        <w:spacing w:line="165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dhp </w:t>
      </w:r>
      <w:r>
        <w:rPr>
          <w:rFonts w:ascii="Theinhardt Regular" w:hAnsi="Theinhardt Regular"/>
          <w:color w:val="231F20"/>
          <w:spacing w:val="1"/>
          <w:sz w:val="14"/>
        </w:rPr>
        <w:t>technology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Andreas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Hügli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5"/>
        <w:ind w:left="106" w:right="48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3"/>
          <w:sz w:val="14"/>
        </w:rPr>
        <w:t>Weststrasse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7,</w:t>
      </w:r>
      <w:r>
        <w:rPr>
          <w:rFonts w:ascii="Theinhardt Regular"/>
          <w:color w:val="231F20"/>
          <w:sz w:val="14"/>
        </w:rPr>
        <w:t> 7205 </w:t>
      </w:r>
      <w:r>
        <w:rPr>
          <w:rFonts w:ascii="Theinhardt Regular"/>
          <w:color w:val="231F20"/>
          <w:spacing w:val="1"/>
          <w:sz w:val="14"/>
        </w:rPr>
        <w:t>Zizers,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078</w:t>
      </w:r>
      <w:r>
        <w:rPr>
          <w:rFonts w:ascii="Theinhardt Regular"/>
          <w:color w:val="231F20"/>
          <w:sz w:val="14"/>
        </w:rPr>
        <w:t> 730 89 </w:t>
      </w:r>
      <w:r>
        <w:rPr>
          <w:rFonts w:ascii="Theinhardt Regular"/>
          <w:color w:val="231F20"/>
          <w:spacing w:val="-7"/>
          <w:sz w:val="14"/>
        </w:rPr>
        <w:t>11,</w:t>
      </w:r>
      <w:hyperlink r:id="rId9">
        <w:r>
          <w:rPr>
            <w:rFonts w:ascii="Theinhardt Regular"/>
            <w:color w:val="231F20"/>
            <w:spacing w:val="3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andreas.huehli@dhp-technology.ch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Elektroinstallationen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5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Elektro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Raetus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Martin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Conrad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Pulvermühlestrasse</w:t>
      </w:r>
      <w:r>
        <w:rPr>
          <w:rFonts w:ascii="Theinhardt Regular" w:hAnsi="Theinhardt Regular"/>
          <w:color w:val="231F20"/>
          <w:sz w:val="14"/>
        </w:rPr>
        <w:t> 93, </w:t>
      </w:r>
      <w:r>
        <w:rPr>
          <w:rFonts w:ascii="Theinhardt Regular" w:hAnsi="Theinhardt Regular"/>
          <w:color w:val="231F20"/>
          <w:spacing w:val="1"/>
          <w:sz w:val="14"/>
        </w:rPr>
        <w:t>7000</w:t>
      </w:r>
      <w:r>
        <w:rPr>
          <w:rFonts w:ascii="Theinhardt Regular" w:hAnsi="Theinhardt Regular"/>
          <w:color w:val="231F20"/>
          <w:sz w:val="14"/>
        </w:rPr>
        <w:t> Chur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286 </w:t>
      </w:r>
      <w:r>
        <w:rPr>
          <w:rFonts w:ascii="Theinhardt Regular"/>
          <w:color w:val="231F20"/>
          <w:spacing w:val="1"/>
          <w:sz w:val="14"/>
        </w:rPr>
        <w:t>90</w:t>
      </w:r>
      <w:r>
        <w:rPr>
          <w:rFonts w:ascii="Theinhardt Regular"/>
          <w:color w:val="231F20"/>
          <w:sz w:val="14"/>
        </w:rPr>
        <w:t> 90</w:t>
      </w:r>
      <w:hyperlink r:id="rId10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2"/>
            <w:sz w:val="14"/>
          </w:rPr>
          <w:t>Martin.Conrad@elektro-raetus.ch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Modullieferant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5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Energy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Robert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Neumann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Ferdinand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Graf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von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Zeppelin-Strasse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18</w:t>
      </w:r>
      <w:r>
        <w:rPr>
          <w:rFonts w:ascii="Theinhardt Regular"/>
          <w:sz w:val="14"/>
        </w:rPr>
      </w:r>
    </w:p>
    <w:p>
      <w:pPr>
        <w:spacing w:line="207" w:lineRule="auto" w:before="0"/>
        <w:ind w:left="106" w:right="16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A-2700 </w:t>
      </w:r>
      <w:r>
        <w:rPr>
          <w:rFonts w:ascii="Theinhardt Regular"/>
          <w:color w:val="231F20"/>
          <w:spacing w:val="1"/>
          <w:sz w:val="14"/>
        </w:rPr>
        <w:t>Wiener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Neustadt,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+43 </w:t>
      </w:r>
      <w:r>
        <w:rPr>
          <w:rFonts w:ascii="Theinhardt Regular"/>
          <w:color w:val="231F20"/>
          <w:spacing w:val="-1"/>
          <w:sz w:val="14"/>
        </w:rPr>
        <w:t>2622</w:t>
      </w:r>
      <w:r>
        <w:rPr>
          <w:rFonts w:ascii="Theinhardt Regular"/>
          <w:color w:val="231F20"/>
          <w:sz w:val="14"/>
        </w:rPr>
        <w:t> 35035 </w:t>
      </w:r>
      <w:r>
        <w:rPr>
          <w:rFonts w:ascii="Theinhardt Regular"/>
          <w:color w:val="231F20"/>
          <w:spacing w:val="1"/>
          <w:sz w:val="14"/>
        </w:rPr>
        <w:t>200,</w:t>
      </w:r>
      <w:hyperlink r:id="rId11">
        <w:r>
          <w:rPr>
            <w:rFonts w:ascii="Theinhardt Regular"/>
            <w:color w:val="231F20"/>
            <w:spacing w:val="4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r.neumann@das-energy.com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Projekt-Unterstützung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Bundesamt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für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Dr.</w:t>
      </w:r>
      <w:r>
        <w:rPr>
          <w:rFonts w:ascii="Theinhardt Regular" w:hAnsi="Theinhardt Regular"/>
          <w:color w:val="231F20"/>
          <w:sz w:val="14"/>
        </w:rPr>
        <w:t> Yasmine </w:t>
      </w:r>
      <w:r>
        <w:rPr>
          <w:rFonts w:ascii="Theinhardt Regular" w:hAnsi="Theinhardt Regular"/>
          <w:color w:val="231F20"/>
          <w:spacing w:val="2"/>
          <w:sz w:val="14"/>
        </w:rPr>
        <w:t>Calisesi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Mühlestrasse</w:t>
      </w:r>
      <w:r>
        <w:rPr>
          <w:rFonts w:ascii="Theinhardt Regular" w:hAnsi="Theinhardt Regular"/>
          <w:color w:val="231F20"/>
          <w:sz w:val="14"/>
        </w:rPr>
        <w:t> 4, </w:t>
      </w:r>
      <w:r>
        <w:rPr>
          <w:rFonts w:ascii="Theinhardt Regular" w:hAnsi="Theinhardt Regular"/>
          <w:color w:val="231F20"/>
          <w:spacing w:val="1"/>
          <w:sz w:val="14"/>
        </w:rPr>
        <w:t>3003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Bern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058</w:t>
      </w:r>
      <w:r>
        <w:rPr>
          <w:rFonts w:ascii="Theinhardt Regular"/>
          <w:color w:val="231F20"/>
          <w:sz w:val="14"/>
        </w:rPr>
        <w:t> 462 </w:t>
      </w:r>
      <w:r>
        <w:rPr>
          <w:rFonts w:ascii="Theinhardt Regular"/>
          <w:color w:val="231F20"/>
          <w:spacing w:val="-3"/>
          <w:sz w:val="14"/>
        </w:rPr>
        <w:t>5321</w:t>
      </w:r>
      <w:hyperlink r:id="rId12">
        <w:r>
          <w:rPr>
            <w:rFonts w:ascii="Theinhardt Regular"/>
            <w:color w:val="231F20"/>
            <w:spacing w:val="-3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yasmine.calisesi@bfe.admin.ch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Projektpartner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3"/>
          <w:sz w:val="14"/>
        </w:rPr>
        <w:t>KTI-Projekt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5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ZHAW </w:t>
      </w:r>
      <w:r>
        <w:rPr>
          <w:rFonts w:ascii="Theinhardt Regular"/>
          <w:color w:val="231F20"/>
          <w:spacing w:val="1"/>
          <w:sz w:val="14"/>
        </w:rPr>
        <w:t>Winterthur,</w:t>
      </w:r>
      <w:r>
        <w:rPr>
          <w:rFonts w:ascii="Theinhardt Regular"/>
          <w:color w:val="231F20"/>
          <w:sz w:val="14"/>
        </w:rPr>
        <w:t> Prof. </w:t>
      </w:r>
      <w:r>
        <w:rPr>
          <w:rFonts w:ascii="Theinhardt Regular"/>
          <w:color w:val="231F20"/>
          <w:spacing w:val="-2"/>
          <w:sz w:val="14"/>
        </w:rPr>
        <w:t>Dr.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Franz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Baumgartner</w:t>
      </w:r>
      <w:r>
        <w:rPr>
          <w:rFonts w:ascii="Theinhardt Regular"/>
          <w:color w:val="231F20"/>
          <w:spacing w:val="3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Technikumstrasse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8400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Winterthur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130394pt;width:167.25pt;height:.45pt;mso-position-horizontal-relative:page;mso-position-vertical-relative:paragraph;z-index:1168" coordorigin="7710,203" coordsize="3345,9">
            <v:group style="position:absolute;left:7732;top:207;width:3311;height:2" coordorigin="7732,207" coordsize="3311,2">
              <v:shape style="position:absolute;left:7732;top:207;width:3311;height:2" coordorigin="7732,207" coordsize="3311,0" path="m7732,207l11042,207e" filled="false" stroked="true" strokeweight=".425pt" strokecolor="#231f20">
                <v:path arrowok="t"/>
                <v:stroke dashstyle="dash"/>
              </v:shape>
            </v:group>
            <v:group style="position:absolute;left:7714;top:207;width:2;height:2" coordorigin="7714,207" coordsize="2,2">
              <v:shape style="position:absolute;left:7714;top:207;width:2;height:2" coordorigin="7714,207" coordsize="0,0" path="m7714,207l7714,207e" filled="false" stroked="true" strokeweight=".425pt" strokecolor="#231f20">
                <v:path arrowok="t"/>
              </v:shape>
            </v:group>
            <v:group style="position:absolute;left:11051;top:207;width:2;height:2" coordorigin="11051,207" coordsize="2,2">
              <v:shape style="position:absolute;left:11051;top:207;width:2;height:2" coordorigin="11051,207" coordsize="0,0" path="m11051,207l11051,20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325</w:t>
      </w:r>
      <w:r>
        <w:rPr>
          <w:rFonts w:ascii="Theinhardt Regular"/>
          <w:color w:val="231F20"/>
          <w:sz w:val="14"/>
        </w:rPr>
        <w:t> 34 </w:t>
      </w:r>
      <w:r>
        <w:rPr>
          <w:rFonts w:ascii="Theinhardt Regular"/>
          <w:color w:val="231F20"/>
          <w:spacing w:val="-7"/>
          <w:sz w:val="14"/>
        </w:rPr>
        <w:t>11</w:t>
      </w:r>
      <w:hyperlink r:id="rId13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franz.baumgartner@zhaw.ch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9"/>
            <w:col w:w="3458" w:space="113"/>
            <w:col w:w="356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5"/>
        <w:rPr>
          <w:rFonts w:ascii="Theinhardt Regular" w:hAnsi="Theinhardt Regular" w:cs="Theinhardt Regular" w:eastAsia="Theinhardt Regular"/>
          <w:sz w:val="22"/>
          <w:szCs w:val="22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8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24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3031" cy="431901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031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"/>
        <w:ind w:left="11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7849" w:val="left" w:leader="none"/>
        </w:tabs>
        <w:spacing w:line="200" w:lineRule="atLeast"/>
        <w:ind w:left="124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4"/>
          <w:sz w:val="20"/>
        </w:rPr>
        <w:drawing>
          <wp:inline distT="0" distB="0" distL="0" distR="0">
            <wp:extent cx="4723002" cy="320649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002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4"/>
          <w:sz w:val="20"/>
        </w:rPr>
      </w:r>
      <w:r>
        <w:rPr>
          <w:rFonts w:ascii="Theinhardt Bold"/>
          <w:position w:val="4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1756338" cy="323088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338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7848" w:val="left" w:leader="none"/>
        </w:tabs>
        <w:spacing w:before="1"/>
        <w:ind w:left="124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1910" w:h="16840"/>
          <w:pgMar w:top="860" w:bottom="280" w:left="740" w:right="440"/>
        </w:sect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numPr>
          <w:ilvl w:val="0"/>
          <w:numId w:val="1"/>
        </w:numPr>
        <w:tabs>
          <w:tab w:pos="352" w:val="left" w:leader="none"/>
        </w:tabs>
        <w:spacing w:line="160" w:lineRule="exact" w:before="0"/>
        <w:ind w:left="351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0.64 MW </w:t>
      </w:r>
      <w:r>
        <w:rPr>
          <w:rFonts w:ascii="Theinhardt Bold" w:hAnsi="Theinhardt Bold"/>
          <w:b/>
          <w:color w:val="231F20"/>
          <w:spacing w:val="-1"/>
          <w:sz w:val="14"/>
        </w:rPr>
        <w:t>starke</w:t>
      </w:r>
      <w:r>
        <w:rPr>
          <w:rFonts w:ascii="Theinhardt Bold" w:hAnsi="Theinhardt Bold"/>
          <w:b/>
          <w:color w:val="231F20"/>
          <w:sz w:val="14"/>
        </w:rPr>
        <w:t> PV-Anlage erstreckt </w:t>
      </w:r>
      <w:r>
        <w:rPr>
          <w:rFonts w:ascii="Theinhardt Bold" w:hAnsi="Theinhardt Bold"/>
          <w:b/>
          <w:color w:val="231F20"/>
          <w:spacing w:val="-1"/>
          <w:sz w:val="14"/>
        </w:rPr>
        <w:t>sich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über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offenen</w:t>
      </w:r>
      <w:r>
        <w:rPr>
          <w:rFonts w:ascii="Theinhardt Bold" w:hAnsi="Theinhardt Bold"/>
          <w:b/>
          <w:color w:val="231F20"/>
          <w:sz w:val="14"/>
        </w:rPr>
        <w:t> Klärbecken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Abwasserreini-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gungsanlage in </w:t>
      </w:r>
      <w:r>
        <w:rPr>
          <w:rFonts w:ascii="Theinhardt Bold" w:hAnsi="Theinhardt Bold"/>
          <w:b/>
          <w:color w:val="231F20"/>
          <w:spacing w:val="-3"/>
          <w:sz w:val="14"/>
        </w:rPr>
        <w:t>Chur.</w:t>
      </w:r>
      <w:r>
        <w:rPr>
          <w:rFonts w:ascii="Theinhardt Bold" w:hAnsi="Theinhardt Bold"/>
          <w:sz w:val="14"/>
        </w:rPr>
      </w: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18"/>
          <w:szCs w:val="18"/>
        </w:rPr>
      </w:pPr>
      <w:r>
        <w:rPr/>
        <w:br w:type="column"/>
      </w:r>
      <w:r>
        <w:rPr>
          <w:rFonts w:ascii="Theinhardt Bold"/>
          <w:b/>
          <w:sz w:val="18"/>
        </w:rPr>
      </w:r>
    </w:p>
    <w:p>
      <w:pPr>
        <w:numPr>
          <w:ilvl w:val="0"/>
          <w:numId w:val="1"/>
        </w:numPr>
        <w:tabs>
          <w:tab w:pos="352" w:val="left" w:leader="none"/>
        </w:tabs>
        <w:spacing w:line="160" w:lineRule="exact" w:before="0"/>
        <w:ind w:left="351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Das innovative Solarfaltdach wird bei schlechten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Wetterverhältnissen oder </w:t>
      </w:r>
      <w:r>
        <w:rPr>
          <w:rFonts w:ascii="Theinhardt Bold" w:hAnsi="Theinhardt Bold"/>
          <w:b/>
          <w:color w:val="231F20"/>
          <w:spacing w:val="-1"/>
          <w:sz w:val="14"/>
        </w:rPr>
        <w:t>erforderlichem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Zugang per </w:t>
      </w:r>
      <w:r>
        <w:rPr>
          <w:rFonts w:ascii="Theinhardt Bold" w:hAnsi="Theinhardt Bold"/>
          <w:b/>
          <w:color w:val="231F20"/>
          <w:spacing w:val="-1"/>
          <w:sz w:val="14"/>
        </w:rPr>
        <w:t>Knopfdruck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einfahren.</w:t>
      </w:r>
      <w:r>
        <w:rPr>
          <w:rFonts w:ascii="Theinhardt Bold" w:hAnsi="Theinhardt Bold"/>
          <w:sz w:val="14"/>
        </w:rPr>
      </w: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8"/>
          <w:szCs w:val="18"/>
        </w:rPr>
      </w:pPr>
      <w:r>
        <w:rPr/>
        <w:br w:type="column"/>
      </w:r>
      <w:r>
        <w:rPr>
          <w:rFonts w:ascii="Theinhardt Bold"/>
          <w:b/>
          <w:sz w:val="18"/>
        </w:rPr>
      </w:r>
    </w:p>
    <w:p>
      <w:pPr>
        <w:numPr>
          <w:ilvl w:val="0"/>
          <w:numId w:val="1"/>
        </w:numPr>
        <w:tabs>
          <w:tab w:pos="352" w:val="left" w:leader="none"/>
        </w:tabs>
        <w:spacing w:line="207" w:lineRule="auto" w:before="0"/>
        <w:ind w:left="351" w:right="268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Mit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PV-Anlage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Klärwerküberdachung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produziert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ARA rund 540 </w:t>
      </w:r>
      <w:r>
        <w:rPr>
          <w:rFonts w:ascii="Theinhardt Bold" w:hAnsi="Theinhardt Bold"/>
          <w:b/>
          <w:color w:val="231F20"/>
          <w:spacing w:val="-2"/>
          <w:sz w:val="14"/>
        </w:rPr>
        <w:t>MWh/a</w:t>
      </w:r>
      <w:r>
        <w:rPr>
          <w:rFonts w:ascii="Theinhardt Bold" w:hAnsi="Theinhardt Bold"/>
          <w:b/>
          <w:color w:val="231F20"/>
          <w:sz w:val="14"/>
        </w:rPr>
        <w:t> einheimi-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sche </w:t>
      </w:r>
      <w:r>
        <w:rPr>
          <w:rFonts w:ascii="Theinhardt Bold" w:hAnsi="Theinhardt Bold"/>
          <w:b/>
          <w:color w:val="231F20"/>
          <w:spacing w:val="-1"/>
          <w:sz w:val="14"/>
        </w:rPr>
        <w:t>CO</w:t>
      </w:r>
      <w:r>
        <w:rPr>
          <w:rFonts w:ascii="Theinhardt Bold" w:hAnsi="Theinhardt Bold"/>
          <w:b/>
          <w:color w:val="231F20"/>
          <w:spacing w:val="-1"/>
          <w:position w:val="-4"/>
          <w:sz w:val="8"/>
        </w:rPr>
        <w:t>2</w:t>
      </w:r>
      <w:r>
        <w:rPr>
          <w:rFonts w:ascii="Theinhardt Bold" w:hAnsi="Theinhardt Bold"/>
          <w:b/>
          <w:color w:val="231F20"/>
          <w:spacing w:val="-1"/>
          <w:sz w:val="14"/>
        </w:rPr>
        <w:t>-neutrale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Energie.</w:t>
      </w:r>
      <w:r>
        <w:rPr>
          <w:rFonts w:ascii="Theinhardt Bold" w:hAnsi="Theinhardt Bold"/>
          <w:sz w:val="14"/>
        </w:rPr>
      </w:r>
    </w:p>
    <w:p>
      <w:pPr>
        <w:spacing w:after="0" w:line="207" w:lineRule="auto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40"/>
          <w:cols w:num="3" w:equalWidth="0">
            <w:col w:w="3413" w:space="159"/>
            <w:col w:w="3468" w:space="104"/>
            <w:col w:w="3586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1"/>
          <w:szCs w:val="21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Light">
    <w:altName w:val="Theinhardt Light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3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8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9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ibc-chur.ch" TargetMode="External"/><Relationship Id="rId6" Type="http://schemas.openxmlformats.org/officeDocument/2006/relationships/hyperlink" Target="mailto:Curdin.Hedinger@chur.ch" TargetMode="External"/><Relationship Id="rId7" Type="http://schemas.openxmlformats.org/officeDocument/2006/relationships/hyperlink" Target="mailto:markus.kunz@ibc-chur.ch" TargetMode="External"/><Relationship Id="rId8" Type="http://schemas.openxmlformats.org/officeDocument/2006/relationships/hyperlink" Target="mailto:Roland.Arpagaus@chur.ch" TargetMode="External"/><Relationship Id="rId9" Type="http://schemas.openxmlformats.org/officeDocument/2006/relationships/hyperlink" Target="mailto:andreas.huehli@dhp-technology.ch" TargetMode="External"/><Relationship Id="rId10" Type="http://schemas.openxmlformats.org/officeDocument/2006/relationships/hyperlink" Target="mailto:Martin.Conrad@elektro-raetus.ch" TargetMode="External"/><Relationship Id="rId11" Type="http://schemas.openxmlformats.org/officeDocument/2006/relationships/hyperlink" Target="mailto:r.neumann@das-energy.com" TargetMode="External"/><Relationship Id="rId12" Type="http://schemas.openxmlformats.org/officeDocument/2006/relationships/hyperlink" Target="mailto:yasmine.calisesi@bfe.admin.ch" TargetMode="External"/><Relationship Id="rId13" Type="http://schemas.openxmlformats.org/officeDocument/2006/relationships/hyperlink" Target="mailto:franz.baumgartner@zhaw.ch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2019-10-04T10:18:27Z</dcterms:created>
  <dcterms:modified xsi:type="dcterms:W3CDTF">2019-10-04T10:18:27Z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2019-10-04T00:00:00Z</vt:filetime>
  </property>
</Properties>
</file>