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7" w:val="left" w:leader="none"/>
        </w:tabs>
        <w:spacing w:line="230" w:lineRule="exact" w:before="28"/>
        <w:ind w:left="108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7.645201pt;margin-top:13.647326pt;width:.1pt;height:.1pt;mso-position-horizontal-relative:page;mso-position-vertical-relative:paragraph;z-index:-3904" coordorigin="553,273" coordsize="2,2">
            <v:shape style="position:absolute;left:553;top:273;width:2;height:2" coordorigin="553,273" coordsize="0,0" path="m553,273l553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49.818207pt;margin-top:13.647326pt;width:.1pt;height:.1pt;mso-position-horizontal-relative:page;mso-position-vertical-relative:paragraph;z-index:1120" coordorigin="2996,273" coordsize="2,2">
            <v:shape style="position:absolute;left:2996;top:273;width:2;height:2" coordorigin="2996,273" coordsize="0,0" path="m2996,273l2996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7.645201pt;margin-top:25.147326pt;width:.1pt;height:.1pt;mso-position-horizontal-relative:page;mso-position-vertical-relative:paragraph;z-index:-3856" coordorigin="553,503" coordsize="2,2">
            <v:shape style="position:absolute;left:553;top:503;width:2;height:2" coordorigin="553,503" coordsize="0,0" path="m553,503l553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49.818207pt;margin-top:25.147326pt;width:.1pt;height:.1pt;mso-position-horizontal-relative:page;mso-position-vertical-relative:paragraph;z-index:1168" coordorigin="2996,503" coordsize="2,2">
            <v:shape style="position:absolute;left:2996;top:503;width:2;height:2" coordorigin="2996,503" coordsize="0,0" path="m2996,503l2996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27.433201pt;margin-top:52.268925pt;width:82.2043pt;height:60.2042pt;mso-position-horizontal-relative:page;mso-position-vertical-relative:paragraph;z-index:1192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2019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8" w:right="125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Herbst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2018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erstellte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(MFH)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Greter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Luzern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umfasst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vier</w:t>
      </w:r>
      <w:r>
        <w:rPr>
          <w:rFonts w:ascii="Theinhardt Bold" w:hAnsi="Theinhardt Bold" w:cs="Theinhardt Bold" w:eastAsia="Theinhardt Bold"/>
          <w:b/>
          <w:bCs/>
          <w:color w:val="231F20"/>
          <w:spacing w:val="4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Wohnungen.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Holz-Neubau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Dachdämmung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dreifach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verglas-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Fenstern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18’900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21.3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ästhetisch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Ost-West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ausgerichteten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Dachflächen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ganzflächig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integriert.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Solarstromproduktion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21’300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liegt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6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113%.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werden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energieeffiziente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Wärmepumpe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betrieben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vier</w:t>
      </w:r>
      <w:r>
        <w:rPr>
          <w:rFonts w:ascii="Theinhardt Bold" w:hAnsi="Theinhardt Bold" w:cs="Theinhardt Bold" w:eastAsia="Theinhardt Bold"/>
          <w:b/>
          <w:bCs/>
          <w:color w:val="231F20"/>
          <w:spacing w:val="6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Wohnungen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versorgt.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nachhaltige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PlusEnergieBau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9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 2’400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40" w:right="740"/>
          <w:cols w:num="2" w:equalWidth="0">
            <w:col w:w="2548" w:space="130"/>
            <w:col w:w="8052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8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113%</w:t>
      </w:r>
      <w:r>
        <w:rPr>
          <w:rFonts w:ascii="Theinhardt Black"/>
          <w:b/>
          <w:color w:val="0067B1"/>
          <w:spacing w:val="-1"/>
          <w:sz w:val="40"/>
        </w:rPr>
        <w:t>-</w:t>
      </w:r>
      <w:r>
        <w:rPr>
          <w:rFonts w:ascii="Theinhardt Black"/>
          <w:b/>
          <w:color w:val="0067B1"/>
          <w:sz w:val="40"/>
        </w:rPr>
        <w:t>P</w:t>
      </w:r>
      <w:r>
        <w:rPr>
          <w:rFonts w:ascii="Theinhardt Black"/>
          <w:b/>
          <w:color w:val="0067B1"/>
          <w:spacing w:val="-2"/>
          <w:sz w:val="40"/>
        </w:rPr>
        <w:t>l</w:t>
      </w:r>
      <w:r>
        <w:rPr>
          <w:rFonts w:ascii="Theinhardt Black"/>
          <w:b/>
          <w:color w:val="0067B1"/>
          <w:spacing w:val="4"/>
          <w:sz w:val="40"/>
        </w:rPr>
        <w:t>u</w:t>
      </w:r>
      <w:r>
        <w:rPr>
          <w:rFonts w:ascii="Theinhardt Black"/>
          <w:b/>
          <w:color w:val="0067B1"/>
          <w:spacing w:val="-4"/>
          <w:sz w:val="40"/>
        </w:rPr>
        <w:t>s</w:t>
      </w:r>
      <w:r>
        <w:rPr>
          <w:rFonts w:ascii="Theinhardt Black"/>
          <w:b/>
          <w:color w:val="0067B1"/>
          <w:sz w:val="40"/>
        </w:rPr>
        <w:t>E</w:t>
      </w:r>
      <w:r>
        <w:rPr>
          <w:rFonts w:ascii="Theinhardt Black"/>
          <w:b/>
          <w:color w:val="0067B1"/>
          <w:spacing w:val="-3"/>
          <w:sz w:val="40"/>
        </w:rPr>
        <w:t>n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4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gi</w:t>
      </w:r>
      <w:r>
        <w:rPr>
          <w:rFonts w:ascii="Theinhardt Black"/>
          <w:b/>
          <w:color w:val="0067B1"/>
          <w:spacing w:val="-4"/>
          <w:sz w:val="40"/>
        </w:rPr>
        <w:t>e</w:t>
      </w:r>
      <w:r>
        <w:rPr>
          <w:rFonts w:ascii="Theinhardt Black"/>
          <w:b/>
          <w:color w:val="0067B1"/>
          <w:sz w:val="40"/>
        </w:rPr>
        <w:t>-</w:t>
      </w:r>
      <w:r>
        <w:rPr>
          <w:rFonts w:ascii="Theinhardt Black"/>
          <w:b/>
          <w:color w:val="0067B1"/>
          <w:spacing w:val="-2"/>
          <w:sz w:val="40"/>
        </w:rPr>
        <w:t>M</w:t>
      </w:r>
      <w:r>
        <w:rPr>
          <w:rFonts w:ascii="Theinhardt Black"/>
          <w:b/>
          <w:color w:val="0067B1"/>
          <w:spacing w:val="-6"/>
          <w:sz w:val="40"/>
        </w:rPr>
        <w:t>F</w:t>
      </w:r>
      <w:r>
        <w:rPr>
          <w:rFonts w:ascii="Theinhardt Black"/>
          <w:b/>
          <w:color w:val="0067B1"/>
          <w:sz w:val="40"/>
        </w:rPr>
        <w:t>H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G</w:t>
      </w:r>
      <w:r>
        <w:rPr>
          <w:rFonts w:ascii="Theinhardt Black"/>
          <w:b/>
          <w:color w:val="0067B1"/>
          <w:spacing w:val="3"/>
          <w:sz w:val="40"/>
        </w:rPr>
        <w:t>r</w:t>
      </w:r>
      <w:r>
        <w:rPr>
          <w:rFonts w:ascii="Theinhardt Black"/>
          <w:b/>
          <w:color w:val="0067B1"/>
          <w:spacing w:val="8"/>
          <w:sz w:val="40"/>
        </w:rPr>
        <w:t>e</w:t>
      </w:r>
      <w:r>
        <w:rPr>
          <w:rFonts w:ascii="Theinhardt Black"/>
          <w:b/>
          <w:color w:val="0067B1"/>
          <w:sz w:val="40"/>
        </w:rPr>
        <w:t>t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-28"/>
          <w:sz w:val="40"/>
        </w:rPr>
        <w:t>r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600</w:t>
      </w:r>
      <w:r>
        <w:rPr>
          <w:rFonts w:ascii="Theinhardt Black"/>
          <w:b/>
          <w:color w:val="0067B1"/>
          <w:sz w:val="40"/>
        </w:rPr>
        <w:t>6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L</w:t>
      </w:r>
      <w:r>
        <w:rPr>
          <w:rFonts w:ascii="Theinhardt Black"/>
          <w:b/>
          <w:color w:val="0067B1"/>
          <w:spacing w:val="-2"/>
          <w:sz w:val="40"/>
        </w:rPr>
        <w:t>u</w:t>
      </w:r>
      <w:r>
        <w:rPr>
          <w:rFonts w:ascii="Theinhardt Black"/>
          <w:b/>
          <w:color w:val="0067B1"/>
          <w:spacing w:val="-10"/>
          <w:sz w:val="40"/>
        </w:rPr>
        <w:t>z</w:t>
      </w:r>
      <w:r>
        <w:rPr>
          <w:rFonts w:ascii="Theinhardt Black"/>
          <w:b/>
          <w:color w:val="0067B1"/>
          <w:spacing w:val="-3"/>
          <w:sz w:val="40"/>
        </w:rPr>
        <w:t>e</w:t>
      </w:r>
      <w:r>
        <w:rPr>
          <w:rFonts w:ascii="Theinhardt Black"/>
          <w:b/>
          <w:color w:val="0067B1"/>
          <w:spacing w:val="4"/>
          <w:sz w:val="40"/>
        </w:rPr>
        <w:t>r</w:t>
      </w:r>
      <w:r>
        <w:rPr>
          <w:rFonts w:ascii="Theinhardt Black"/>
          <w:b/>
          <w:color w:val="0067B1"/>
          <w:spacing w:val="6"/>
          <w:sz w:val="40"/>
        </w:rPr>
        <w:t>n/</w:t>
      </w:r>
      <w:r>
        <w:rPr>
          <w:rFonts w:ascii="Theinhardt Black"/>
          <w:b/>
          <w:color w:val="0067B1"/>
          <w:spacing w:val="-8"/>
          <w:sz w:val="40"/>
        </w:rPr>
        <w:t>L</w:t>
      </w:r>
      <w:r>
        <w:rPr>
          <w:rFonts w:ascii="Theinhardt Black"/>
          <w:b/>
          <w:color w:val="0067B1"/>
          <w:sz w:val="40"/>
        </w:rPr>
        <w:t>U</w:t>
      </w:r>
      <w:r>
        <w:rPr>
          <w:rFonts w:ascii="Theinhardt Black"/>
          <w:sz w:val="40"/>
        </w:rPr>
      </w:r>
    </w:p>
    <w:p>
      <w:pPr>
        <w:spacing w:line="240" w:lineRule="auto" w:before="2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40" w:right="740"/>
        </w:sectPr>
      </w:pP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Unweit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des</w:t>
      </w:r>
      <w:r>
        <w:rPr>
          <w:color w:val="231F20"/>
        </w:rPr>
        <w:t>  Luzerner </w:t>
      </w:r>
      <w:r>
        <w:rPr>
          <w:color w:val="231F20"/>
          <w:spacing w:val="2"/>
        </w:rPr>
        <w:t>Rotsees,</w:t>
      </w:r>
      <w:r>
        <w:rPr>
          <w:color w:val="231F20"/>
        </w:rPr>
        <w:t> </w:t>
      </w:r>
      <w:r>
        <w:rPr>
          <w:color w:val="231F20"/>
          <w:spacing w:val="1"/>
        </w:rPr>
        <w:t>steht</w:t>
      </w:r>
      <w:r>
        <w:rPr>
          <w:color w:val="231F20"/>
        </w:rPr>
        <w:t> </w:t>
      </w:r>
      <w:r>
        <w:rPr>
          <w:color w:val="231F20"/>
          <w:spacing w:val="1"/>
        </w:rPr>
        <w:t>seit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Herbst</w:t>
      </w:r>
      <w:r>
        <w:rPr>
          <w:color w:val="231F20"/>
          <w:spacing w:val="-4"/>
        </w:rPr>
        <w:t> 2018 </w:t>
      </w:r>
      <w:r>
        <w:rPr>
          <w:color w:val="231F20"/>
          <w:spacing w:val="2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PlusEnergie-Vierfamilien-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haus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Familie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Greter.</w:t>
      </w:r>
      <w:r>
        <w:rPr>
          <w:color w:val="231F20"/>
          <w:spacing w:val="1"/>
        </w:rPr>
        <w:t> Der Holzbau weist</w:t>
      </w:r>
      <w:r>
        <w:rPr>
          <w:color w:val="231F20"/>
          <w:spacing w:val="29"/>
        </w:rPr>
        <w:t> </w:t>
      </w:r>
      <w:r>
        <w:rPr>
          <w:color w:val="231F20"/>
        </w:rPr>
        <w:t>einen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Gesamtenergiebedarf</w:t>
      </w:r>
      <w:r>
        <w:rPr>
          <w:color w:val="231F20"/>
          <w:spacing w:val="42"/>
        </w:rPr>
        <w:t> </w:t>
      </w:r>
      <w:r>
        <w:rPr>
          <w:color w:val="231F20"/>
        </w:rPr>
        <w:t>von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rund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18'900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kWh/a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oder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4’725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kWh/a</w:t>
      </w:r>
      <w:r>
        <w:rPr>
          <w:color w:val="231F20"/>
          <w:spacing w:val="-12"/>
        </w:rPr>
        <w:t> </w:t>
      </w:r>
      <w:r>
        <w:rPr>
          <w:color w:val="231F20"/>
        </w:rPr>
        <w:t>pro</w:t>
      </w:r>
      <w:r>
        <w:rPr>
          <w:color w:val="231F20"/>
          <w:spacing w:val="-12"/>
        </w:rPr>
        <w:t> </w:t>
      </w:r>
      <w:r>
        <w:rPr>
          <w:color w:val="231F20"/>
        </w:rPr>
        <w:t>Fami-</w:t>
      </w:r>
      <w:r>
        <w:rPr>
          <w:color w:val="231F20"/>
          <w:spacing w:val="30"/>
        </w:rPr>
        <w:t> </w:t>
      </w:r>
      <w:r>
        <w:rPr>
          <w:color w:val="231F20"/>
        </w:rPr>
        <w:t>lie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auf.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Die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21.3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kW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starke</w:t>
      </w:r>
      <w:r>
        <w:rPr>
          <w:color w:val="231F20"/>
          <w:spacing w:val="9"/>
        </w:rPr>
        <w:t> </w:t>
      </w:r>
      <w:r>
        <w:rPr>
          <w:color w:val="231F20"/>
        </w:rPr>
        <w:t>PV-Dachanlage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erzeugt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21’300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kWh/a</w:t>
      </w:r>
      <w:r>
        <w:rPr>
          <w:color w:val="231F20"/>
          <w:spacing w:val="-10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deckt</w:t>
      </w:r>
      <w:r>
        <w:rPr>
          <w:color w:val="231F20"/>
          <w:spacing w:val="-10"/>
        </w:rPr>
        <w:t> </w:t>
      </w:r>
      <w:r>
        <w:rPr>
          <w:color w:val="231F20"/>
        </w:rPr>
        <w:t>den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Ener-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giebedarf</w:t>
      </w:r>
      <w:r>
        <w:rPr>
          <w:color w:val="231F20"/>
          <w:spacing w:val="41"/>
        </w:rPr>
        <w:t> </w:t>
      </w:r>
      <w:r>
        <w:rPr>
          <w:color w:val="231F20"/>
        </w:rPr>
        <w:t>zu</w:t>
      </w:r>
      <w:r>
        <w:rPr>
          <w:color w:val="231F20"/>
          <w:spacing w:val="42"/>
        </w:rPr>
        <w:t> </w:t>
      </w:r>
      <w:r>
        <w:rPr>
          <w:color w:val="231F20"/>
          <w:spacing w:val="-7"/>
        </w:rPr>
        <w:t>113%.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Die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monokristallinen</w:t>
      </w:r>
      <w:r>
        <w:rPr>
          <w:color w:val="231F20"/>
          <w:spacing w:val="37"/>
        </w:rPr>
        <w:t> </w:t>
      </w:r>
      <w:r>
        <w:rPr>
          <w:color w:val="231F20"/>
        </w:rPr>
        <w:t>Zellen</w:t>
      </w:r>
      <w:r>
        <w:rPr>
          <w:color w:val="231F20"/>
          <w:spacing w:val="2"/>
        </w:rPr>
        <w:t> </w:t>
      </w:r>
      <w:r>
        <w:rPr>
          <w:color w:val="231F20"/>
        </w:rPr>
        <w:t>sind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ganzflächig</w:t>
      </w:r>
      <w:r>
        <w:rPr>
          <w:color w:val="231F20"/>
          <w:spacing w:val="3"/>
        </w:rPr>
        <w:t> </w:t>
      </w:r>
      <w:r>
        <w:rPr>
          <w:color w:val="231F20"/>
        </w:rPr>
        <w:t>auf</w:t>
      </w:r>
      <w:r>
        <w:rPr>
          <w:color w:val="231F20"/>
          <w:spacing w:val="2"/>
        </w:rPr>
        <w:t> </w:t>
      </w:r>
      <w:r>
        <w:rPr>
          <w:color w:val="231F20"/>
        </w:rPr>
        <w:t>den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127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8"/>
          <w:w w:val="104"/>
          <w:position w:val="6"/>
          <w:sz w:val="10"/>
          <w:szCs w:val="10"/>
        </w:rPr>
        <w:t> </w:t>
      </w:r>
      <w:r>
        <w:rPr>
          <w:color w:val="231F20"/>
          <w:spacing w:val="1"/>
        </w:rPr>
        <w:t>grossen</w:t>
      </w:r>
      <w:r>
        <w:rPr>
          <w:color w:val="231F20"/>
          <w:spacing w:val="19"/>
        </w:rPr>
        <w:t> </w:t>
      </w:r>
      <w:r>
        <w:rPr>
          <w:color w:val="231F20"/>
        </w:rPr>
        <w:t>nach</w:t>
      </w:r>
      <w:r>
        <w:rPr>
          <w:color w:val="231F20"/>
          <w:spacing w:val="19"/>
        </w:rPr>
        <w:t> </w:t>
      </w:r>
      <w:r>
        <w:rPr>
          <w:color w:val="231F20"/>
        </w:rPr>
        <w:t>Ost-West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gerichteten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Dach-</w:t>
      </w:r>
      <w:r>
        <w:rPr>
          <w:color w:val="231F20"/>
          <w:spacing w:val="30"/>
        </w:rPr>
        <w:t> </w:t>
      </w:r>
      <w:r>
        <w:rPr>
          <w:color w:val="231F20"/>
        </w:rPr>
        <w:t>flächen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integriert.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solarbetriebene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Wär-</w:t>
      </w:r>
      <w:r>
        <w:rPr>
          <w:color w:val="231F20"/>
          <w:spacing w:val="42"/>
        </w:rPr>
        <w:t> </w:t>
      </w:r>
      <w:r>
        <w:rPr>
          <w:color w:val="231F20"/>
        </w:rPr>
        <w:t>mepumpe </w:t>
      </w:r>
      <w:r>
        <w:rPr>
          <w:color w:val="231F20"/>
          <w:spacing w:val="1"/>
        </w:rPr>
        <w:t>versorgt</w:t>
      </w:r>
      <w:r>
        <w:rPr>
          <w:color w:val="231F20"/>
        </w:rPr>
        <w:t> den Neubau </w:t>
      </w:r>
      <w:r>
        <w:rPr>
          <w:color w:val="231F20"/>
          <w:spacing w:val="1"/>
        </w:rPr>
        <w:t>mit</w:t>
      </w:r>
      <w:r>
        <w:rPr>
          <w:color w:val="231F20"/>
        </w:rPr>
        <w:t> Warm-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wasser</w:t>
      </w:r>
      <w:r>
        <w:rPr>
          <w:color w:val="231F20"/>
          <w:spacing w:val="38"/>
        </w:rPr>
        <w:t> </w:t>
      </w:r>
      <w:r>
        <w:rPr>
          <w:color w:val="231F20"/>
        </w:rPr>
        <w:t>und</w:t>
      </w:r>
      <w:r>
        <w:rPr>
          <w:color w:val="231F20"/>
          <w:spacing w:val="39"/>
        </w:rPr>
        <w:t> </w:t>
      </w:r>
      <w:r>
        <w:rPr>
          <w:color w:val="231F20"/>
        </w:rPr>
        <w:t>Heizenergie.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Mittels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Energiemanagementsystem</w:t>
      </w:r>
      <w:r>
        <w:rPr>
          <w:color w:val="231F20"/>
          <w:spacing w:val="13"/>
        </w:rPr>
        <w:t> </w:t>
      </w:r>
      <w:r>
        <w:rPr>
          <w:color w:val="231F20"/>
        </w:rPr>
        <w:t>laufen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fle-</w:t>
      </w:r>
      <w:r>
        <w:rPr>
          <w:color w:val="231F20"/>
          <w:spacing w:val="30"/>
        </w:rPr>
        <w:t> </w:t>
      </w:r>
      <w:r>
        <w:rPr>
          <w:color w:val="231F20"/>
        </w:rPr>
        <w:t>xiblen</w:t>
      </w:r>
      <w:r>
        <w:rPr>
          <w:color w:val="231F20"/>
          <w:spacing w:val="19"/>
        </w:rPr>
        <w:t> </w:t>
      </w:r>
      <w:r>
        <w:rPr>
          <w:color w:val="231F20"/>
        </w:rPr>
        <w:t>Verbraucher</w:t>
      </w:r>
      <w:r>
        <w:rPr>
          <w:color w:val="231F20"/>
          <w:spacing w:val="19"/>
        </w:rPr>
        <w:t> </w:t>
      </w:r>
      <w:r>
        <w:rPr>
          <w:color w:val="231F20"/>
        </w:rPr>
        <w:t>dann,</w:t>
      </w:r>
      <w:r>
        <w:rPr>
          <w:color w:val="231F20"/>
          <w:spacing w:val="19"/>
        </w:rPr>
        <w:t> </w:t>
      </w:r>
      <w:r>
        <w:rPr>
          <w:color w:val="231F20"/>
        </w:rPr>
        <w:t>wenn</w:t>
      </w:r>
      <w:r>
        <w:rPr>
          <w:color w:val="231F20"/>
          <w:spacing w:val="19"/>
        </w:rPr>
        <w:t> </w:t>
      </w:r>
      <w:r>
        <w:rPr>
          <w:color w:val="231F20"/>
        </w:rPr>
        <w:t>genügend</w:t>
      </w:r>
      <w:r>
        <w:rPr>
          <w:color w:val="231F20"/>
          <w:spacing w:val="43"/>
        </w:rPr>
        <w:t> </w:t>
      </w:r>
      <w:r>
        <w:rPr>
          <w:color w:val="231F20"/>
        </w:rPr>
        <w:t>Strom</w:t>
      </w:r>
      <w:r>
        <w:rPr>
          <w:color w:val="231F20"/>
          <w:spacing w:val="44"/>
        </w:rPr>
        <w:t> </w:t>
      </w:r>
      <w:r>
        <w:rPr>
          <w:color w:val="231F20"/>
        </w:rPr>
        <w:t>vom</w:t>
      </w:r>
      <w:r>
        <w:rPr>
          <w:color w:val="231F20"/>
          <w:spacing w:val="45"/>
        </w:rPr>
        <w:t> </w:t>
      </w:r>
      <w:r>
        <w:rPr>
          <w:color w:val="231F20"/>
        </w:rPr>
        <w:t>eigenen</w:t>
      </w:r>
      <w:r>
        <w:rPr>
          <w:color w:val="231F20"/>
          <w:spacing w:val="44"/>
        </w:rPr>
        <w:t> </w:t>
      </w:r>
      <w:r>
        <w:rPr>
          <w:color w:val="231F20"/>
        </w:rPr>
        <w:t>Dach</w:t>
      </w:r>
      <w:r>
        <w:rPr>
          <w:color w:val="231F20"/>
          <w:spacing w:val="45"/>
        </w:rPr>
        <w:t> </w:t>
      </w:r>
      <w:r>
        <w:rPr>
          <w:color w:val="231F20"/>
        </w:rPr>
        <w:t>vorhanden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ist.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Sobald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die </w:t>
      </w:r>
      <w:r>
        <w:rPr>
          <w:color w:val="231F20"/>
          <w:spacing w:val="1"/>
        </w:rPr>
        <w:t> </w:t>
      </w:r>
      <w:r>
        <w:rPr>
          <w:color w:val="231F20"/>
        </w:rPr>
        <w:t>Sonne </w:t>
      </w:r>
      <w:r>
        <w:rPr>
          <w:color w:val="231F20"/>
          <w:spacing w:val="1"/>
        </w:rPr>
        <w:t> scheint,</w:t>
      </w:r>
      <w:r>
        <w:rPr>
          <w:color w:val="231F20"/>
        </w:rPr>
        <w:t> </w:t>
      </w:r>
      <w:r>
        <w:rPr>
          <w:color w:val="231F20"/>
          <w:spacing w:val="1"/>
        </w:rPr>
        <w:t> kommuniziert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/>
        <w:br w:type="column"/>
      </w:r>
      <w:r>
        <w:rPr>
          <w:color w:val="231F20"/>
        </w:rPr>
        <w:t>die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Solaranlage</w:t>
      </w:r>
      <w:r>
        <w:rPr>
          <w:color w:val="231F20"/>
          <w:spacing w:val="2"/>
        </w:rPr>
        <w:t> </w:t>
      </w:r>
      <w:r>
        <w:rPr>
          <w:color w:val="231F20"/>
        </w:rPr>
        <w:t>dann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mit</w:t>
      </w:r>
      <w:r>
        <w:rPr>
          <w:color w:val="231F20"/>
          <w:spacing w:val="2"/>
        </w:rPr>
        <w:t> </w:t>
      </w:r>
      <w:r>
        <w:rPr>
          <w:color w:val="231F20"/>
        </w:rPr>
        <w:t>der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energieeffizi-</w:t>
      </w:r>
      <w:r>
        <w:rPr>
          <w:color w:val="231F20"/>
          <w:spacing w:val="30"/>
        </w:rPr>
        <w:t> </w:t>
      </w:r>
      <w:r>
        <w:rPr>
          <w:color w:val="231F20"/>
        </w:rPr>
        <w:t>enten</w:t>
      </w:r>
      <w:r>
        <w:rPr>
          <w:color w:val="231F20"/>
          <w:spacing w:val="18"/>
        </w:rPr>
        <w:t> </w:t>
      </w:r>
      <w:r>
        <w:rPr>
          <w:color w:val="231F20"/>
        </w:rPr>
        <w:t>Wärmepumpe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schaltet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diese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den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forcierten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Betrieb.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Die</w:t>
      </w:r>
      <w:r>
        <w:rPr>
          <w:color w:val="231F20"/>
          <w:spacing w:val="31"/>
        </w:rPr>
        <w:t> </w:t>
      </w:r>
      <w:r>
        <w:rPr>
          <w:color w:val="231F20"/>
        </w:rPr>
        <w:t>Wärmepumpe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heizt</w:t>
      </w:r>
      <w:r>
        <w:rPr>
          <w:color w:val="231F20"/>
          <w:spacing w:val="3"/>
        </w:rPr>
        <w:t> </w:t>
      </w:r>
      <w:r>
        <w:rPr>
          <w:color w:val="231F20"/>
        </w:rPr>
        <w:t>den</w:t>
      </w:r>
      <w:r>
        <w:rPr>
          <w:color w:val="231F20"/>
          <w:spacing w:val="3"/>
        </w:rPr>
        <w:t> </w:t>
      </w:r>
      <w:r>
        <w:rPr>
          <w:color w:val="231F20"/>
        </w:rPr>
        <w:t>Wärmespeicher</w:t>
      </w:r>
      <w:r>
        <w:rPr>
          <w:color w:val="231F20"/>
          <w:spacing w:val="3"/>
        </w:rPr>
        <w:t> </w:t>
      </w:r>
      <w:r>
        <w:rPr>
          <w:color w:val="231F20"/>
        </w:rPr>
        <w:t>über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Soll-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temperatur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Solarstrom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wird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Form</w:t>
      </w:r>
      <w:r>
        <w:rPr>
          <w:color w:val="231F20"/>
          <w:spacing w:val="19"/>
        </w:rPr>
        <w:t> </w:t>
      </w:r>
      <w:r>
        <w:rPr>
          <w:color w:val="231F20"/>
        </w:rPr>
        <w:t>von</w:t>
      </w:r>
      <w:r>
        <w:rPr>
          <w:color w:val="231F20"/>
          <w:spacing w:val="19"/>
        </w:rPr>
        <w:t> </w:t>
      </w:r>
      <w:r>
        <w:rPr>
          <w:color w:val="231F20"/>
        </w:rPr>
        <w:t>Wärme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gespeichert.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PV-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Anlage</w:t>
      </w:r>
      <w:r>
        <w:rPr>
          <w:color w:val="231F20"/>
          <w:spacing w:val="35"/>
        </w:rPr>
        <w:t> </w:t>
      </w:r>
      <w:r>
        <w:rPr>
          <w:color w:val="231F20"/>
        </w:rPr>
        <w:t>im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Zusammenschluss</w:t>
      </w:r>
      <w:r>
        <w:rPr>
          <w:color w:val="231F20"/>
          <w:spacing w:val="35"/>
        </w:rPr>
        <w:t> </w:t>
      </w:r>
      <w:r>
        <w:rPr>
          <w:color w:val="231F20"/>
        </w:rPr>
        <w:t>zum</w:t>
      </w:r>
      <w:r>
        <w:rPr>
          <w:color w:val="231F20"/>
          <w:spacing w:val="36"/>
        </w:rPr>
        <w:t> </w:t>
      </w:r>
      <w:r>
        <w:rPr>
          <w:color w:val="231F20"/>
        </w:rPr>
        <w:t>Eigen-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verbrauch</w:t>
      </w:r>
      <w:r>
        <w:rPr>
          <w:color w:val="231F20"/>
          <w:spacing w:val="42"/>
        </w:rPr>
        <w:t> </w:t>
      </w:r>
      <w:r>
        <w:rPr>
          <w:color w:val="231F20"/>
          <w:spacing w:val="3"/>
        </w:rPr>
        <w:t>(ZEV)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betrieben</w:t>
      </w:r>
      <w:r>
        <w:rPr>
          <w:color w:val="231F20"/>
          <w:spacing w:val="42"/>
        </w:rPr>
        <w:t> </w:t>
      </w:r>
      <w:r>
        <w:rPr>
          <w:color w:val="231F20"/>
        </w:rPr>
        <w:t>wird,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welches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seit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1.</w:t>
      </w:r>
      <w:r>
        <w:rPr>
          <w:color w:val="231F20"/>
          <w:spacing w:val="-11"/>
        </w:rPr>
        <w:t> </w:t>
      </w:r>
      <w:r>
        <w:rPr>
          <w:color w:val="231F20"/>
        </w:rPr>
        <w:t>Januar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2018</w:t>
      </w:r>
      <w:r>
        <w:rPr>
          <w:color w:val="231F20"/>
          <w:spacing w:val="-11"/>
        </w:rPr>
        <w:t> </w:t>
      </w:r>
      <w:r>
        <w:rPr>
          <w:color w:val="231F20"/>
        </w:rPr>
        <w:t>möglich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ist,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erhalten</w:t>
      </w:r>
      <w:r>
        <w:rPr>
          <w:color w:val="231F20"/>
          <w:spacing w:val="-11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Mieter/innen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Immobilienbesitzer/</w:t>
      </w:r>
      <w:r>
        <w:rPr>
          <w:color w:val="231F20"/>
          <w:spacing w:val="36"/>
        </w:rPr>
        <w:t> </w:t>
      </w:r>
      <w:r>
        <w:rPr>
          <w:color w:val="231F20"/>
        </w:rPr>
        <w:t>innen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günstigeren</w:t>
      </w:r>
      <w:r>
        <w:rPr>
          <w:color w:val="231F20"/>
          <w:spacing w:val="37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-freien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Solarstrom,</w:t>
      </w:r>
      <w:r>
        <w:rPr>
          <w:color w:val="231F20"/>
          <w:spacing w:val="22"/>
        </w:rPr>
        <w:t> </w:t>
      </w:r>
      <w:r>
        <w:rPr>
          <w:color w:val="231F20"/>
        </w:rPr>
        <w:t>als</w:t>
      </w:r>
      <w:r>
        <w:rPr>
          <w:color w:val="231F20"/>
          <w:spacing w:val="44"/>
        </w:rPr>
        <w:t> </w:t>
      </w:r>
      <w:r>
        <w:rPr>
          <w:color w:val="231F20"/>
        </w:rPr>
        <w:t>den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Netzstrom.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Mit</w:t>
      </w:r>
      <w:r>
        <w:rPr>
          <w:color w:val="231F20"/>
          <w:spacing w:val="45"/>
        </w:rPr>
        <w:t> </w:t>
      </w:r>
      <w:r>
        <w:rPr>
          <w:color w:val="231F20"/>
        </w:rPr>
        <w:t>dem</w:t>
      </w:r>
      <w:r>
        <w:rPr>
          <w:color w:val="231F20"/>
          <w:spacing w:val="45"/>
        </w:rPr>
        <w:t> </w:t>
      </w:r>
      <w:r>
        <w:rPr>
          <w:color w:val="231F20"/>
          <w:spacing w:val="1"/>
        </w:rPr>
        <w:t>Solarstrom-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überschuss</w:t>
      </w:r>
      <w:r>
        <w:rPr>
          <w:color w:val="231F20"/>
          <w:spacing w:val="36"/>
        </w:rPr>
        <w:t> </w:t>
      </w:r>
      <w:r>
        <w:rPr>
          <w:color w:val="231F20"/>
        </w:rPr>
        <w:t>von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ca.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2’400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kWh/a</w:t>
      </w:r>
      <w:r>
        <w:rPr>
          <w:color w:val="231F20"/>
          <w:spacing w:val="37"/>
        </w:rPr>
        <w:t> </w:t>
      </w:r>
      <w:r>
        <w:rPr>
          <w:color w:val="231F20"/>
        </w:rPr>
        <w:t>könnte</w:t>
      </w:r>
      <w:r>
        <w:rPr>
          <w:color w:val="231F20"/>
          <w:spacing w:val="30"/>
        </w:rPr>
        <w:t> </w:t>
      </w:r>
      <w:r>
        <w:rPr>
          <w:color w:val="231F20"/>
        </w:rPr>
        <w:t>jährlich</w:t>
      </w:r>
      <w:r>
        <w:rPr>
          <w:color w:val="231F20"/>
          <w:spacing w:val="24"/>
        </w:rPr>
        <w:t> </w:t>
      </w:r>
      <w:r>
        <w:rPr>
          <w:color w:val="231F20"/>
        </w:rPr>
        <w:t>ein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Elektrofahrzeug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12’000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km</w:t>
      </w:r>
      <w:r>
        <w:rPr>
          <w:color w:val="231F20"/>
          <w:spacing w:val="30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</w:t>
      </w:r>
      <w:r>
        <w:rPr>
          <w:color w:val="231F20"/>
          <w:spacing w:val="48"/>
        </w:rPr>
        <w:t> </w:t>
      </w:r>
      <w:r>
        <w:rPr>
          <w:color w:val="231F20"/>
        </w:rPr>
        <w:t>fahren.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48"/>
        </w:rPr>
        <w:t> </w:t>
      </w:r>
      <w:r>
        <w:rPr>
          <w:color w:val="231F20"/>
        </w:rPr>
        <w:t>sein</w:t>
      </w:r>
      <w:r>
        <w:rPr>
          <w:color w:val="231F20"/>
          <w:spacing w:val="48"/>
        </w:rPr>
        <w:t> </w:t>
      </w:r>
      <w:r>
        <w:rPr>
          <w:color w:val="231F20"/>
        </w:rPr>
        <w:t>Energiekonzept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erhält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das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PlusEnergie-MFH</w:t>
      </w:r>
      <w:r>
        <w:rPr>
          <w:color w:val="231F20"/>
          <w:spacing w:val="19"/>
        </w:rPr>
        <w:t> </w:t>
      </w:r>
      <w:r>
        <w:rPr>
          <w:color w:val="231F20"/>
        </w:rPr>
        <w:t>Greter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das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PlusEnergieBau-Diplom</w:t>
      </w:r>
      <w:r>
        <w:rPr>
          <w:color w:val="231F20"/>
        </w:rPr>
        <w:t> </w:t>
      </w:r>
      <w:r>
        <w:rPr>
          <w:color w:val="231F20"/>
          <w:spacing w:val="-4"/>
        </w:rPr>
        <w:t>2019.</w:t>
      </w:r>
      <w:r>
        <w:rPr/>
      </w:r>
    </w:p>
    <w:p>
      <w:pPr>
        <w:spacing w:before="67"/>
        <w:ind w:left="108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8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943" w:val="left" w:leader="none"/>
          <w:tab w:pos="1571" w:val="left" w:leader="none"/>
          <w:tab w:pos="2473" w:val="left" w:leader="none"/>
        </w:tabs>
        <w:spacing w:line="160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z w:val="14"/>
        </w:rPr>
        <w:t>Wand:</w:t>
        <w:tab/>
      </w:r>
      <w:r>
        <w:rPr>
          <w:rFonts w:ascii="Theinhardt Regular"/>
          <w:spacing w:val="-1"/>
          <w:sz w:val="14"/>
        </w:rPr>
        <w:t>22</w:t>
      </w:r>
      <w:r>
        <w:rPr>
          <w:rFonts w:ascii="Theinhardt Regular"/>
          <w:sz w:val="14"/>
        </w:rPr>
        <w:t> cm</w:t>
        <w:tab/>
        <w:t>U-Wert:</w:t>
        <w:tab/>
      </w:r>
      <w:r>
        <w:rPr>
          <w:rFonts w:ascii="Theinhardt Regular"/>
          <w:spacing w:val="-3"/>
          <w:sz w:val="14"/>
        </w:rPr>
        <w:t>0.16</w:t>
      </w:r>
      <w:r>
        <w:rPr>
          <w:rFonts w:ascii="Theinhardt Regular"/>
          <w:spacing w:val="-11"/>
          <w:sz w:val="14"/>
        </w:rPr>
        <w:t> </w:t>
      </w:r>
      <w:r>
        <w:rPr>
          <w:rFonts w:ascii="Theinhardt Regular"/>
          <w:sz w:val="14"/>
        </w:rPr>
        <w:t>W/m</w:t>
      </w:r>
      <w:r>
        <w:rPr>
          <w:rFonts w:ascii="Theinhardt Regular"/>
          <w:position w:val="5"/>
          <w:sz w:val="8"/>
        </w:rPr>
        <w:t>2</w:t>
      </w:r>
      <w:r>
        <w:rPr>
          <w:rFonts w:ascii="Theinhardt Regular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754" w:val="left" w:leader="none"/>
          <w:tab w:pos="1571" w:val="left" w:leader="none"/>
          <w:tab w:pos="2451" w:val="left" w:leader="none"/>
        </w:tabs>
        <w:spacing w:line="160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z w:val="14"/>
        </w:rPr>
        <w:t>Dach:</w:t>
        <w:tab/>
      </w:r>
      <w:r>
        <w:rPr>
          <w:rFonts w:ascii="Theinhardt Regular"/>
          <w:spacing w:val="-1"/>
          <w:sz w:val="14"/>
        </w:rPr>
        <w:t>28+4</w:t>
      </w:r>
      <w:r>
        <w:rPr>
          <w:rFonts w:ascii="Theinhardt Regular"/>
          <w:sz w:val="14"/>
        </w:rPr>
        <w:t> cm</w:t>
        <w:tab/>
        <w:t>U-Wert:</w:t>
        <w:tab/>
        <w:t>0.13 </w:t>
      </w:r>
      <w:r>
        <w:rPr>
          <w:rFonts w:ascii="Theinhardt Regular"/>
          <w:spacing w:val="-1"/>
          <w:sz w:val="14"/>
        </w:rPr>
        <w:t>W/m</w:t>
      </w:r>
      <w:r>
        <w:rPr>
          <w:rFonts w:ascii="Theinhardt Regular"/>
          <w:spacing w:val="-1"/>
          <w:position w:val="5"/>
          <w:sz w:val="8"/>
        </w:rPr>
        <w:t>2</w:t>
      </w:r>
      <w:r>
        <w:rPr>
          <w:rFonts w:ascii="Theinhardt Regular"/>
          <w:spacing w:val="-1"/>
          <w:sz w:val="14"/>
        </w:rPr>
        <w:t>K</w:t>
      </w:r>
    </w:p>
    <w:p>
      <w:pPr>
        <w:tabs>
          <w:tab w:pos="840" w:val="left" w:leader="none"/>
          <w:tab w:pos="1571" w:val="left" w:leader="none"/>
          <w:tab w:pos="2451" w:val="left" w:leader="none"/>
        </w:tabs>
        <w:spacing w:line="207" w:lineRule="auto" w:before="5"/>
        <w:ind w:left="108" w:right="37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z w:val="14"/>
        </w:rPr>
        <w:t>Boden:</w:t>
        <w:tab/>
      </w:r>
      <w:r>
        <w:rPr>
          <w:rFonts w:ascii="Theinhardt Regular"/>
          <w:spacing w:val="-4"/>
          <w:sz w:val="14"/>
        </w:rPr>
        <w:t>18</w:t>
      </w:r>
      <w:r>
        <w:rPr>
          <w:rFonts w:ascii="Theinhardt Regular"/>
          <w:sz w:val="14"/>
        </w:rPr>
        <w:t> </w:t>
      </w:r>
      <w:r>
        <w:rPr>
          <w:rFonts w:ascii="Theinhardt Regular"/>
          <w:w w:val="95"/>
          <w:sz w:val="14"/>
        </w:rPr>
        <w:t>cm</w:t>
        <w:tab/>
      </w:r>
      <w:r>
        <w:rPr>
          <w:rFonts w:ascii="Theinhardt Regular"/>
          <w:sz w:val="14"/>
        </w:rPr>
        <w:t>U-Wert:</w:t>
        <w:tab/>
        <w:t>0.13 </w:t>
      </w:r>
      <w:r>
        <w:rPr>
          <w:rFonts w:ascii="Theinhardt Regular"/>
          <w:spacing w:val="-1"/>
          <w:sz w:val="14"/>
        </w:rPr>
        <w:t>W/m</w:t>
      </w:r>
      <w:r>
        <w:rPr>
          <w:rFonts w:ascii="Theinhardt Regular"/>
          <w:spacing w:val="-1"/>
          <w:position w:val="5"/>
          <w:sz w:val="8"/>
        </w:rPr>
        <w:t>2</w:t>
      </w:r>
      <w:r>
        <w:rPr>
          <w:rFonts w:ascii="Theinhardt Regular"/>
          <w:spacing w:val="-1"/>
          <w:sz w:val="14"/>
        </w:rPr>
        <w:t>K</w:t>
      </w:r>
      <w:r>
        <w:rPr>
          <w:rFonts w:ascii="Theinhardt Regular"/>
          <w:spacing w:val="25"/>
          <w:sz w:val="14"/>
        </w:rPr>
        <w:t> </w:t>
      </w:r>
      <w:r>
        <w:rPr>
          <w:rFonts w:ascii="Theinhardt Regular"/>
          <w:sz w:val="14"/>
        </w:rPr>
        <w:t>Fenster:</w:t>
        <w:tab/>
        <w:t>dreifach</w:t>
        <w:tab/>
        <w:t>U-Wert:</w:t>
        <w:tab/>
      </w:r>
      <w:r>
        <w:rPr>
          <w:rFonts w:ascii="Theinhardt Regular"/>
          <w:spacing w:val="-1"/>
          <w:sz w:val="14"/>
        </w:rPr>
        <w:t>0.6</w:t>
      </w:r>
      <w:r>
        <w:rPr>
          <w:rFonts w:ascii="Theinhardt Regular"/>
          <w:sz w:val="14"/>
        </w:rPr>
        <w:t> W/m</w:t>
      </w:r>
      <w:r>
        <w:rPr>
          <w:rFonts w:ascii="Theinhardt Regular"/>
          <w:position w:val="5"/>
          <w:sz w:val="8"/>
        </w:rPr>
        <w:t>2</w:t>
      </w:r>
      <w:r>
        <w:rPr>
          <w:rFonts w:ascii="Theinhardt Regular"/>
          <w:sz w:val="14"/>
        </w:rPr>
        <w:t>K</w:t>
      </w:r>
    </w:p>
    <w:p>
      <w:pPr>
        <w:spacing w:line="172" w:lineRule="exact" w:before="38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  <w:r>
        <w:rPr>
          <w:rFonts w:ascii="Theinhardt Bold"/>
          <w:sz w:val="14"/>
        </w:rPr>
      </w:r>
    </w:p>
    <w:p>
      <w:pPr>
        <w:tabs>
          <w:tab w:pos="1469" w:val="left" w:leader="none"/>
          <w:tab w:pos="1745" w:val="left" w:leader="none"/>
          <w:tab w:pos="2362" w:val="left" w:leader="none"/>
          <w:tab w:pos="2400" w:val="left" w:leader="none"/>
          <w:tab w:pos="2750" w:val="left" w:leader="none"/>
          <w:tab w:pos="2811" w:val="left" w:leader="none"/>
        </w:tabs>
        <w:spacing w:line="207" w:lineRule="auto" w:before="5"/>
        <w:ind w:left="108" w:right="37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3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9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0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25.6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53</w:t>
        <w:tab/>
        <w:t>10’000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742" w:val="left" w:leader="none"/>
          <w:tab w:pos="2369" w:val="left" w:leader="none"/>
          <w:tab w:pos="2839" w:val="left" w:leader="none"/>
        </w:tabs>
        <w:spacing w:line="154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22.9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47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8’925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729" w:val="left" w:leader="none"/>
          <w:tab w:pos="2280" w:val="left" w:leader="none"/>
          <w:tab w:pos="2748" w:val="left" w:leader="none"/>
        </w:tabs>
        <w:spacing w:line="172" w:lineRule="exact" w:before="0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w w:val="95"/>
          <w:sz w:val="14"/>
          <w:szCs w:val="14"/>
        </w:rPr>
        <w:t>48.5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18’925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676" w:val="left" w:leader="none"/>
          <w:tab w:pos="2300" w:val="left" w:leader="none"/>
          <w:tab w:pos="2400" w:val="left" w:leader="none"/>
          <w:tab w:pos="2761" w:val="left" w:leader="none"/>
          <w:tab w:pos="2811" w:val="left" w:leader="none"/>
        </w:tabs>
        <w:spacing w:line="207" w:lineRule="auto" w:before="5"/>
        <w:ind w:left="108" w:right="37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a</w:t>
        <w:tab/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Dach:127.4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21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167.2</w:t>
        <w:tab/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113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21’300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93" w:val="left" w:leader="none"/>
          <w:tab w:pos="2751" w:val="left" w:leader="none"/>
        </w:tabs>
        <w:spacing w:line="167" w:lineRule="exact" w:before="0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4"/>
          <w:szCs w:val="14"/>
        </w:rPr>
        <w:t>113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21’300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00" w:val="left" w:leader="none"/>
          <w:tab w:pos="2811" w:val="left" w:leader="none"/>
        </w:tabs>
        <w:spacing w:line="172" w:lineRule="exact" w:before="32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</w:t>
      </w:r>
      <w:r>
        <w:rPr>
          <w:rFonts w:ascii="Theinhardt Regular"/>
          <w:color w:val="231F20"/>
          <w:sz w:val="14"/>
        </w:rPr>
        <w:t>(Endenergie)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293" w:val="left" w:leader="none"/>
          <w:tab w:pos="2751" w:val="left" w:leader="none"/>
        </w:tabs>
        <w:spacing w:line="160" w:lineRule="exact" w:before="0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4"/>
          <w:szCs w:val="14"/>
        </w:rPr>
        <w:t>113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21’300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80" w:val="left" w:leader="none"/>
          <w:tab w:pos="2763" w:val="left" w:leader="none"/>
        </w:tabs>
        <w:spacing w:line="160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18’925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67" w:val="left" w:leader="none"/>
          <w:tab w:pos="2832" w:val="left" w:leader="none"/>
        </w:tabs>
        <w:spacing w:line="172" w:lineRule="exact" w:before="0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2’375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8" w:right="35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</w:t>
      </w:r>
      <w:r>
        <w:rPr>
          <w:rFonts w:ascii="Theinhardt Bold" w:hAnsi="Theinhardt Bold"/>
          <w:b/>
          <w:color w:val="231F20"/>
          <w:spacing w:val="1"/>
          <w:sz w:val="14"/>
        </w:rPr>
        <w:t>ewl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wasser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luzern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4"/>
          <w:sz w:val="14"/>
        </w:rPr>
        <w:t>09.07.19</w:t>
      </w:r>
      <w:r>
        <w:rPr>
          <w:rFonts w:ascii="Theinhardt Regular" w:hAnsi="Theinhardt Regular"/>
          <w:color w:val="231F20"/>
          <w:spacing w:val="3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Christoph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Eggerschwiler</w:t>
      </w:r>
      <w:r>
        <w:rPr>
          <w:rFonts w:ascii="Theinhardt Regular" w:hAnsi="Theinhardt Regular"/>
          <w:color w:val="231F20"/>
          <w:spacing w:val="42"/>
          <w:sz w:val="14"/>
        </w:rPr>
        <w:t> </w:t>
      </w:r>
      <w:hyperlink r:id="rId6">
        <w:r>
          <w:rPr>
            <w:rFonts w:ascii="Theinhardt Regular" w:hAnsi="Theinhardt Regular"/>
            <w:color w:val="231F20"/>
            <w:spacing w:val="1"/>
            <w:sz w:val="14"/>
          </w:rPr>
          <w:t>christoph.eggerschwiler@ewl-luzern.ch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before="105"/>
        <w:ind w:left="108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Beteiligte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8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Standort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Lilian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Urs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Greter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Wesemlin-Terrasse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11a,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6006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Luzern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420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91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lilian.greter@bluewin.ch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Architekturbüro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8" w:right="107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höingvoney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Architekten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Kanonenstrasse</w:t>
      </w:r>
      <w:r>
        <w:rPr>
          <w:rFonts w:ascii="Theinhardt Regular" w:hAnsi="Theinhardt Regular"/>
          <w:color w:val="231F20"/>
          <w:sz w:val="14"/>
        </w:rPr>
        <w:t> 8, </w:t>
      </w:r>
      <w:r>
        <w:rPr>
          <w:rFonts w:ascii="Theinhardt Regular" w:hAnsi="Theinhardt Regular"/>
          <w:color w:val="231F20"/>
          <w:spacing w:val="2"/>
          <w:sz w:val="14"/>
        </w:rPr>
        <w:t>6003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Luzern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360 </w:t>
      </w:r>
      <w:r>
        <w:rPr>
          <w:rFonts w:ascii="Theinhardt Regular"/>
          <w:color w:val="231F20"/>
          <w:spacing w:val="1"/>
          <w:sz w:val="14"/>
        </w:rPr>
        <w:t>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</w:t>
      </w:r>
      <w:hyperlink r:id="rId8">
        <w:r>
          <w:rPr>
            <w:rFonts w:ascii="Theinhardt Regular"/>
            <w:color w:val="231F20"/>
            <w:spacing w:val="1"/>
            <w:sz w:val="14"/>
          </w:rPr>
          <w:t>0</w:t>
        </w:r>
        <w:r>
          <w:rPr>
            <w:rFonts w:ascii="Theinhardt Regular"/>
            <w:color w:val="231F20"/>
            <w:sz w:val="14"/>
          </w:rPr>
          <w:t> , </w:t>
        </w:r>
        <w:r>
          <w:rPr>
            <w:rFonts w:ascii="Theinhardt Regular"/>
            <w:color w:val="231F20"/>
            <w:spacing w:val="1"/>
            <w:sz w:val="14"/>
          </w:rPr>
          <w:t>k.martin@hoeingvoney.ch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Netz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Luzernerstrasse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131,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6014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Luzern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8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9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www.benetz.ch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40" w:right="740"/>
          <w:cols w:num="3" w:equalWidth="0">
            <w:col w:w="3456" w:space="116"/>
            <w:col w:w="3455" w:space="117"/>
            <w:col w:w="3586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1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6"/>
          <w:szCs w:val="26"/>
        </w:rPr>
      </w:pPr>
    </w:p>
    <w:p>
      <w:pPr>
        <w:spacing w:line="200" w:lineRule="atLeast"/>
        <w:ind w:left="7251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2132710" cy="1505712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710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tabs>
          <w:tab w:pos="7250" w:val="left" w:leader="none"/>
        </w:tabs>
        <w:spacing w:before="23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27.433001pt;margin-top:-225.587097pt;width:347.449pt;height:226.063pt;mso-position-horizontal-relative:page;mso-position-vertical-relative:paragraph;z-index:1216" type="#_x0000_t75" stroked="false">
            <v:imagedata r:id="rId11" o:title=""/>
          </v:shape>
        </w:pict>
      </w:r>
      <w:r>
        <w:rPr>
          <w:rFonts w:ascii="Theinhardt Bold"/>
          <w:b/>
          <w:color w:val="231F20"/>
          <w:sz w:val="14"/>
        </w:rPr>
        <w:t>1</w:t>
        <w:tab/>
      </w:r>
      <w:r>
        <w:rPr>
          <w:rFonts w:ascii="Theinhardt Bold"/>
          <w:b/>
          <w:color w:val="231F20"/>
          <w:position w:val="2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40" w:right="740"/>
        </w:sectPr>
      </w:pPr>
    </w:p>
    <w:p>
      <w:pPr>
        <w:numPr>
          <w:ilvl w:val="0"/>
          <w:numId w:val="1"/>
        </w:numPr>
        <w:tabs>
          <w:tab w:pos="336" w:val="left" w:leader="none"/>
        </w:tabs>
        <w:spacing w:line="160" w:lineRule="exact" w:before="76"/>
        <w:ind w:left="335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harmoniert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ausgezeichnet</w:t>
      </w:r>
      <w:r>
        <w:rPr>
          <w:rFonts w:ascii="Theinhardt Bold" w:hAnsi="Theinhardt Bold" w:cs="Theinhardt Bold" w:eastAsia="Theinhardt Bold"/>
          <w:b/>
          <w:bCs/>
          <w:color w:val="231F20"/>
          <w:spacing w:val="4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Holzbau und produziert rund 21’300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6" w:val="left" w:leader="none"/>
        </w:tabs>
        <w:spacing w:line="160" w:lineRule="exact" w:before="76"/>
        <w:ind w:left="335" w:right="373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</w:t>
      </w:r>
      <w:r>
        <w:rPr>
          <w:rFonts w:ascii="Theinhardt Bold" w:hAnsi="Theinhardt Bold"/>
          <w:b/>
          <w:color w:val="231F20"/>
          <w:spacing w:val="-1"/>
          <w:sz w:val="14"/>
        </w:rPr>
        <w:t> monokristallinen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Zellen </w:t>
      </w:r>
      <w:r>
        <w:rPr>
          <w:rFonts w:ascii="Theinhardt Bold" w:hAnsi="Theinhardt Bold"/>
          <w:b/>
          <w:color w:val="231F20"/>
          <w:sz w:val="14"/>
        </w:rPr>
        <w:t>sind ganzflächig auf</w:t>
      </w:r>
      <w:r>
        <w:rPr>
          <w:rFonts w:ascii="Theinhardt Bold" w:hAnsi="Theinhardt Bold"/>
          <w:b/>
          <w:color w:val="231F20"/>
          <w:spacing w:val="4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127 m</w:t>
      </w:r>
      <w:r>
        <w:rPr>
          <w:rFonts w:ascii="Theinhardt Bold" w:hAnsi="Theinhardt Bold"/>
          <w:b/>
          <w:color w:val="231F20"/>
          <w:position w:val="5"/>
          <w:sz w:val="8"/>
        </w:rPr>
        <w:t>2</w:t>
      </w:r>
      <w:r>
        <w:rPr>
          <w:rFonts w:ascii="Theinhardt Bold" w:hAnsi="Theinhardt Bold"/>
          <w:b/>
          <w:color w:val="231F20"/>
          <w:spacing w:val="15"/>
          <w:position w:val="5"/>
          <w:sz w:val="8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grossen</w:t>
      </w:r>
      <w:r>
        <w:rPr>
          <w:rFonts w:ascii="Theinhardt Bold" w:hAnsi="Theinhardt Bold"/>
          <w:b/>
          <w:color w:val="231F20"/>
          <w:sz w:val="14"/>
        </w:rPr>
        <w:t> nach </w:t>
      </w:r>
      <w:r>
        <w:rPr>
          <w:rFonts w:ascii="Theinhardt Bold" w:hAnsi="Theinhardt Bold"/>
          <w:b/>
          <w:color w:val="231F20"/>
          <w:spacing w:val="-1"/>
          <w:sz w:val="14"/>
        </w:rPr>
        <w:t>Ost-West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gerichteten</w:t>
      </w:r>
      <w:r>
        <w:rPr>
          <w:rFonts w:ascii="Theinhardt Bold" w:hAnsi="Theinhardt Bold"/>
          <w:b/>
          <w:color w:val="231F20"/>
          <w:spacing w:val="45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Dachflächen</w:t>
      </w:r>
      <w:r>
        <w:rPr>
          <w:rFonts w:ascii="Theinhardt Bold" w:hAnsi="Theinhardt Bold"/>
          <w:b/>
          <w:color w:val="231F20"/>
          <w:spacing w:val="-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integriert.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40" w:right="740"/>
          <w:cols w:num="2" w:equalWidth="0">
            <w:col w:w="3262" w:space="310"/>
            <w:col w:w="7158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16"/>
          <w:szCs w:val="16"/>
        </w:rPr>
      </w:pPr>
    </w:p>
    <w:p>
      <w:pPr>
        <w:spacing w:before="70"/>
        <w:ind w:left="12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64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sectPr>
      <w:type w:val="continuous"/>
      <w:pgSz w:w="11910" w:h="16840"/>
      <w:pgMar w:top="840" w:bottom="280" w:left="4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5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2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0"/>
      <w:ind w:left="108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christoph.eggerschwiler@ewl-luzern.ch" TargetMode="External"/><Relationship Id="rId7" Type="http://schemas.openxmlformats.org/officeDocument/2006/relationships/hyperlink" Target="mailto:lilian.greter@bluewin.ch" TargetMode="External"/><Relationship Id="rId8" Type="http://schemas.openxmlformats.org/officeDocument/2006/relationships/hyperlink" Target="mailto:k.martin@hoeingvoney.ch" TargetMode="External"/><Relationship Id="rId9" Type="http://schemas.openxmlformats.org/officeDocument/2006/relationships/hyperlink" Target="http://www.benetz.ch/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2019-10-04T10:01:33Z</dcterms:created>
  <dcterms:modified xsi:type="dcterms:W3CDTF">2019-10-04T10:01:33Z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2019-10-04T00:00:00Z</vt:filetime>
  </property>
</Properties>
</file>