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53" w:val="left" w:leader="none"/>
        </w:tabs>
        <w:spacing w:line="230" w:lineRule="exact" w:before="28"/>
        <w:ind w:left="114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shape style="position:absolute;margin-left:28.347pt;margin-top:52.410927pt;width:82.204400pt;height:60.2039pt;mso-position-horizontal-relative:page;mso-position-vertical-relative:paragraph;z-index:1096" type="#_x0000_t75" stroked="false">
            <v:imagedata r:id="rId5" o:title=""/>
          </v:shape>
        </w:pict>
      </w:r>
      <w:r>
        <w:rPr/>
        <w:pict>
          <v:group style="position:absolute;margin-left:28.913401pt;margin-top:13.647326pt;width:.1pt;height:.1pt;mso-position-horizontal-relative:page;mso-position-vertical-relative:paragraph;z-index:-8632" coordorigin="578,273" coordsize="2,2">
            <v:shape style="position:absolute;left:578;top:273;width:2;height:2" coordorigin="578,273" coordsize="0,0" path="m578,273l578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1.086395pt;margin-top:13.647326pt;width:.1pt;height:.1pt;mso-position-horizontal-relative:page;mso-position-vertical-relative:paragraph;z-index:1144" coordorigin="3022,273" coordsize="2,2">
            <v:shape style="position:absolute;left:3022;top:273;width:2;height:2" coordorigin="3022,273" coordsize="0,0" path="m3022,273l3022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913401pt;margin-top:25.147326pt;width:.1pt;height:.1pt;mso-position-horizontal-relative:page;mso-position-vertical-relative:paragraph;z-index:-8584" coordorigin="578,503" coordsize="2,2">
            <v:shape style="position:absolute;left:578;top:503;width:2;height:2" coordorigin="578,503" coordsize="0,0" path="m578,503l578,5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1.086395pt;margin-top:25.147326pt;width:.1pt;height:.1pt;mso-position-horizontal-relative:page;mso-position-vertical-relative:paragraph;z-index:1192" coordorigin="3022,503" coordsize="2,2">
            <v:shape style="position:absolute;left:3022;top:503;width:2;height:2" coordorigin="3022,503" coordsize="0,0" path="m3022,503l3022,50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Black"/>
          <w:b/>
          <w:color w:val="231F20"/>
          <w:sz w:val="18"/>
        </w:rPr>
      </w:r>
      <w:r>
        <w:rPr>
          <w:rFonts w:ascii="Theinhardt Black"/>
          <w:b/>
          <w:color w:val="231F20"/>
          <w:spacing w:val="1"/>
          <w:sz w:val="18"/>
          <w:u w:val="dotted" w:color="231F20"/>
        </w:rPr>
        <w:t>Kategorie</w:t>
      </w:r>
      <w:r>
        <w:rPr>
          <w:rFonts w:ascii="Theinhardt Black"/>
          <w:b/>
          <w:color w:val="231F20"/>
          <w:spacing w:val="-1"/>
          <w:sz w:val="18"/>
          <w:u w:val="dotted" w:color="231F20"/>
        </w:rPr>
        <w:t> </w:t>
      </w:r>
      <w:r>
        <w:rPr>
          <w:rFonts w:ascii="Theinhardt Black"/>
          <w:b/>
          <w:color w:val="231F20"/>
          <w:sz w:val="18"/>
          <w:u w:val="dotted" w:color="231F20"/>
        </w:rPr>
        <w:t>B</w:t>
      </w:r>
      <w:r>
        <w:rPr>
          <w:rFonts w:asci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/>
          <w:b/>
          <w:color w:val="231F20"/>
          <w:sz w:val="18"/>
        </w:rPr>
      </w:r>
      <w:r>
        <w:rPr>
          <w:rFonts w:ascii="Theinhardt Black"/>
          <w:b/>
          <w:color w:val="231F20"/>
          <w:spacing w:val="25"/>
          <w:sz w:val="18"/>
        </w:rPr>
        <w:t> </w:t>
      </w:r>
      <w:r>
        <w:rPr>
          <w:rFonts w:ascii="Theinhardt Black"/>
          <w:b/>
          <w:color w:val="231F20"/>
          <w:spacing w:val="1"/>
          <w:sz w:val="18"/>
          <w:u w:val="dotted" w:color="231F20"/>
        </w:rPr>
        <w:t>PlusEnergieBauten</w:t>
      </w:r>
      <w:r>
        <w:rPr>
          <w:rFonts w:asci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/>
          <w:b/>
          <w:color w:val="231F20"/>
          <w:sz w:val="18"/>
        </w:rPr>
      </w:r>
      <w:r>
        <w:rPr>
          <w:rFonts w:ascii="Theinhardt Black"/>
          <w:b/>
          <w:color w:val="231F20"/>
          <w:spacing w:val="22"/>
          <w:sz w:val="18"/>
        </w:rPr>
        <w:t> </w:t>
      </w:r>
      <w:r>
        <w:rPr>
          <w:rFonts w:ascii="Theinhardt Regular"/>
          <w:color w:val="231F20"/>
          <w:sz w:val="18"/>
        </w:rPr>
        <w:t>Norman </w:t>
      </w:r>
      <w:r>
        <w:rPr>
          <w:rFonts w:ascii="Theinhardt Regular"/>
          <w:color w:val="231F20"/>
          <w:spacing w:val="-1"/>
          <w:sz w:val="18"/>
        </w:rPr>
        <w:t>Foster</w:t>
      </w:r>
      <w:r>
        <w:rPr>
          <w:rFonts w:ascii="Theinhardt Regular"/>
          <w:color w:val="231F20"/>
          <w:sz w:val="18"/>
        </w:rPr>
        <w:t> Solar </w:t>
      </w:r>
      <w:r>
        <w:rPr>
          <w:rFonts w:ascii="Theinhardt Regular"/>
          <w:color w:val="231F20"/>
          <w:spacing w:val="-3"/>
          <w:sz w:val="18"/>
        </w:rPr>
        <w:t>Award</w:t>
      </w:r>
      <w:r>
        <w:rPr>
          <w:rFonts w:ascii="Theinhardt Regular"/>
          <w:sz w:val="18"/>
        </w:rPr>
      </w:r>
    </w:p>
    <w:p>
      <w:pPr>
        <w:spacing w:line="230" w:lineRule="exact" w:before="28"/>
        <w:ind w:left="106" w:right="107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im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Jahr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2017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erstellte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PlusEnergie-Überbauung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Tobel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besteht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aus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drei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Mehrfamilienhäu-</w:t>
      </w:r>
      <w:r>
        <w:rPr>
          <w:rFonts w:ascii="Theinhardt Bold" w:hAnsi="Theinhardt Bold" w:cs="Theinhardt Bold" w:eastAsia="Theinhardt Bold"/>
          <w:b/>
          <w:bCs/>
          <w:color w:val="231F20"/>
          <w:spacing w:val="3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sern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(MFH)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32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Wohnungen.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Im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März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2019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wurden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sie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durch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perfekt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integrierte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51.5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231F20"/>
          <w:spacing w:val="5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PV-Fassadenanlage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ergänzt,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rund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28’300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kWh/a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erzeugt.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solare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Winterstromver-</w:t>
      </w:r>
      <w:r>
        <w:rPr>
          <w:rFonts w:ascii="Theinhardt Bold" w:hAnsi="Theinhardt Bold" w:cs="Theinhardt Bold" w:eastAsia="Theinhardt Bold"/>
          <w:b/>
          <w:bCs/>
          <w:color w:val="231F20"/>
          <w:spacing w:val="9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sorgung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steigt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zusätzlichen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Fassadenstrom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im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Winter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um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9’600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61’800</w:t>
      </w:r>
      <w:r>
        <w:rPr>
          <w:rFonts w:ascii="Theinhardt Bold" w:hAnsi="Theinhardt Bold" w:cs="Theinhardt Bold" w:eastAsia="Theinhardt Bold"/>
          <w:b/>
          <w:bCs/>
          <w:color w:val="231F20"/>
          <w:spacing w:val="5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oder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65%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77%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gesamten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Winterstrombedarfs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80’000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-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Zusammen</w:t>
      </w:r>
      <w:r>
        <w:rPr>
          <w:rFonts w:ascii="Theinhardt Bold" w:hAnsi="Theinhardt Bold" w:cs="Theinhardt Bold" w:eastAsia="Theinhardt Bold"/>
          <w:b/>
          <w:bCs/>
          <w:color w:val="231F20"/>
          <w:spacing w:val="3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208’000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PV-Dachanlage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PEB-Siedlung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rund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236’200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7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deckt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den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Gesamtenergiebedarf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129’500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zu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182%.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dem CO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-freien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Solarstrom-</w:t>
      </w:r>
      <w:r>
        <w:rPr>
          <w:rFonts w:ascii="Theinhardt Bold" w:hAnsi="Theinhardt Bold" w:cs="Theinhardt Bold" w:eastAsia="Theinhardt Bold"/>
          <w:b/>
          <w:bCs/>
          <w:color w:val="231F20"/>
          <w:spacing w:val="6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überschuss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können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77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E-Autos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oder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60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Teslas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je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12’000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km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CO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-frei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fahren.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solar-</w:t>
      </w:r>
      <w:r>
        <w:rPr>
          <w:rFonts w:ascii="Theinhardt Bold" w:hAnsi="Theinhardt Bold" w:cs="Theinhardt Bold" w:eastAsia="Theinhardt Bold"/>
          <w:b/>
          <w:bCs/>
          <w:color w:val="231F20"/>
          <w:spacing w:val="6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betriebene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PEB-Siedlung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Tobel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preisgünstigen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Mieten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zeigt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vorbildlich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wie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Energiewen-</w:t>
      </w:r>
      <w:r>
        <w:rPr>
          <w:rFonts w:ascii="Theinhardt Bold" w:hAnsi="Theinhardt Bold" w:cs="Theinhardt Bold" w:eastAsia="Theinhardt Bold"/>
          <w:b/>
          <w:bCs/>
          <w:color w:val="231F20"/>
          <w:spacing w:val="9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und das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Pariser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Klimaabkommen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bereits heute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kostengünstig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umsetzbar sind.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54" w:space="125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9"/>
        <w:rPr>
          <w:rFonts w:ascii="Theinhardt Bold" w:hAnsi="Theinhardt Bold" w:cs="Theinhardt Bold" w:eastAsia="Theinhardt Bold"/>
          <w:b/>
          <w:bCs/>
          <w:sz w:val="28"/>
          <w:szCs w:val="28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pacing w:val="-3"/>
          <w:sz w:val="40"/>
        </w:rPr>
        <w:t>182%-PlusEnergie-Siedlung,</w:t>
      </w:r>
      <w:r>
        <w:rPr>
          <w:rFonts w:ascii="Theinhardt Black"/>
          <w:b/>
          <w:color w:val="0067B1"/>
          <w:spacing w:val="-32"/>
          <w:sz w:val="40"/>
        </w:rPr>
        <w:t> </w:t>
      </w:r>
      <w:r>
        <w:rPr>
          <w:rFonts w:ascii="Theinhardt Black"/>
          <w:b/>
          <w:color w:val="0067B1"/>
          <w:spacing w:val="-3"/>
          <w:sz w:val="40"/>
        </w:rPr>
        <w:t>9555</w:t>
      </w:r>
      <w:r>
        <w:rPr>
          <w:rFonts w:ascii="Theinhardt Black"/>
          <w:b/>
          <w:color w:val="0067B1"/>
          <w:spacing w:val="-32"/>
          <w:sz w:val="40"/>
        </w:rPr>
        <w:t> </w:t>
      </w:r>
      <w:r>
        <w:rPr>
          <w:rFonts w:ascii="Theinhardt Black"/>
          <w:b/>
          <w:color w:val="0067B1"/>
          <w:spacing w:val="-30"/>
          <w:sz w:val="40"/>
        </w:rPr>
        <w:t>T</w:t>
      </w:r>
      <w:r>
        <w:rPr>
          <w:rFonts w:ascii="Theinhardt Black"/>
          <w:b/>
          <w:color w:val="0067B1"/>
          <w:spacing w:val="-2"/>
          <w:sz w:val="40"/>
        </w:rPr>
        <w:t>o</w:t>
      </w:r>
      <w:r>
        <w:rPr>
          <w:rFonts w:ascii="Theinhardt Black"/>
          <w:b/>
          <w:color w:val="0067B1"/>
          <w:spacing w:val="2"/>
          <w:sz w:val="40"/>
        </w:rPr>
        <w:t>b</w:t>
      </w:r>
      <w:r>
        <w:rPr>
          <w:rFonts w:ascii="Theinhardt Black"/>
          <w:b/>
          <w:color w:val="0067B1"/>
          <w:spacing w:val="-2"/>
          <w:sz w:val="40"/>
        </w:rPr>
        <w:t>e</w:t>
      </w:r>
      <w:r>
        <w:rPr>
          <w:rFonts w:ascii="Theinhardt Black"/>
          <w:b/>
          <w:color w:val="0067B1"/>
          <w:spacing w:val="8"/>
          <w:sz w:val="40"/>
        </w:rPr>
        <w:t>l</w:t>
      </w:r>
      <w:r>
        <w:rPr>
          <w:rFonts w:ascii="Theinhardt Black"/>
          <w:b/>
          <w:color w:val="0067B1"/>
          <w:spacing w:val="18"/>
          <w:sz w:val="40"/>
        </w:rPr>
        <w:t>/</w:t>
      </w:r>
      <w:r>
        <w:rPr>
          <w:rFonts w:ascii="Theinhardt Black"/>
          <w:b/>
          <w:color w:val="0067B1"/>
          <w:spacing w:val="-9"/>
          <w:sz w:val="40"/>
        </w:rPr>
        <w:t>T</w:t>
      </w:r>
      <w:r>
        <w:rPr>
          <w:rFonts w:ascii="Theinhardt Black"/>
          <w:b/>
          <w:color w:val="0067B1"/>
          <w:sz w:val="40"/>
        </w:rPr>
        <w:t>G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Heading1"/>
        <w:spacing w:line="230" w:lineRule="exact" w:before="52"/>
        <w:ind w:right="9"/>
        <w:jc w:val="both"/>
      </w:pPr>
      <w:r>
        <w:rPr>
          <w:color w:val="231F20"/>
        </w:rPr>
        <w:t>Mit</w:t>
      </w:r>
      <w:r>
        <w:rPr>
          <w:color w:val="231F20"/>
          <w:spacing w:val="29"/>
        </w:rPr>
        <w:t> </w:t>
      </w:r>
      <w:r>
        <w:rPr>
          <w:color w:val="231F20"/>
        </w:rPr>
        <w:t>der</w:t>
      </w:r>
      <w:r>
        <w:rPr>
          <w:color w:val="231F20"/>
          <w:spacing w:val="30"/>
        </w:rPr>
        <w:t> </w:t>
      </w:r>
      <w:r>
        <w:rPr>
          <w:color w:val="231F20"/>
        </w:rPr>
        <w:t>Sanierung</w:t>
      </w:r>
      <w:r>
        <w:rPr>
          <w:color w:val="231F20"/>
          <w:spacing w:val="29"/>
        </w:rPr>
        <w:t> </w:t>
      </w:r>
      <w:r>
        <w:rPr>
          <w:color w:val="231F20"/>
          <w:spacing w:val="-4"/>
        </w:rPr>
        <w:t>bzw.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PV-Ergänzung</w:t>
      </w:r>
      <w:r>
        <w:rPr>
          <w:color w:val="231F20"/>
          <w:spacing w:val="30"/>
        </w:rPr>
        <w:t> </w:t>
      </w:r>
      <w:r>
        <w:rPr>
          <w:color w:val="231F20"/>
        </w:rPr>
        <w:t>der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PEB-Überbauung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der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Thurgauer</w:t>
      </w:r>
      <w:r>
        <w:rPr>
          <w:color w:val="231F20"/>
          <w:spacing w:val="-6"/>
        </w:rPr>
        <w:t> </w:t>
      </w:r>
      <w:r>
        <w:rPr>
          <w:color w:val="231F20"/>
        </w:rPr>
        <w:t>Gemein-</w:t>
      </w:r>
      <w:r>
        <w:rPr>
          <w:color w:val="231F20"/>
          <w:spacing w:val="30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Tobel</w:t>
      </w:r>
      <w:r>
        <w:rPr>
          <w:color w:val="231F20"/>
          <w:spacing w:val="-8"/>
        </w:rPr>
        <w:t> </w:t>
      </w:r>
      <w:r>
        <w:rPr>
          <w:color w:val="231F20"/>
        </w:rPr>
        <w:t>peilte</w:t>
      </w:r>
      <w:r>
        <w:rPr>
          <w:color w:val="231F20"/>
          <w:spacing w:val="-8"/>
        </w:rPr>
        <w:t> </w:t>
      </w:r>
      <w:r>
        <w:rPr>
          <w:color w:val="231F20"/>
        </w:rPr>
        <w:t>die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Eigenverbrauchsgemein-</w:t>
      </w:r>
      <w:r>
        <w:rPr>
          <w:color w:val="231F20"/>
          <w:spacing w:val="39"/>
        </w:rPr>
        <w:t> </w:t>
      </w:r>
      <w:r>
        <w:rPr>
          <w:color w:val="231F20"/>
        </w:rPr>
        <w:t>schaft</w:t>
      </w:r>
      <w:r>
        <w:rPr>
          <w:color w:val="231F20"/>
          <w:spacing w:val="-7"/>
        </w:rPr>
        <w:t> </w:t>
      </w:r>
      <w:r>
        <w:rPr>
          <w:color w:val="231F20"/>
        </w:rPr>
        <w:t>die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Erhöhung</w:t>
      </w:r>
      <w:r>
        <w:rPr>
          <w:color w:val="231F20"/>
          <w:spacing w:val="-7"/>
        </w:rPr>
        <w:t> </w:t>
      </w:r>
      <w:r>
        <w:rPr>
          <w:color w:val="231F20"/>
        </w:rPr>
        <w:t>der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Winterstromversor-</w:t>
      </w:r>
      <w:r>
        <w:rPr>
          <w:color w:val="231F20"/>
          <w:spacing w:val="33"/>
        </w:rPr>
        <w:t> </w:t>
      </w:r>
      <w:r>
        <w:rPr>
          <w:color w:val="231F20"/>
        </w:rPr>
        <w:t>gung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an.</w:t>
      </w:r>
      <w:r>
        <w:rPr>
          <w:color w:val="231F20"/>
          <w:spacing w:val="4"/>
        </w:rPr>
        <w:t> </w:t>
      </w:r>
      <w:r>
        <w:rPr>
          <w:color w:val="231F20"/>
        </w:rPr>
        <w:t>Der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Gesamtenergiebedarf</w:t>
      </w:r>
      <w:r>
        <w:rPr>
          <w:color w:val="231F20"/>
          <w:spacing w:val="15"/>
        </w:rPr>
        <w:t> </w:t>
      </w:r>
      <w:r>
        <w:rPr>
          <w:color w:val="231F20"/>
        </w:rPr>
        <w:t>für</w:t>
      </w:r>
      <w:r>
        <w:rPr>
          <w:color w:val="231F20"/>
          <w:spacing w:val="15"/>
        </w:rPr>
        <w:t> </w:t>
      </w:r>
      <w:r>
        <w:rPr>
          <w:color w:val="231F20"/>
        </w:rPr>
        <w:t>die</w:t>
      </w:r>
      <w:r>
        <w:rPr/>
      </w:r>
    </w:p>
    <w:p>
      <w:pPr>
        <w:spacing w:line="230" w:lineRule="exact" w:before="0"/>
        <w:ind w:left="106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32</w:t>
      </w:r>
      <w:r>
        <w:rPr>
          <w:rFonts w:ascii="Theinhardt Regular" w:hAnsi="Theinhardt Regular" w:cs="Theinhardt Regular" w:eastAsia="Theinhardt Regular"/>
          <w:color w:val="231F20"/>
          <w:spacing w:val="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Minergie-P-/PEB-Wohnungen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beträgt</w:t>
      </w:r>
      <w:r>
        <w:rPr>
          <w:rFonts w:ascii="Theinhardt Regular" w:hAnsi="Theinhardt Regular" w:cs="Theinhardt Regular" w:eastAsia="Theinhardt Regular"/>
          <w:color w:val="231F20"/>
          <w:spacing w:val="5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ca. 129’500</w:t>
      </w:r>
      <w:r>
        <w:rPr>
          <w:rFonts w:ascii="Theinhardt Regular" w:hAnsi="Theinhardt Regular" w:cs="Theinhardt Regular" w:eastAsia="Theinhardt Regular"/>
          <w:color w:val="231F20"/>
          <w:spacing w:val="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kWh/a.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233</w:t>
      </w:r>
      <w:r>
        <w:rPr>
          <w:rFonts w:ascii="Theinhardt Regular" w:hAnsi="Theinhardt Regular" w:cs="Theinhardt Regular" w:eastAsia="Theinhardt Regular"/>
          <w:color w:val="231F20"/>
          <w:spacing w:val="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kW</w:t>
      </w:r>
      <w:r>
        <w:rPr>
          <w:rFonts w:ascii="Theinhardt Regular" w:hAnsi="Theinhardt Regular" w:cs="Theinhardt Regular" w:eastAsia="Theinhardt Regular"/>
          <w:color w:val="231F20"/>
          <w:spacing w:val="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PV-Dach-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anlage</w:t>
      </w:r>
      <w:r>
        <w:rPr>
          <w:rFonts w:ascii="Theinhardt Regular" w:hAnsi="Theinhardt Regular" w:cs="Theinhardt Regular" w:eastAsia="Theinhardt Regular"/>
          <w:color w:val="231F20"/>
          <w:spacing w:val="-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erzeugte</w:t>
      </w:r>
      <w:r>
        <w:rPr>
          <w:rFonts w:ascii="Theinhardt Regular" w:hAnsi="Theinhardt Regular" w:cs="Theinhardt Regular" w:eastAsia="Theinhardt Regular"/>
          <w:color w:val="231F20"/>
          <w:spacing w:val="-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bisher</w:t>
      </w:r>
      <w:r>
        <w:rPr>
          <w:rFonts w:ascii="Theinhardt Regular" w:hAnsi="Theinhardt Regular" w:cs="Theinhardt Regular" w:eastAsia="Theinhardt Regular"/>
          <w:color w:val="231F20"/>
          <w:spacing w:val="-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208’000</w:t>
      </w:r>
      <w:r>
        <w:rPr>
          <w:rFonts w:ascii="Theinhardt Regular" w:hAnsi="Theinhardt Regular" w:cs="Theinhardt Regular" w:eastAsia="Theinhardt Regular"/>
          <w:color w:val="231F20"/>
          <w:spacing w:val="-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kWh/a;</w:t>
      </w:r>
      <w:r>
        <w:rPr>
          <w:rFonts w:ascii="Theinhardt Regular" w:hAnsi="Theinhardt Regular" w:cs="Theinhardt Regular" w:eastAsia="Theinhardt Regular"/>
          <w:color w:val="231F20"/>
          <w:spacing w:val="-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mit</w:t>
      </w:r>
      <w:r>
        <w:rPr>
          <w:rFonts w:ascii="Theinhardt Regular" w:hAnsi="Theinhardt Regular" w:cs="Theinhardt Regular" w:eastAsia="Theinhardt Regular"/>
          <w:color w:val="231F20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der</w:t>
      </w:r>
      <w:r>
        <w:rPr>
          <w:rFonts w:ascii="Theinhardt Regular" w:hAnsi="Theinhardt Regular" w:cs="Theinhardt Regular" w:eastAsia="Theinhardt Regular"/>
          <w:color w:val="231F20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nachträglich</w:t>
      </w:r>
      <w:r>
        <w:rPr>
          <w:rFonts w:ascii="Theinhardt Regular" w:hAnsi="Theinhardt Regular" w:cs="Theinhardt Regular" w:eastAsia="Theinhardt Regular"/>
          <w:color w:val="231F20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von</w:t>
      </w:r>
      <w:r>
        <w:rPr>
          <w:rFonts w:ascii="Theinhardt Regular" w:hAnsi="Theinhardt Regular" w:cs="Theinhardt Regular" w:eastAsia="Theinhardt Regular"/>
          <w:color w:val="231F20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Prof.</w:t>
      </w:r>
      <w:r>
        <w:rPr>
          <w:rFonts w:ascii="Theinhardt Regular" w:hAnsi="Theinhardt Regular" w:cs="Theinhardt Regular" w:eastAsia="Theinhardt Regular"/>
          <w:color w:val="231F20"/>
          <w:spacing w:val="-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5"/>
          <w:sz w:val="18"/>
          <w:szCs w:val="18"/>
        </w:rPr>
        <w:t>Dr.</w:t>
      </w:r>
      <w:r>
        <w:rPr>
          <w:rFonts w:ascii="Theinhardt Regular" w:hAnsi="Theinhardt Regular" w:cs="Theinhardt Regular" w:eastAsia="Theinhardt Regular"/>
          <w:color w:val="231F20"/>
          <w:spacing w:val="-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Roland</w:t>
      </w:r>
      <w:r>
        <w:rPr>
          <w:rFonts w:ascii="Theinhardt Regular" w:hAnsi="Theinhardt Regular" w:cs="Theinhardt Regular" w:eastAsia="Theinhardt Regular"/>
          <w:color w:val="231F20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Kripp-</w:t>
      </w:r>
      <w:r>
        <w:rPr>
          <w:rFonts w:ascii="Theinhardt Regular" w:hAnsi="Theinhardt Regular" w:cs="Theinhardt Regular" w:eastAsia="Theinhardt Regular"/>
          <w:color w:val="231F20"/>
          <w:spacing w:val="4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ner</w:t>
      </w:r>
      <w:r>
        <w:rPr>
          <w:rFonts w:ascii="Theinhardt Regular" w:hAnsi="Theinhardt Regular" w:cs="Theinhardt Regular" w:eastAsia="Theinhardt Regular"/>
          <w:color w:val="231F20"/>
          <w:spacing w:val="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an</w:t>
      </w:r>
      <w:r>
        <w:rPr>
          <w:rFonts w:ascii="Theinhardt Regular" w:hAnsi="Theinhardt Regular" w:cs="Theinhardt Regular" w:eastAsia="Theinhardt Regular"/>
          <w:color w:val="231F20"/>
          <w:spacing w:val="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den</w:t>
      </w:r>
      <w:r>
        <w:rPr>
          <w:rFonts w:ascii="Theinhardt Regular" w:hAnsi="Theinhardt Regular" w:cs="Theinhardt Regular" w:eastAsia="Theinhardt Regular"/>
          <w:color w:val="231F20"/>
          <w:spacing w:val="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Balkonbrüstungen</w:t>
      </w:r>
      <w:r>
        <w:rPr>
          <w:rFonts w:ascii="Theinhardt Regular" w:hAnsi="Theinhardt Regular" w:cs="Theinhardt Regular" w:eastAsia="Theinhardt Regular"/>
          <w:color w:val="231F20"/>
          <w:spacing w:val="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konzipierten,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vorbildlich</w:t>
      </w:r>
      <w:r>
        <w:rPr>
          <w:rFonts w:ascii="Theinhardt Regular" w:hAnsi="Theinhardt Regular" w:cs="Theinhardt Regular" w:eastAsia="Theinhardt Regular"/>
          <w:color w:val="231F20"/>
          <w:spacing w:val="-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installierten</w:t>
      </w:r>
      <w:r>
        <w:rPr>
          <w:rFonts w:ascii="Theinhardt Regular" w:hAnsi="Theinhardt Regular" w:cs="Theinhardt Regular" w:eastAsia="Theinhardt Regular"/>
          <w:color w:val="231F20"/>
          <w:spacing w:val="-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51.5</w:t>
      </w:r>
      <w:r>
        <w:rPr>
          <w:rFonts w:ascii="Theinhardt Regular" w:hAnsi="Theinhardt Regular" w:cs="Theinhardt Regular" w:eastAsia="Theinhardt Regular"/>
          <w:color w:val="231F20"/>
          <w:spacing w:val="-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kW</w:t>
      </w:r>
      <w:r>
        <w:rPr>
          <w:rFonts w:ascii="Theinhardt Regular" w:hAnsi="Theinhardt Regular" w:cs="Theinhardt Regular" w:eastAsia="Theinhardt Regular"/>
          <w:color w:val="231F20"/>
          <w:spacing w:val="-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starken</w:t>
      </w:r>
      <w:r>
        <w:rPr>
          <w:rFonts w:ascii="Theinhardt Regular" w:hAnsi="Theinhardt Regular" w:cs="Theinhardt Regular" w:eastAsia="Theinhardt Regular"/>
          <w:color w:val="231F20"/>
          <w:spacing w:val="-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PV-</w:t>
      </w:r>
      <w:r>
        <w:rPr>
          <w:rFonts w:ascii="Theinhardt Regular" w:hAnsi="Theinhardt Regular" w:cs="Theinhardt Regular" w:eastAsia="Theinhardt Regular"/>
          <w:color w:val="231F20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Fassadenanlage</w:t>
      </w:r>
      <w:r>
        <w:rPr>
          <w:rFonts w:ascii="Theinhardt Regular" w:hAnsi="Theinhardt Regular" w:cs="Theinhardt Regular" w:eastAsia="Theinhardt Regular"/>
          <w:color w:val="231F20"/>
          <w:spacing w:val="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werden</w:t>
      </w:r>
      <w:r>
        <w:rPr>
          <w:rFonts w:ascii="Theinhardt Regular" w:hAnsi="Theinhardt Regular" w:cs="Theinhardt Regular" w:eastAsia="Theinhardt Regular"/>
          <w:color w:val="231F20"/>
          <w:spacing w:val="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28’300</w:t>
      </w:r>
      <w:r>
        <w:rPr>
          <w:rFonts w:ascii="Theinhardt Regular" w:hAnsi="Theinhardt Regular" w:cs="Theinhardt Regular" w:eastAsia="Theinhardt Regular"/>
          <w:color w:val="231F20"/>
          <w:spacing w:val="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kWh/a</w:t>
      </w:r>
      <w:r>
        <w:rPr>
          <w:rFonts w:ascii="Theinhardt Regular" w:hAnsi="Theinhardt Regular" w:cs="Theinhardt Regular" w:eastAsia="Theinhardt Regular"/>
          <w:color w:val="231F20"/>
          <w:spacing w:val="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er-</w:t>
      </w:r>
      <w:r>
        <w:rPr>
          <w:rFonts w:ascii="Theinhardt Regular" w:hAnsi="Theinhardt Regular" w:cs="Theinhardt Regular" w:eastAsia="Theinhardt Regular"/>
          <w:color w:val="231F20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zeugt.</w:t>
      </w:r>
      <w:r>
        <w:rPr>
          <w:rFonts w:ascii="Theinhardt Regular" w:hAnsi="Theinhardt Regular" w:cs="Theinhardt Regular" w:eastAsia="Theinhardt Regular"/>
          <w:color w:val="231F20"/>
          <w:spacing w:val="-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Dadurch</w:t>
      </w:r>
      <w:r>
        <w:rPr>
          <w:rFonts w:ascii="Theinhardt Regular" w:hAnsi="Theinhardt Regular" w:cs="Theinhardt Regular" w:eastAsia="Theinhardt Regular"/>
          <w:color w:val="231F20"/>
          <w:spacing w:val="-1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erhöht</w:t>
      </w:r>
      <w:r>
        <w:rPr>
          <w:rFonts w:ascii="Theinhardt Regular" w:hAnsi="Theinhardt Regular" w:cs="Theinhardt Regular" w:eastAsia="Theinhardt Regular"/>
          <w:color w:val="231F20"/>
          <w:spacing w:val="-1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sich</w:t>
      </w:r>
      <w:r>
        <w:rPr>
          <w:rFonts w:ascii="Theinhardt Regular" w:hAnsi="Theinhardt Regular" w:cs="Theinhardt Regular" w:eastAsia="Theinhardt Regular"/>
          <w:color w:val="231F20"/>
          <w:spacing w:val="-1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der</w:t>
      </w:r>
      <w:r>
        <w:rPr>
          <w:rFonts w:ascii="Theinhardt Regular" w:hAnsi="Theinhardt Regular" w:cs="Theinhardt Regular" w:eastAsia="Theinhardt Regular"/>
          <w:color w:val="231F20"/>
          <w:spacing w:val="-1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Winterstrom-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anteil</w:t>
      </w:r>
      <w:r>
        <w:rPr>
          <w:rFonts w:ascii="Theinhardt Regular" w:hAnsi="Theinhardt Regular" w:cs="Theinhardt Regular" w:eastAsia="Theinhardt Regular"/>
          <w:color w:val="231F20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um</w:t>
      </w:r>
      <w:r>
        <w:rPr>
          <w:rFonts w:ascii="Theinhardt Regular" w:hAnsi="Theinhardt Regular" w:cs="Theinhardt Regular" w:eastAsia="Theinhardt Regular"/>
          <w:color w:val="231F20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ca.</w:t>
      </w:r>
      <w:r>
        <w:rPr>
          <w:rFonts w:ascii="Theinhardt Regular" w:hAnsi="Theinhardt Regular" w:cs="Theinhardt Regular" w:eastAsia="Theinhardt Regular"/>
          <w:color w:val="231F20"/>
          <w:spacing w:val="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12%</w:t>
      </w:r>
      <w:r>
        <w:rPr>
          <w:rFonts w:ascii="Theinhardt Regular" w:hAnsi="Theinhardt Regular" w:cs="Theinhardt Regular" w:eastAsia="Theinhardt Regular"/>
          <w:color w:val="231F20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oder</w:t>
      </w:r>
      <w:r>
        <w:rPr>
          <w:rFonts w:ascii="Theinhardt Regular" w:hAnsi="Theinhardt Regular" w:cs="Theinhardt Regular" w:eastAsia="Theinhardt Regular"/>
          <w:color w:val="231F20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9’600</w:t>
      </w:r>
      <w:r>
        <w:rPr>
          <w:rFonts w:ascii="Theinhardt Regular" w:hAnsi="Theinhardt Regular" w:cs="Theinhardt Regular" w:eastAsia="Theinhardt Regular"/>
          <w:color w:val="231F20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kWh/a.</w:t>
      </w:r>
      <w:r>
        <w:rPr>
          <w:rFonts w:ascii="Theinhardt Regular" w:hAnsi="Theinhardt Regular" w:cs="Theinhardt Regular" w:eastAsia="Theinhardt Regular"/>
          <w:color w:val="231F20"/>
          <w:spacing w:val="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solare</w:t>
      </w:r>
      <w:r>
        <w:rPr>
          <w:rFonts w:ascii="Theinhardt Regular" w:hAnsi="Theinhardt Regular" w:cs="Theinhardt Regular" w:eastAsia="Theinhardt Regular"/>
          <w:color w:val="231F20"/>
          <w:spacing w:val="3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Winterstromversorgung</w:t>
      </w:r>
      <w:r>
        <w:rPr>
          <w:rFonts w:ascii="Theinhardt Regular" w:hAnsi="Theinhardt Regular" w:cs="Theinhardt Regular" w:eastAsia="Theinhardt Regular"/>
          <w:color w:val="231F20"/>
          <w:spacing w:val="3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steigt</w:t>
      </w:r>
      <w:r>
        <w:rPr>
          <w:rFonts w:ascii="Theinhardt Regular" w:hAnsi="Theinhardt Regular" w:cs="Theinhardt Regular" w:eastAsia="Theinhardt Regular"/>
          <w:color w:val="231F20"/>
          <w:spacing w:val="3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von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52’235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auf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61’835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kWh/a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und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deckt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nun</w:t>
      </w:r>
      <w:r>
        <w:rPr>
          <w:rFonts w:ascii="Theinhardt Regular" w:hAnsi="Theinhardt Regular" w:cs="Theinhardt Regular" w:eastAsia="Theinhardt Regular"/>
          <w:color w:val="231F20"/>
          <w:spacing w:val="2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statt</w:t>
      </w:r>
      <w:r>
        <w:rPr>
          <w:rFonts w:ascii="Theinhardt Regular" w:hAnsi="Theinhardt Regular" w:cs="Theinhardt Regular" w:eastAsia="Theinhardt Regular"/>
          <w:color w:val="231F20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65%</w:t>
      </w:r>
      <w:r>
        <w:rPr>
          <w:rFonts w:ascii="Theinhardt Regular" w:hAnsi="Theinhardt Regular" w:cs="Theinhardt Regular" w:eastAsia="Theinhardt Regular"/>
          <w:color w:val="231F20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neu</w:t>
      </w:r>
      <w:r>
        <w:rPr>
          <w:rFonts w:ascii="Theinhardt Regular" w:hAnsi="Theinhardt Regular" w:cs="Theinhardt Regular" w:eastAsia="Theinhardt Regular"/>
          <w:color w:val="231F20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77%</w:t>
      </w:r>
      <w:r>
        <w:rPr>
          <w:rFonts w:ascii="Theinhardt Regular" w:hAnsi="Theinhardt Regular" w:cs="Theinhardt Regular" w:eastAsia="Theinhardt Regular"/>
          <w:color w:val="231F20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des</w:t>
      </w:r>
      <w:r>
        <w:rPr>
          <w:rFonts w:ascii="Theinhardt Regular" w:hAnsi="Theinhardt Regular" w:cs="Theinhardt Regular" w:eastAsia="Theinhardt Regular"/>
          <w:color w:val="231F20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Winterstrombe-</w:t>
      </w:r>
      <w:r>
        <w:rPr>
          <w:rFonts w:ascii="Theinhardt Regular" w:hAnsi="Theinhardt Regular" w:cs="Theinhardt Regular" w:eastAsia="Theinhardt Regular"/>
          <w:color w:val="231F20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darfs von 80’000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kWh/a.</w:t>
      </w:r>
      <w:r>
        <w:rPr>
          <w:rFonts w:ascii="Theinhardt Regular" w:hAnsi="Theinhardt Regular" w:cs="Theinhardt Regular" w:eastAsia="Theinhardt Regular"/>
          <w:sz w:val="18"/>
          <w:szCs w:val="18"/>
        </w:rPr>
      </w:r>
    </w:p>
    <w:p>
      <w:pPr>
        <w:spacing w:line="230" w:lineRule="exact" w:before="0"/>
        <w:ind w:left="106" w:right="8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Würden</w:t>
      </w:r>
      <w:r>
        <w:rPr>
          <w:rFonts w:ascii="Theinhardt Regular" w:hAnsi="Theinhardt Regular" w:cs="Theinhardt Regular" w:eastAsia="Theinhardt Regular"/>
          <w:color w:val="231F20"/>
          <w:spacing w:val="1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1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Ost-Westfassaden</w:t>
      </w:r>
      <w:r>
        <w:rPr>
          <w:rFonts w:ascii="Theinhardt Regular" w:hAnsi="Theinhardt Regular" w:cs="Theinhardt Regular" w:eastAsia="Theinhardt Regular"/>
          <w:color w:val="231F20"/>
          <w:spacing w:val="1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ebenfalls</w:t>
      </w:r>
      <w:r>
        <w:rPr>
          <w:rFonts w:ascii="Theinhardt Regular" w:hAnsi="Theinhardt Regular" w:cs="Theinhardt Regular" w:eastAsia="Theinhardt Regular"/>
          <w:color w:val="231F20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solar</w:t>
      </w:r>
      <w:r>
        <w:rPr>
          <w:rFonts w:ascii="Theinhardt Regular" w:hAnsi="Theinhardt Regular" w:cs="Theinhardt Regular" w:eastAsia="Theinhardt Regular"/>
          <w:color w:val="231F20"/>
          <w:spacing w:val="1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genutzt,</w:t>
      </w:r>
      <w:r>
        <w:rPr>
          <w:rFonts w:ascii="Theinhardt Regular" w:hAnsi="Theinhardt Regular" w:cs="Theinhardt Regular" w:eastAsia="Theinhardt Regular"/>
          <w:color w:val="231F20"/>
          <w:spacing w:val="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könnte</w:t>
      </w:r>
      <w:r>
        <w:rPr>
          <w:rFonts w:ascii="Theinhardt Regular" w:hAnsi="Theinhardt Regular" w:cs="Theinhardt Regular" w:eastAsia="Theinhardt Regular"/>
          <w:color w:val="231F20"/>
          <w:spacing w:val="1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1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PEB-Überbauung</w:t>
      </w:r>
      <w:r>
        <w:rPr>
          <w:rFonts w:ascii="Theinhardt Regular" w:hAnsi="Theinhardt Regular" w:cs="Theinhardt Regular" w:eastAsia="Theinhardt Regular"/>
          <w:color w:val="231F20"/>
          <w:spacing w:val="4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eine</w:t>
      </w:r>
      <w:r>
        <w:rPr>
          <w:rFonts w:ascii="Theinhardt Regular" w:hAnsi="Theinhardt Regular" w:cs="Theinhardt Regular" w:eastAsia="Theinhardt Regular"/>
          <w:color w:val="231F20"/>
          <w:spacing w:val="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Winterstromversorgung</w:t>
      </w:r>
      <w:r>
        <w:rPr>
          <w:rFonts w:ascii="Theinhardt Regular" w:hAnsi="Theinhardt Regular" w:cs="Theinhardt Regular" w:eastAsia="Theinhardt Regular"/>
          <w:color w:val="231F20"/>
          <w:spacing w:val="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von</w:t>
      </w:r>
      <w:r>
        <w:rPr>
          <w:rFonts w:ascii="Theinhardt Regular" w:hAnsi="Theinhardt Regular" w:cs="Theinhardt Regular" w:eastAsia="Theinhardt Regular"/>
          <w:color w:val="231F20"/>
          <w:spacing w:val="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rund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115%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ausweisen.</w:t>
      </w:r>
      <w:r>
        <w:rPr>
          <w:rFonts w:ascii="Theinhardt Regular" w:hAnsi="Theinhardt Regular" w:cs="Theinhardt Regular" w:eastAsia="Theinhardt Regular"/>
          <w:color w:val="231F20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Zusammen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produzieren</w:t>
      </w:r>
      <w:r>
        <w:rPr>
          <w:rFonts w:ascii="Theinhardt Regular" w:hAnsi="Theinhardt Regular" w:cs="Theinhardt Regular" w:eastAsia="Theinhardt Regular"/>
          <w:color w:val="231F20"/>
          <w:spacing w:val="3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beide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PV-Anlagen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236’300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kWh/a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und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si-</w:t>
      </w:r>
      <w:r>
        <w:rPr>
          <w:rFonts w:ascii="Theinhardt Regular" w:hAnsi="Theinhardt Regular" w:cs="Theinhardt Regular" w:eastAsia="Theinhardt Regular"/>
          <w:color w:val="231F20"/>
          <w:spacing w:val="3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chern</w:t>
      </w:r>
      <w:r>
        <w:rPr>
          <w:rFonts w:ascii="Theinhardt Regular" w:hAnsi="Theinhardt Regular" w:cs="Theinhardt Regular" w:eastAsia="Theinhardt Regular"/>
          <w:color w:val="231F20"/>
          <w:spacing w:val="4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eine</w:t>
      </w:r>
      <w:r>
        <w:rPr>
          <w:rFonts w:ascii="Theinhardt Regular" w:hAnsi="Theinhardt Regular" w:cs="Theinhardt Regular" w:eastAsia="Theinhardt Regular"/>
          <w:color w:val="231F20"/>
          <w:spacing w:val="4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Eigenenergieversorgung</w:t>
      </w:r>
      <w:r>
        <w:rPr>
          <w:rFonts w:ascii="Theinhardt Regular" w:hAnsi="Theinhardt Regular" w:cs="Theinhardt Regular" w:eastAsia="Theinhardt Regular"/>
          <w:color w:val="231F20"/>
          <w:spacing w:val="4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von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182%.</w:t>
      </w:r>
      <w:r>
        <w:rPr>
          <w:rFonts w:ascii="Theinhardt Regular" w:hAnsi="Theinhardt Regular" w:cs="Theinhardt Regular" w:eastAsia="Theinhardt Regular"/>
          <w:color w:val="231F20"/>
          <w:spacing w:val="-1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Dennoch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sind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Mieten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20%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tiefer</w:t>
      </w:r>
      <w:r>
        <w:rPr>
          <w:rFonts w:ascii="Theinhardt Regular" w:hAnsi="Theinhardt Regular" w:cs="Theinhardt Regular" w:eastAsia="Theinhardt Regular"/>
          <w:color w:val="231F20"/>
          <w:spacing w:val="2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im</w:t>
      </w:r>
      <w:r>
        <w:rPr>
          <w:rFonts w:ascii="Theinhardt Regular" w:hAnsi="Theinhardt Regular" w:cs="Theinhardt Regular" w:eastAsia="Theinhardt Regular"/>
          <w:color w:val="231F20"/>
          <w:spacing w:val="-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Vergleich</w:t>
      </w:r>
      <w:r>
        <w:rPr>
          <w:rFonts w:ascii="Theinhardt Regular" w:hAnsi="Theinhardt Regular" w:cs="Theinhardt Regular" w:eastAsia="Theinhardt Regular"/>
          <w:color w:val="231F20"/>
          <w:spacing w:val="-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zu</w:t>
      </w:r>
      <w:r>
        <w:rPr>
          <w:rFonts w:ascii="Theinhardt Regular" w:hAnsi="Theinhardt Regular" w:cs="Theinhardt Regular" w:eastAsia="Theinhardt Regular"/>
          <w:color w:val="231F20"/>
          <w:spacing w:val="-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ähnlichen</w:t>
      </w:r>
      <w:r>
        <w:rPr>
          <w:rFonts w:ascii="Theinhardt Regular" w:hAnsi="Theinhardt Regular" w:cs="Theinhardt Regular" w:eastAsia="Theinhardt Regular"/>
          <w:color w:val="231F20"/>
          <w:spacing w:val="-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Wohnungen</w:t>
      </w:r>
      <w:r>
        <w:rPr>
          <w:rFonts w:ascii="Theinhardt Regular" w:hAnsi="Theinhardt Regular" w:cs="Theinhardt Regular" w:eastAsia="Theinhardt Regular"/>
          <w:color w:val="231F20"/>
          <w:spacing w:val="-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in</w:t>
      </w:r>
      <w:r>
        <w:rPr>
          <w:rFonts w:ascii="Theinhardt Regular" w:hAnsi="Theinhardt Regular" w:cs="Theinhardt Regular" w:eastAsia="Theinhardt Regular"/>
          <w:color w:val="231F20"/>
          <w:spacing w:val="-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der</w:t>
      </w:r>
      <w:r>
        <w:rPr>
          <w:rFonts w:ascii="Theinhardt Regular" w:hAnsi="Theinhardt Regular" w:cs="Theinhardt Regular" w:eastAsia="Theinhardt Regular"/>
          <w:color w:val="231F20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Region:</w:t>
      </w:r>
      <w:r>
        <w:rPr>
          <w:rFonts w:ascii="Theinhardt Regular" w:hAnsi="Theinhardt Regular" w:cs="Theinhardt Regular" w:eastAsia="Theinhardt Regular"/>
          <w:color w:val="231F20"/>
          <w:spacing w:val="3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3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PV-Anlagen</w:t>
      </w:r>
      <w:r>
        <w:rPr>
          <w:rFonts w:ascii="Theinhardt Regular" w:hAnsi="Theinhardt Regular" w:cs="Theinhardt Regular" w:eastAsia="Theinhardt Regular"/>
          <w:color w:val="231F20"/>
          <w:spacing w:val="3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produzieren</w:t>
      </w:r>
      <w:r>
        <w:rPr>
          <w:rFonts w:ascii="Theinhardt Regular" w:hAnsi="Theinhardt Regular" w:cs="Theinhardt Regular" w:eastAsia="Theinhardt Regular"/>
          <w:color w:val="231F20"/>
          <w:spacing w:val="3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nach</w:t>
      </w:r>
      <w:r>
        <w:rPr>
          <w:rFonts w:ascii="Theinhardt Regular" w:hAnsi="Theinhardt Regular" w:cs="Theinhardt Regular" w:eastAsia="Theinhardt Regular"/>
          <w:color w:val="231F20"/>
          <w:spacing w:val="5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zwei</w:t>
      </w:r>
      <w:r>
        <w:rPr>
          <w:rFonts w:ascii="Theinhardt Regular" w:hAnsi="Theinhardt Regular" w:cs="Theinhardt Regular" w:eastAsia="Theinhardt Regular"/>
          <w:color w:val="231F20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«Pay-Back-Time-Jahren»</w:t>
      </w:r>
      <w:r>
        <w:rPr>
          <w:rFonts w:ascii="Theinhardt Regular" w:hAnsi="Theinhardt Regular" w:cs="Theinhardt Regular" w:eastAsia="Theinhardt Regular"/>
          <w:color w:val="231F20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CO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-freien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Solarstrom</w:t>
      </w:r>
      <w:r>
        <w:rPr>
          <w:rFonts w:ascii="Theinhardt Regular" w:hAnsi="Theinhardt Regular" w:cs="Theinhardt Regular" w:eastAsia="Theinhardt Regular"/>
          <w:color w:val="231F20"/>
          <w:spacing w:val="3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für</w:t>
      </w:r>
      <w:r>
        <w:rPr>
          <w:rFonts w:ascii="Theinhardt Regular" w:hAnsi="Theinhardt Regular" w:cs="Theinhardt Regular" w:eastAsia="Theinhardt Regular"/>
          <w:color w:val="231F20"/>
          <w:spacing w:val="4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etwa</w:t>
      </w:r>
      <w:r>
        <w:rPr>
          <w:rFonts w:ascii="Theinhardt Regular" w:hAnsi="Theinhardt Regular" w:cs="Theinhardt Regular" w:eastAsia="Theinhardt Regular"/>
          <w:color w:val="231F20"/>
          <w:spacing w:val="3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10</w:t>
      </w:r>
      <w:r>
        <w:rPr>
          <w:rFonts w:ascii="Theinhardt Regular" w:hAnsi="Theinhardt Regular" w:cs="Theinhardt Regular" w:eastAsia="Theinhardt Regular"/>
          <w:color w:val="231F20"/>
          <w:spacing w:val="4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Rp./kWh.</w:t>
      </w:r>
      <w:r>
        <w:rPr>
          <w:rFonts w:ascii="Theinhardt Regular" w:hAnsi="Theinhardt Regular" w:cs="Theinhardt Regular" w:eastAsia="Theinhardt Regular"/>
          <w:color w:val="231F20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Das</w:t>
      </w:r>
      <w:r>
        <w:rPr>
          <w:rFonts w:ascii="Theinhardt Regular" w:hAnsi="Theinhardt Regular" w:cs="Theinhardt Regular" w:eastAsia="Theinhardt Regular"/>
          <w:color w:val="231F20"/>
          <w:spacing w:val="3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ist</w:t>
      </w:r>
      <w:r>
        <w:rPr>
          <w:rFonts w:ascii="Theinhardt Regular" w:hAnsi="Theinhardt Regular" w:cs="Theinhardt Regular" w:eastAsia="Theinhardt Regular"/>
          <w:color w:val="231F20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etwa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Hälfte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des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lokalen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Netzstrom-Prei-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ses</w:t>
      </w:r>
      <w:r>
        <w:rPr>
          <w:rFonts w:ascii="Theinhardt Regular" w:hAnsi="Theinhardt Regular" w:cs="Theinhardt Regular" w:eastAsia="Theinhardt Regular"/>
          <w:color w:val="231F20"/>
          <w:spacing w:val="1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von</w:t>
      </w:r>
      <w:r>
        <w:rPr>
          <w:rFonts w:ascii="Theinhardt Regular" w:hAnsi="Theinhardt Regular" w:cs="Theinhardt Regular" w:eastAsia="Theinhardt Regular"/>
          <w:color w:val="231F20"/>
          <w:spacing w:val="1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20</w:t>
      </w:r>
      <w:r>
        <w:rPr>
          <w:rFonts w:ascii="Theinhardt Regular" w:hAnsi="Theinhardt Regular" w:cs="Theinhardt Regular" w:eastAsia="Theinhardt Regular"/>
          <w:color w:val="231F20"/>
          <w:spacing w:val="1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Rp/kWh.</w:t>
      </w:r>
      <w:r>
        <w:rPr>
          <w:rFonts w:ascii="Theinhardt Regular" w:hAnsi="Theinhardt Regular" w:cs="Theinhardt Regular" w:eastAsia="Theinhardt Regular"/>
          <w:color w:val="231F20"/>
          <w:spacing w:val="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1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Eigenverbrauchs-</w:t>
      </w:r>
      <w:r>
        <w:rPr>
          <w:rFonts w:ascii="Theinhardt Regular" w:hAnsi="Theinhardt Regular" w:cs="Theinhardt Regular" w:eastAsia="Theinhardt Regular"/>
          <w:color w:val="231F20"/>
          <w:spacing w:val="3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gemeinschaft mit CarSharing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kann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den Ge-</w:t>
      </w:r>
      <w:r>
        <w:rPr>
          <w:rFonts w:ascii="Theinhardt Regular" w:hAnsi="Theinhardt Regular" w:cs="Theinhardt Regular" w:eastAsia="Theinhardt Regular"/>
          <w:color w:val="231F20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bäude-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und</w:t>
      </w:r>
      <w:r>
        <w:rPr>
          <w:rFonts w:ascii="Theinhardt Regular" w:hAnsi="Theinhardt Regular" w:cs="Theinhardt Regular" w:eastAsia="Theinhardt Regular"/>
          <w:color w:val="231F20"/>
          <w:spacing w:val="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Verkehrsenergiebedarf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der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32</w:t>
      </w:r>
      <w:r>
        <w:rPr>
          <w:rFonts w:ascii="Theinhardt Regular" w:hAnsi="Theinhardt Regular" w:cs="Theinhardt Regular" w:eastAsia="Theinhardt Regular"/>
          <w:color w:val="231F20"/>
          <w:spacing w:val="4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PEB-Wohnungen</w:t>
      </w:r>
      <w:r>
        <w:rPr>
          <w:rFonts w:ascii="Theinhardt Regular" w:hAnsi="Theinhardt Regular" w:cs="Theinhardt Regular" w:eastAsia="Theinhardt Regular"/>
          <w:color w:val="231F20"/>
          <w:spacing w:val="-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vollständig</w:t>
      </w:r>
      <w:r>
        <w:rPr>
          <w:rFonts w:ascii="Theinhardt Regular" w:hAnsi="Theinhardt Regular" w:cs="Theinhardt Regular" w:eastAsia="Theinhardt Regular"/>
          <w:color w:val="231F20"/>
          <w:spacing w:val="-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mit</w:t>
      </w:r>
      <w:r>
        <w:rPr>
          <w:rFonts w:ascii="Theinhardt Regular" w:hAnsi="Theinhardt Regular" w:cs="Theinhardt Regular" w:eastAsia="Theinhardt Regular"/>
          <w:color w:val="231F20"/>
          <w:spacing w:val="-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CO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-freiem</w:t>
      </w:r>
      <w:r>
        <w:rPr>
          <w:rFonts w:ascii="Theinhardt Regular" w:hAnsi="Theinhardt Regular" w:cs="Theinhardt Regular" w:eastAsia="Theinhardt Regular"/>
          <w:color w:val="231F20"/>
          <w:spacing w:val="3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Solarstrom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versorgen.</w:t>
      </w:r>
      <w:r>
        <w:rPr>
          <w:rFonts w:ascii="Theinhardt Regular" w:hAnsi="Theinhardt Regular" w:cs="Theinhardt Regular" w:eastAsia="Theinhardt Regular"/>
          <w:sz w:val="18"/>
          <w:szCs w:val="18"/>
        </w:rPr>
      </w:r>
    </w:p>
    <w:p>
      <w:pPr>
        <w:spacing w:line="230" w:lineRule="exact" w:before="0"/>
        <w:ind w:left="106" w:right="8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-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PEB-Siedlung</w:t>
      </w:r>
      <w:r>
        <w:rPr>
          <w:rFonts w:ascii="Theinhardt Regular" w:hAnsi="Theinhardt Regular" w:cs="Theinhardt Regular" w:eastAsia="Theinhardt Regular"/>
          <w:color w:val="231F20"/>
          <w:spacing w:val="-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Tobel</w:t>
      </w:r>
      <w:r>
        <w:rPr>
          <w:rFonts w:ascii="Theinhardt Regular" w:hAnsi="Theinhardt Regular" w:cs="Theinhardt Regular" w:eastAsia="Theinhardt Regular"/>
          <w:color w:val="231F20"/>
          <w:spacing w:val="-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zeigt</w:t>
      </w:r>
      <w:r>
        <w:rPr>
          <w:rFonts w:ascii="Theinhardt Regular" w:hAnsi="Theinhardt Regular" w:cs="Theinhardt Regular" w:eastAsia="Theinhardt Regular"/>
          <w:color w:val="231F20"/>
          <w:spacing w:val="-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beispielhaft</w:t>
      </w:r>
      <w:r>
        <w:rPr>
          <w:rFonts w:ascii="Theinhardt Regular" w:hAnsi="Theinhardt Regular" w:cs="Theinhardt Regular" w:eastAsia="Theinhardt Regular"/>
          <w:color w:val="231F20"/>
          <w:spacing w:val="3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wie</w:t>
      </w:r>
      <w:r>
        <w:rPr>
          <w:rFonts w:ascii="Theinhardt Regular" w:hAnsi="Theinhardt Regular" w:cs="Theinhardt Regular" w:eastAsia="Theinhardt Regular"/>
          <w:color w:val="231F20"/>
          <w:spacing w:val="1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rasch</w:t>
      </w:r>
      <w:r>
        <w:rPr>
          <w:rFonts w:ascii="Theinhardt Regular" w:hAnsi="Theinhardt Regular" w:cs="Theinhardt Regular" w:eastAsia="Theinhardt Regular"/>
          <w:color w:val="231F20"/>
          <w:spacing w:val="1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und</w:t>
      </w:r>
      <w:r>
        <w:rPr>
          <w:rFonts w:ascii="Theinhardt Regular" w:hAnsi="Theinhardt Regular" w:cs="Theinhardt Regular" w:eastAsia="Theinhardt Regular"/>
          <w:color w:val="231F20"/>
          <w:spacing w:val="1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preisgünstig</w:t>
      </w:r>
      <w:r>
        <w:rPr>
          <w:rFonts w:ascii="Theinhardt Regular" w:hAnsi="Theinhardt Regular" w:cs="Theinhardt Regular" w:eastAsia="Theinhardt Regular"/>
          <w:color w:val="231F20"/>
          <w:spacing w:val="1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das</w:t>
      </w:r>
      <w:r>
        <w:rPr>
          <w:rFonts w:ascii="Theinhardt Regular" w:hAnsi="Theinhardt Regular" w:cs="Theinhardt Regular" w:eastAsia="Theinhardt Regular"/>
          <w:color w:val="231F20"/>
          <w:spacing w:val="1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Pariser</w:t>
      </w:r>
      <w:r>
        <w:rPr>
          <w:rFonts w:ascii="Theinhardt Regular" w:hAnsi="Theinhardt Regular" w:cs="Theinhardt Regular" w:eastAsia="Theinhardt Regular"/>
          <w:color w:val="231F20"/>
          <w:spacing w:val="1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Kli-</w:t>
      </w:r>
      <w:r>
        <w:rPr>
          <w:rFonts w:ascii="Theinhardt Regular" w:hAnsi="Theinhardt Regular" w:cs="Theinhardt Regular" w:eastAsia="Theinhardt Regular"/>
          <w:color w:val="231F20"/>
          <w:spacing w:val="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maabkommen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umgesetzt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werden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kann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–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sogar</w:t>
      </w:r>
      <w:r>
        <w:rPr>
          <w:rFonts w:ascii="Theinhardt Regular" w:hAnsi="Theinhardt Regular" w:cs="Theinhardt Regular" w:eastAsia="Theinhardt Regular"/>
          <w:color w:val="231F20"/>
          <w:spacing w:val="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mit</w:t>
      </w:r>
      <w:r>
        <w:rPr>
          <w:rFonts w:ascii="Theinhardt Regular" w:hAnsi="Theinhardt Regular" w:cs="Theinhardt Regular" w:eastAsia="Theinhardt Regular"/>
          <w:color w:val="231F20"/>
          <w:spacing w:val="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20%</w:t>
      </w:r>
      <w:r>
        <w:rPr>
          <w:rFonts w:ascii="Theinhardt Regular" w:hAnsi="Theinhardt Regular" w:cs="Theinhardt Regular" w:eastAsia="Theinhardt Regular"/>
          <w:color w:val="231F20"/>
          <w:spacing w:val="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günstigen</w:t>
      </w:r>
      <w:r>
        <w:rPr>
          <w:rFonts w:ascii="Theinhardt Regular" w:hAnsi="Theinhardt Regular" w:cs="Theinhardt Regular" w:eastAsia="Theinhardt Regular"/>
          <w:color w:val="231F20"/>
          <w:spacing w:val="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Mietzinsen</w:t>
      </w:r>
      <w:r>
        <w:rPr>
          <w:rFonts w:ascii="Theinhardt Regular" w:hAnsi="Theinhardt Regular" w:cs="Theinhardt Regular" w:eastAsia="Theinhardt Regular"/>
          <w:color w:val="231F20"/>
          <w:spacing w:val="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im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Vergleich</w:t>
      </w:r>
      <w:r>
        <w:rPr>
          <w:rFonts w:ascii="Theinhardt Regular" w:hAnsi="Theinhardt Regular" w:cs="Theinhardt Regular" w:eastAsia="Theinhardt Regular"/>
          <w:color w:val="231F20"/>
          <w:spacing w:val="3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zu</w:t>
      </w:r>
      <w:r>
        <w:rPr>
          <w:rFonts w:ascii="Theinhardt Regular" w:hAnsi="Theinhardt Regular" w:cs="Theinhardt Regular" w:eastAsia="Theinhardt Regular"/>
          <w:color w:val="231F20"/>
          <w:spacing w:val="3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ähnlichen</w:t>
      </w:r>
      <w:r>
        <w:rPr>
          <w:rFonts w:ascii="Theinhardt Regular" w:hAnsi="Theinhardt Regular" w:cs="Theinhardt Regular" w:eastAsia="Theinhardt Regular"/>
          <w:color w:val="231F20"/>
          <w:spacing w:val="3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Wohnungen</w:t>
      </w:r>
      <w:r>
        <w:rPr>
          <w:rFonts w:ascii="Theinhardt Regular" w:hAnsi="Theinhardt Regular" w:cs="Theinhardt Regular" w:eastAsia="Theinhardt Regular"/>
          <w:color w:val="231F20"/>
          <w:spacing w:val="3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in</w:t>
      </w:r>
      <w:r>
        <w:rPr>
          <w:rFonts w:ascii="Theinhardt Regular" w:hAnsi="Theinhardt Regular" w:cs="Theinhardt Regular" w:eastAsia="Theinhardt Regular"/>
          <w:color w:val="231F20"/>
          <w:spacing w:val="3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der</w:t>
      </w:r>
      <w:r>
        <w:rPr>
          <w:rFonts w:ascii="Theinhardt Regular" w:hAnsi="Theinhardt Regular" w:cs="Theinhardt Regular" w:eastAsia="Theinhardt Regular"/>
          <w:color w:val="231F20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Region.</w:t>
      </w:r>
      <w:r>
        <w:rPr>
          <w:rFonts w:ascii="Theinhardt Regular" w:hAnsi="Theinhardt Regular" w:cs="Theinhardt Regular" w:eastAsia="Theinhardt Regular"/>
          <w:color w:val="231F20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PEB-Siedlung</w:t>
      </w:r>
      <w:r>
        <w:rPr>
          <w:rFonts w:ascii="Theinhardt Regular" w:hAnsi="Theinhardt Regular" w:cs="Theinhardt Regular" w:eastAsia="Theinhardt Regular"/>
          <w:color w:val="231F20"/>
          <w:spacing w:val="4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Tobel</w:t>
      </w:r>
      <w:r>
        <w:rPr>
          <w:rFonts w:ascii="Theinhardt Regular" w:hAnsi="Theinhardt Regular" w:cs="Theinhardt Regular" w:eastAsia="Theinhardt Regular"/>
          <w:color w:val="231F20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verdient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den Norman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Foster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Solar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Award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2019.</w:t>
      </w:r>
      <w:r>
        <w:rPr>
          <w:rFonts w:ascii="Theinhardt Regular" w:hAnsi="Theinhardt Regular" w:cs="Theinhardt Regular" w:eastAsia="Theinhardt Regular"/>
          <w:sz w:val="18"/>
          <w:szCs w:val="18"/>
        </w:rPr>
      </w:r>
    </w:p>
    <w:p>
      <w:pPr>
        <w:pStyle w:val="BodyText"/>
        <w:spacing w:line="230" w:lineRule="exact" w:before="52"/>
        <w:ind w:right="0" w:firstLine="0"/>
        <w:jc w:val="both"/>
        <w:rPr>
          <w:i w:val="0"/>
        </w:rPr>
      </w:pPr>
      <w:r>
        <w:rPr>
          <w:i w:val="0"/>
        </w:rPr>
        <w:br w:type="column"/>
      </w:r>
      <w:r>
        <w:rPr>
          <w:color w:val="231F20"/>
          <w:spacing w:val="-2"/>
        </w:rPr>
        <w:t>La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rénovation</w:t>
      </w:r>
      <w:r>
        <w:rPr>
          <w:color w:val="231F20"/>
          <w:spacing w:val="19"/>
        </w:rPr>
        <w:t> </w:t>
      </w:r>
      <w:r>
        <w:rPr>
          <w:color w:val="231F20"/>
        </w:rPr>
        <w:t>du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lotissement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BEP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Tobel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(TG)</w:t>
      </w:r>
      <w:r>
        <w:rPr>
          <w:color w:val="231F20"/>
          <w:spacing w:val="-3"/>
        </w:rPr>
        <w:t> </w:t>
      </w:r>
      <w:r>
        <w:rPr>
          <w:color w:val="231F20"/>
        </w:rPr>
        <w:t>et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mise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place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d’une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installation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PV</w:t>
      </w:r>
      <w:r>
        <w:rPr>
          <w:color w:val="231F20"/>
          <w:spacing w:val="37"/>
        </w:rPr>
        <w:t> </w:t>
      </w:r>
      <w:r>
        <w:rPr>
          <w:color w:val="231F20"/>
        </w:rPr>
        <w:t>sur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les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façades</w:t>
      </w:r>
      <w:r>
        <w:rPr>
          <w:color w:val="231F20"/>
          <w:spacing w:val="23"/>
        </w:rPr>
        <w:t> </w:t>
      </w:r>
      <w:r>
        <w:rPr>
          <w:color w:val="231F20"/>
        </w:rPr>
        <w:t>ont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permis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d’augmenter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l’auto-approvisionnement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pendant</w:t>
      </w:r>
      <w:r>
        <w:rPr>
          <w:color w:val="231F20"/>
          <w:spacing w:val="28"/>
        </w:rPr>
        <w:t> </w:t>
      </w:r>
      <w:r>
        <w:rPr>
          <w:color w:val="231F20"/>
          <w:spacing w:val="-3"/>
        </w:rPr>
        <w:t>l’hiver.</w:t>
      </w:r>
      <w:r>
        <w:rPr>
          <w:color w:val="231F20"/>
          <w:spacing w:val="29"/>
        </w:rPr>
        <w:t> </w:t>
      </w:r>
      <w:r>
        <w:rPr>
          <w:color w:val="231F20"/>
          <w:spacing w:val="-3"/>
        </w:rPr>
        <w:t>Les</w:t>
      </w:r>
      <w:r>
        <w:rPr>
          <w:color w:val="231F20"/>
          <w:spacing w:val="17"/>
        </w:rPr>
        <w:t> </w:t>
      </w:r>
      <w:r>
        <w:rPr>
          <w:color w:val="231F20"/>
        </w:rPr>
        <w:t>32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appartements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Minergie-P/BEP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con-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somment</w:t>
      </w:r>
      <w:r>
        <w:rPr>
          <w:color w:val="231F20"/>
          <w:spacing w:val="22"/>
        </w:rPr>
        <w:t> </w:t>
      </w:r>
      <w:r>
        <w:rPr>
          <w:color w:val="231F20"/>
        </w:rPr>
        <w:t>129’500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kWh/a.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L’installation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PV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233</w:t>
      </w:r>
      <w:r>
        <w:rPr>
          <w:color w:val="231F20"/>
          <w:spacing w:val="-3"/>
        </w:rPr>
        <w:t> </w:t>
      </w:r>
      <w:r>
        <w:rPr>
          <w:color w:val="231F20"/>
        </w:rPr>
        <w:t>kW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bien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intégrée</w:t>
      </w:r>
      <w:r>
        <w:rPr>
          <w:color w:val="231F20"/>
          <w:spacing w:val="-3"/>
        </w:rPr>
        <w:t> </w:t>
      </w:r>
      <w:r>
        <w:rPr>
          <w:color w:val="231F20"/>
        </w:rPr>
        <w:t>à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tout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toit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gé-</w:t>
      </w:r>
      <w:r>
        <w:rPr>
          <w:color w:val="231F20"/>
          <w:spacing w:val="23"/>
        </w:rPr>
        <w:t> </w:t>
      </w:r>
      <w:r>
        <w:rPr>
          <w:color w:val="231F20"/>
        </w:rPr>
        <w:t>néraitjusque-là</w:t>
      </w:r>
      <w:r>
        <w:rPr>
          <w:color w:val="231F20"/>
          <w:spacing w:val="-29"/>
        </w:rPr>
        <w:t> </w:t>
      </w:r>
      <w:r>
        <w:rPr>
          <w:color w:val="231F20"/>
        </w:rPr>
        <w:t>208’000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kWh/a.L’installation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PV</w:t>
      </w:r>
      <w:r>
        <w:rPr>
          <w:color w:val="231F20"/>
          <w:spacing w:val="-2"/>
        </w:rPr>
        <w:t> de </w:t>
      </w:r>
      <w:r>
        <w:rPr>
          <w:color w:val="231F20"/>
        </w:rPr>
        <w:t>51,5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kW,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ajoutée </w:t>
      </w:r>
      <w:r>
        <w:rPr>
          <w:color w:val="231F20"/>
          <w:spacing w:val="-1"/>
        </w:rPr>
        <w:t>après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coup</w:t>
      </w:r>
      <w:r>
        <w:rPr>
          <w:color w:val="231F20"/>
          <w:spacing w:val="-2"/>
        </w:rPr>
        <w:t> de </w:t>
      </w:r>
      <w:r>
        <w:rPr>
          <w:color w:val="231F20"/>
          <w:spacing w:val="-1"/>
        </w:rPr>
        <w:t>façon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exemplaire</w:t>
      </w:r>
      <w:r>
        <w:rPr>
          <w:color w:val="231F20"/>
          <w:spacing w:val="26"/>
        </w:rPr>
        <w:t> </w:t>
      </w:r>
      <w:r>
        <w:rPr>
          <w:color w:val="231F20"/>
        </w:rPr>
        <w:t>aux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balustrades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avec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soutien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Roland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Krippner,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fournit</w:t>
      </w:r>
      <w:r>
        <w:rPr>
          <w:color w:val="231F20"/>
          <w:spacing w:val="21"/>
        </w:rPr>
        <w:t> </w:t>
      </w:r>
      <w:r>
        <w:rPr>
          <w:color w:val="231F20"/>
        </w:rPr>
        <w:t>28’300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kWh/a.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Avec</w:t>
      </w:r>
      <w:r>
        <w:rPr>
          <w:color w:val="231F20"/>
          <w:spacing w:val="-11"/>
        </w:rPr>
        <w:t> </w:t>
      </w:r>
      <w:r>
        <w:rPr>
          <w:color w:val="231F20"/>
        </w:rPr>
        <w:t>9’600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kWh/a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plus,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1"/>
        </w:rPr>
        <w:t>part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courant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solaire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augmente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hiver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d’environ</w:t>
      </w:r>
      <w:r>
        <w:rPr>
          <w:color w:val="231F20"/>
          <w:spacing w:val="41"/>
        </w:rPr>
        <w:t> </w:t>
      </w:r>
      <w:r>
        <w:rPr>
          <w:color w:val="231F20"/>
        </w:rPr>
        <w:t>12%,</w:t>
      </w:r>
      <w:r>
        <w:rPr>
          <w:color w:val="231F20"/>
          <w:spacing w:val="29"/>
        </w:rPr>
        <w:t> </w:t>
      </w:r>
      <w:r>
        <w:rPr>
          <w:color w:val="231F20"/>
        </w:rPr>
        <w:t>passant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52’235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kWh/a</w:t>
      </w:r>
      <w:r>
        <w:rPr>
          <w:color w:val="231F20"/>
          <w:spacing w:val="3"/>
        </w:rPr>
        <w:t> </w:t>
      </w:r>
      <w:r>
        <w:rPr>
          <w:color w:val="231F20"/>
        </w:rPr>
        <w:t>à</w:t>
      </w:r>
      <w:r>
        <w:rPr>
          <w:color w:val="231F20"/>
          <w:spacing w:val="3"/>
        </w:rPr>
        <w:t> </w:t>
      </w:r>
      <w:r>
        <w:rPr>
          <w:color w:val="231F20"/>
        </w:rPr>
        <w:t>61’835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kWh/a.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Elle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couvre</w:t>
      </w:r>
      <w:r>
        <w:rPr>
          <w:color w:val="231F20"/>
          <w:spacing w:val="25"/>
        </w:rPr>
        <w:t> </w:t>
      </w:r>
      <w:r>
        <w:rPr>
          <w:color w:val="231F20"/>
        </w:rPr>
        <w:t>ainsi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non</w:t>
      </w:r>
      <w:r>
        <w:rPr>
          <w:color w:val="231F20"/>
          <w:spacing w:val="25"/>
        </w:rPr>
        <w:t> </w:t>
      </w:r>
      <w:r>
        <w:rPr>
          <w:color w:val="231F20"/>
        </w:rPr>
        <w:t>plus</w:t>
      </w:r>
      <w:r>
        <w:rPr>
          <w:color w:val="231F20"/>
          <w:spacing w:val="25"/>
        </w:rPr>
        <w:t> </w:t>
      </w:r>
      <w:r>
        <w:rPr>
          <w:color w:val="231F20"/>
        </w:rPr>
        <w:t>65%</w:t>
      </w:r>
      <w:r>
        <w:rPr>
          <w:color w:val="231F20"/>
          <w:spacing w:val="24"/>
        </w:rPr>
        <w:t> </w:t>
      </w:r>
      <w:r>
        <w:rPr>
          <w:color w:val="231F20"/>
        </w:rPr>
        <w:t>mais</w:t>
      </w:r>
      <w:r>
        <w:rPr>
          <w:color w:val="231F20"/>
          <w:spacing w:val="25"/>
        </w:rPr>
        <w:t> </w:t>
      </w:r>
      <w:r>
        <w:rPr>
          <w:color w:val="231F20"/>
        </w:rPr>
        <w:t>77%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des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besoins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80’000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kWh/a</w:t>
      </w:r>
      <w:r>
        <w:rPr>
          <w:color w:val="231F20"/>
          <w:spacing w:val="13"/>
        </w:rPr>
        <w:t> </w:t>
      </w:r>
      <w:r>
        <w:rPr>
          <w:color w:val="231F20"/>
        </w:rPr>
        <w:t>durant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cette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période.</w:t>
      </w:r>
      <w:r>
        <w:rPr>
          <w:i w:val="0"/>
        </w:rPr>
      </w:r>
    </w:p>
    <w:p>
      <w:pPr>
        <w:pStyle w:val="BodyText"/>
        <w:spacing w:line="230" w:lineRule="exact"/>
        <w:ind w:right="0"/>
        <w:jc w:val="both"/>
        <w:rPr>
          <w:i w:val="0"/>
        </w:rPr>
      </w:pPr>
      <w:r>
        <w:rPr>
          <w:color w:val="231F20"/>
        </w:rPr>
        <w:t>Si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l’on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équipait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également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les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façades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est-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ouest,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l’autoproduction</w:t>
      </w:r>
      <w:r>
        <w:rPr>
          <w:color w:val="231F20"/>
          <w:spacing w:val="28"/>
        </w:rPr>
        <w:t> </w:t>
      </w:r>
      <w:r>
        <w:rPr>
          <w:color w:val="231F20"/>
        </w:rPr>
        <w:t>serait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28"/>
        </w:rPr>
        <w:t> </w:t>
      </w:r>
      <w:r>
        <w:rPr>
          <w:color w:val="231F20"/>
        </w:rPr>
        <w:t>115%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21"/>
        </w:rPr>
        <w:t> </w:t>
      </w:r>
      <w:r>
        <w:rPr>
          <w:color w:val="231F20"/>
          <w:spacing w:val="-4"/>
        </w:rPr>
        <w:t>hiver.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Ensemble,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les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deux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installations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PV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génèrent</w:t>
      </w:r>
      <w:r>
        <w:rPr>
          <w:color w:val="231F20"/>
          <w:spacing w:val="39"/>
        </w:rPr>
        <w:t> </w:t>
      </w:r>
      <w:r>
        <w:rPr>
          <w:color w:val="231F20"/>
        </w:rPr>
        <w:t>236’300</w:t>
      </w:r>
      <w:r>
        <w:rPr>
          <w:color w:val="231F20"/>
          <w:spacing w:val="40"/>
        </w:rPr>
        <w:t> </w:t>
      </w:r>
      <w:r>
        <w:rPr>
          <w:color w:val="231F20"/>
          <w:spacing w:val="-3"/>
        </w:rPr>
        <w:t>kWh/a</w:t>
      </w:r>
      <w:r>
        <w:rPr>
          <w:color w:val="231F20"/>
          <w:spacing w:val="39"/>
        </w:rPr>
        <w:t> </w:t>
      </w:r>
      <w:r>
        <w:rPr>
          <w:color w:val="231F20"/>
        </w:rPr>
        <w:t>et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assurent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une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autoproduction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39"/>
        </w:rPr>
        <w:t> </w:t>
      </w:r>
      <w:r>
        <w:rPr>
          <w:color w:val="231F20"/>
        </w:rPr>
        <w:t>182%.</w:t>
      </w:r>
      <w:r>
        <w:rPr>
          <w:color w:val="231F20"/>
          <w:spacing w:val="30"/>
        </w:rPr>
        <w:t> </w:t>
      </w:r>
      <w:r>
        <w:rPr>
          <w:color w:val="231F20"/>
          <w:spacing w:val="-5"/>
        </w:rPr>
        <w:t>Le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BEP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38"/>
        </w:rPr>
        <w:t> </w:t>
      </w:r>
      <w:r>
        <w:rPr>
          <w:color w:val="231F20"/>
        </w:rPr>
        <w:t>dis-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tingue </w:t>
      </w:r>
      <w:r>
        <w:rPr>
          <w:color w:val="231F20"/>
          <w:spacing w:val="-1"/>
        </w:rPr>
        <w:t>non</w:t>
      </w:r>
      <w:r>
        <w:rPr>
          <w:color w:val="231F20"/>
          <w:spacing w:val="-2"/>
        </w:rPr>
        <w:t> seulement </w:t>
      </w:r>
      <w:r>
        <w:rPr>
          <w:color w:val="231F20"/>
        </w:rPr>
        <w:t>par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des</w:t>
      </w:r>
      <w:r>
        <w:rPr>
          <w:color w:val="231F20"/>
          <w:spacing w:val="-2"/>
        </w:rPr>
        <w:t> loyers </w:t>
      </w:r>
      <w:r>
        <w:rPr>
          <w:color w:val="231F20"/>
          <w:spacing w:val="-1"/>
        </w:rPr>
        <w:t>aborda-</w:t>
      </w:r>
      <w:r>
        <w:rPr>
          <w:color w:val="231F20"/>
          <w:spacing w:val="39"/>
        </w:rPr>
        <w:t> </w:t>
      </w:r>
      <w:r>
        <w:rPr>
          <w:color w:val="231F20"/>
        </w:rPr>
        <w:t>bles,inférieursde</w:t>
      </w:r>
      <w:r>
        <w:rPr>
          <w:color w:val="231F20"/>
          <w:spacing w:val="-33"/>
        </w:rPr>
        <w:t> </w:t>
      </w:r>
      <w:r>
        <w:rPr>
          <w:color w:val="231F20"/>
        </w:rPr>
        <w:t>20%</w:t>
      </w:r>
      <w:r>
        <w:rPr>
          <w:color w:val="231F20"/>
          <w:spacing w:val="-33"/>
        </w:rPr>
        <w:t> </w:t>
      </w:r>
      <w:r>
        <w:rPr>
          <w:color w:val="231F20"/>
          <w:spacing w:val="1"/>
        </w:rPr>
        <w:t>àceuxd’appartements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similaires</w:t>
      </w:r>
      <w:r>
        <w:rPr>
          <w:color w:val="231F20"/>
          <w:spacing w:val="6"/>
        </w:rPr>
        <w:t> </w:t>
      </w:r>
      <w:r>
        <w:rPr>
          <w:color w:val="231F20"/>
        </w:rPr>
        <w:t>dans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région, </w:t>
      </w:r>
      <w:r>
        <w:rPr>
          <w:color w:val="231F20"/>
        </w:rPr>
        <w:t>mais</w:t>
      </w:r>
      <w:r>
        <w:rPr>
          <w:color w:val="231F20"/>
          <w:spacing w:val="6"/>
        </w:rPr>
        <w:t> </w:t>
      </w:r>
      <w:r>
        <w:rPr>
          <w:color w:val="231F20"/>
        </w:rPr>
        <w:t>aussi</w:t>
      </w:r>
      <w:r>
        <w:rPr>
          <w:color w:val="231F20"/>
          <w:spacing w:val="6"/>
        </w:rPr>
        <w:t> </w:t>
      </w:r>
      <w:r>
        <w:rPr>
          <w:color w:val="231F20"/>
        </w:rPr>
        <w:t>par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une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infrastructure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PV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façades</w:t>
      </w:r>
      <w:r>
        <w:rPr>
          <w:color w:val="231F20"/>
          <w:spacing w:val="4"/>
        </w:rPr>
        <w:t> </w:t>
      </w:r>
      <w:r>
        <w:rPr>
          <w:color w:val="231F20"/>
        </w:rPr>
        <w:t>qui,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après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deux</w:t>
      </w:r>
      <w:r>
        <w:rPr>
          <w:color w:val="231F20"/>
          <w:spacing w:val="31"/>
        </w:rPr>
        <w:t> </w:t>
      </w:r>
      <w:r>
        <w:rPr>
          <w:color w:val="231F20"/>
        </w:rPr>
        <w:t>ans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mise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service,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produit</w:t>
      </w:r>
      <w:r>
        <w:rPr>
          <w:color w:val="231F20"/>
          <w:spacing w:val="20"/>
        </w:rPr>
        <w:t> </w:t>
      </w:r>
      <w:r>
        <w:rPr>
          <w:color w:val="231F20"/>
        </w:rPr>
        <w:t>du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courant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solaire</w:t>
      </w:r>
      <w:r>
        <w:rPr>
          <w:color w:val="231F20"/>
          <w:spacing w:val="42"/>
        </w:rPr>
        <w:t> </w:t>
      </w:r>
      <w:r>
        <w:rPr>
          <w:color w:val="231F20"/>
        </w:rPr>
        <w:t>pour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environ</w:t>
      </w:r>
      <w:r>
        <w:rPr>
          <w:color w:val="231F20"/>
          <w:spacing w:val="42"/>
        </w:rPr>
        <w:t> </w:t>
      </w:r>
      <w:r>
        <w:rPr>
          <w:color w:val="231F20"/>
        </w:rPr>
        <w:t>10</w:t>
      </w:r>
      <w:r>
        <w:rPr>
          <w:color w:val="231F20"/>
          <w:spacing w:val="43"/>
        </w:rPr>
        <w:t> </w:t>
      </w:r>
      <w:r>
        <w:rPr>
          <w:color w:val="231F20"/>
        </w:rPr>
        <w:t>ct/kWh.</w:t>
      </w:r>
      <w:r>
        <w:rPr>
          <w:color w:val="231F20"/>
          <w:spacing w:val="35"/>
        </w:rPr>
        <w:t> </w:t>
      </w:r>
      <w:r>
        <w:rPr>
          <w:color w:val="231F20"/>
          <w:spacing w:val="-3"/>
        </w:rPr>
        <w:t>Les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rési-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dents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profitent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directement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cette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énergie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hivernale</w:t>
      </w:r>
      <w:r>
        <w:rPr>
          <w:color w:val="231F20"/>
          <w:spacing w:val="29"/>
        </w:rPr>
        <w:t> </w:t>
      </w:r>
      <w:r>
        <w:rPr>
          <w:color w:val="231F20"/>
          <w:spacing w:val="-3"/>
        </w:rPr>
        <w:t>zéro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émission,</w:t>
      </w:r>
      <w:r>
        <w:rPr>
          <w:color w:val="231F20"/>
          <w:spacing w:val="22"/>
        </w:rPr>
        <w:t> </w:t>
      </w:r>
      <w:r>
        <w:rPr>
          <w:color w:val="231F20"/>
        </w:rPr>
        <w:t>50%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moins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chère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les</w:t>
      </w:r>
      <w:r>
        <w:rPr>
          <w:color w:val="231F20"/>
          <w:spacing w:val="10"/>
        </w:rPr>
        <w:t> </w:t>
      </w:r>
      <w:r>
        <w:rPr>
          <w:color w:val="231F20"/>
        </w:rPr>
        <w:t>20</w:t>
      </w:r>
      <w:r>
        <w:rPr>
          <w:color w:val="231F20"/>
          <w:spacing w:val="10"/>
        </w:rPr>
        <w:t> </w:t>
      </w:r>
      <w:r>
        <w:rPr>
          <w:color w:val="231F20"/>
        </w:rPr>
        <w:t>ct/kWh</w:t>
      </w:r>
      <w:r>
        <w:rPr>
          <w:color w:val="231F20"/>
          <w:spacing w:val="10"/>
        </w:rPr>
        <w:t> </w:t>
      </w:r>
      <w:r>
        <w:rPr>
          <w:color w:val="231F20"/>
        </w:rPr>
        <w:t>du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réseau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local.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Le</w:t>
      </w:r>
      <w:r>
        <w:rPr>
          <w:color w:val="231F20"/>
          <w:spacing w:val="10"/>
        </w:rPr>
        <w:t> </w:t>
      </w:r>
      <w:r>
        <w:rPr>
          <w:color w:val="231F20"/>
          <w:spacing w:val="-8"/>
        </w:rPr>
        <w:t>BEP,</w:t>
      </w:r>
      <w:r>
        <w:rPr>
          <w:color w:val="231F20"/>
          <w:spacing w:val="25"/>
        </w:rPr>
        <w:t> </w:t>
      </w:r>
      <w:r>
        <w:rPr>
          <w:color w:val="231F20"/>
        </w:rPr>
        <w:t>qui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propose</w:t>
      </w:r>
      <w:r>
        <w:rPr>
          <w:color w:val="231F20"/>
          <w:spacing w:val="12"/>
        </w:rPr>
        <w:t> </w:t>
      </w:r>
      <w:r>
        <w:rPr>
          <w:color w:val="231F20"/>
        </w:rPr>
        <w:t>aussi</w:t>
      </w:r>
      <w:r>
        <w:rPr>
          <w:color w:val="231F20"/>
          <w:spacing w:val="12"/>
        </w:rPr>
        <w:t> </w:t>
      </w:r>
      <w:r>
        <w:rPr>
          <w:color w:val="231F20"/>
        </w:rPr>
        <w:t>un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service</w:t>
      </w:r>
      <w:r>
        <w:rPr>
          <w:color w:val="231F20"/>
          <w:spacing w:val="12"/>
        </w:rPr>
        <w:t> </w:t>
      </w:r>
      <w:r>
        <w:rPr>
          <w:color w:val="231F20"/>
        </w:rPr>
        <w:t>d’autopartage,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subvient</w:t>
      </w:r>
      <w:r>
        <w:rPr>
          <w:color w:val="231F20"/>
          <w:spacing w:val="-4"/>
        </w:rPr>
        <w:t> </w:t>
      </w:r>
      <w:r>
        <w:rPr>
          <w:color w:val="231F20"/>
        </w:rPr>
        <w:t>ainsi</w:t>
      </w:r>
      <w:r>
        <w:rPr>
          <w:color w:val="231F20"/>
          <w:spacing w:val="-4"/>
        </w:rPr>
        <w:t> </w:t>
      </w:r>
      <w:r>
        <w:rPr>
          <w:color w:val="231F20"/>
        </w:rPr>
        <w:t>à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totalité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ses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besoins</w:t>
      </w:r>
      <w:r>
        <w:rPr>
          <w:color w:val="231F20"/>
          <w:spacing w:val="-4"/>
        </w:rPr>
        <w:t> </w:t>
      </w:r>
      <w:r>
        <w:rPr>
          <w:color w:val="231F20"/>
        </w:rPr>
        <w:t>(32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appartements</w:t>
      </w:r>
      <w:r>
        <w:rPr>
          <w:color w:val="231F20"/>
          <w:spacing w:val="1"/>
        </w:rPr>
        <w:t> </w:t>
      </w:r>
      <w:r>
        <w:rPr>
          <w:color w:val="231F20"/>
        </w:rPr>
        <w:t>et</w:t>
      </w:r>
      <w:r>
        <w:rPr>
          <w:color w:val="231F20"/>
          <w:spacing w:val="1"/>
        </w:rPr>
        <w:t> </w:t>
      </w:r>
      <w:r>
        <w:rPr>
          <w:color w:val="231F20"/>
        </w:rPr>
        <w:t>transport)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avec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l’énergie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solaire</w:t>
      </w:r>
      <w:r>
        <w:rPr>
          <w:color w:val="231F20"/>
        </w:rPr>
        <w:t> </w:t>
      </w:r>
      <w:r>
        <w:rPr>
          <w:color w:val="231F20"/>
          <w:spacing w:val="-3"/>
        </w:rPr>
        <w:t>exempte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-1"/>
        </w:rPr>
        <w:t>.</w:t>
      </w:r>
      <w:r>
        <w:rPr>
          <w:i w:val="0"/>
        </w:rPr>
      </w:r>
    </w:p>
    <w:p>
      <w:pPr>
        <w:pStyle w:val="BodyText"/>
        <w:spacing w:line="230" w:lineRule="exact"/>
        <w:ind w:right="5"/>
        <w:jc w:val="both"/>
        <w:rPr>
          <w:i w:val="0"/>
        </w:rPr>
      </w:pPr>
      <w:r>
        <w:rPr>
          <w:color w:val="231F20"/>
          <w:spacing w:val="-2"/>
        </w:rPr>
        <w:t>Parce</w:t>
      </w:r>
      <w:r>
        <w:rPr>
          <w:color w:val="231F20"/>
          <w:spacing w:val="36"/>
        </w:rPr>
        <w:t> </w:t>
      </w:r>
      <w:r>
        <w:rPr>
          <w:color w:val="231F20"/>
        </w:rPr>
        <w:t>qu’il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montre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clairement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comment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mettre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œuvre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l’Accord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Paris</w:t>
      </w:r>
      <w:r>
        <w:rPr>
          <w:color w:val="231F20"/>
          <w:spacing w:val="4"/>
        </w:rPr>
        <w:t> </w:t>
      </w:r>
      <w:r>
        <w:rPr>
          <w:color w:val="231F20"/>
        </w:rPr>
        <w:t>sur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cli-</w:t>
      </w:r>
      <w:r>
        <w:rPr>
          <w:color w:val="231F20"/>
          <w:spacing w:val="27"/>
        </w:rPr>
        <w:t> </w:t>
      </w:r>
      <w:r>
        <w:rPr>
          <w:color w:val="231F20"/>
        </w:rPr>
        <w:t>mat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manière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rapide</w:t>
      </w:r>
      <w:r>
        <w:rPr>
          <w:color w:val="231F20"/>
          <w:spacing w:val="16"/>
        </w:rPr>
        <w:t> </w:t>
      </w:r>
      <w:r>
        <w:rPr>
          <w:color w:val="231F20"/>
        </w:rPr>
        <w:t>et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économique,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tout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proposant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des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loyers</w:t>
      </w:r>
      <w:r>
        <w:rPr>
          <w:color w:val="231F20"/>
          <w:spacing w:val="10"/>
        </w:rPr>
        <w:t> </w:t>
      </w:r>
      <w:r>
        <w:rPr>
          <w:color w:val="231F20"/>
        </w:rPr>
        <w:t>20%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meilleur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mar-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ché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ceux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pratiqués</w:t>
      </w:r>
      <w:r>
        <w:rPr>
          <w:color w:val="231F20"/>
          <w:spacing w:val="3"/>
        </w:rPr>
        <w:t> </w:t>
      </w:r>
      <w:r>
        <w:rPr>
          <w:color w:val="231F20"/>
        </w:rPr>
        <w:t>dans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région,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lo-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tissement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BEP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Tobel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reçoit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-7"/>
        </w:rPr>
        <w:t> </w:t>
      </w:r>
      <w:r>
        <w:rPr>
          <w:color w:val="231F20"/>
        </w:rPr>
        <w:t>Norman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Foster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Solar</w:t>
      </w:r>
      <w:r>
        <w:rPr>
          <w:color w:val="231F20"/>
        </w:rPr>
        <w:t> </w:t>
      </w:r>
      <w:r>
        <w:rPr>
          <w:color w:val="231F20"/>
          <w:spacing w:val="-1"/>
        </w:rPr>
        <w:t>Award</w:t>
      </w:r>
      <w:r>
        <w:rPr>
          <w:color w:val="231F20"/>
        </w:rPr>
        <w:t> 2019.</w:t>
      </w:r>
      <w:r>
        <w:rPr>
          <w:i w:val="0"/>
        </w:rPr>
      </w:r>
    </w:p>
    <w:p>
      <w:pPr>
        <w:spacing w:line="240" w:lineRule="auto" w:before="1"/>
        <w:rPr>
          <w:rFonts w:ascii="Theinhardt Regular Italic" w:hAnsi="Theinhardt Regular Italic" w:cs="Theinhardt Regular Italic" w:eastAsia="Theinhardt Regular Italic"/>
          <w:i/>
          <w:sz w:val="10"/>
          <w:szCs w:val="10"/>
        </w:rPr>
      </w:pPr>
      <w:r>
        <w:rPr/>
        <w:br w:type="column"/>
      </w:r>
      <w:r>
        <w:rPr>
          <w:rFonts w:ascii="Theinhardt Regular Italic"/>
          <w:i/>
          <w:sz w:val="10"/>
        </w:rPr>
      </w:r>
    </w:p>
    <w:p>
      <w:pPr>
        <w:spacing w:before="0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before="2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spacing w:line="240" w:lineRule="auto" w:before="1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tbl>
      <w:tblPr>
        <w:tblW w:w="0" w:type="auto"/>
        <w:jc w:val="left"/>
        <w:tblInd w:w="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578"/>
        <w:gridCol w:w="700"/>
        <w:gridCol w:w="419"/>
        <w:gridCol w:w="695"/>
      </w:tblGrid>
      <w:tr>
        <w:trPr>
          <w:trHeight w:val="127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7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Wand: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7" w:lineRule="exact"/>
              <w:ind w:left="133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26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cm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7" w:lineRule="exact"/>
              <w:ind w:left="15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U-Wert: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111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7" w:lineRule="exact"/>
              <w:ind w:left="32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5"/>
                <w:sz w:val="14"/>
              </w:rPr>
              <w:t>0.13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W/m</w:t>
            </w:r>
            <w:r>
              <w:rPr>
                <w:rFonts w:ascii="Theinhardt Regular"/>
                <w:color w:val="231F20"/>
                <w:spacing w:val="-2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K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160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Dach: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3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32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cm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5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U-Wert: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111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33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7"/>
                <w:sz w:val="14"/>
              </w:rPr>
              <w:t>0.11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W/m</w:t>
            </w:r>
            <w:r>
              <w:rPr>
                <w:rFonts w:ascii="Theinhardt Regular"/>
                <w:color w:val="231F20"/>
                <w:spacing w:val="-2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K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160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Boden: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40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4"/>
                <w:sz w:val="14"/>
              </w:rPr>
              <w:t>14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cm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5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U-Wert: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111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32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5"/>
                <w:sz w:val="14"/>
              </w:rPr>
              <w:t>0.15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W/m</w:t>
            </w:r>
            <w:r>
              <w:rPr>
                <w:rFonts w:ascii="Theinhardt Regular"/>
                <w:color w:val="231F20"/>
                <w:spacing w:val="-2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K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151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1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Fenster: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1" w:lineRule="exact"/>
              <w:ind w:left="1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dreifach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1" w:lineRule="exact"/>
              <w:ind w:left="15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U-Wert: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111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1" w:lineRule="exact"/>
              <w:ind w:left="303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0.80 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W/m</w:t>
            </w:r>
            <w:r>
              <w:rPr>
                <w:rFonts w:ascii="Theinhardt Regular"/>
                <w:color w:val="231F20"/>
                <w:spacing w:val="-2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K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218" w:hRule="exact"/>
        </w:trPr>
        <w:tc>
          <w:tcPr>
            <w:tcW w:w="3398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 w:before="46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Energiebedarf</w:t>
            </w:r>
            <w:r>
              <w:rPr>
                <w:rFonts w:asci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vor</w:t>
            </w:r>
            <w:r>
              <w:rPr>
                <w:rFonts w:asci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Sanierung</w:t>
            </w:r>
            <w:r>
              <w:rPr>
                <w:rFonts w:asci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/>
                <w:b/>
                <w:color w:val="231F20"/>
                <w:spacing w:val="-1"/>
                <w:sz w:val="14"/>
              </w:rPr>
              <w:t>[100%</w:t>
            </w:r>
            <w:r>
              <w:rPr>
                <w:rFonts w:ascii="Theinhardt Bold"/>
                <w:b/>
                <w:color w:val="231F20"/>
                <w:sz w:val="14"/>
              </w:rPr>
              <w:t> | </w:t>
            </w:r>
            <w:r>
              <w:rPr>
                <w:rFonts w:ascii="Theinhardt Bold"/>
                <w:b/>
                <w:color w:val="231F20"/>
                <w:spacing w:val="-2"/>
                <w:sz w:val="14"/>
              </w:rPr>
              <w:t>154%]</w:t>
            </w:r>
            <w:r>
              <w:rPr>
                <w:rFonts w:ascii="Theinhardt Bold"/>
                <w:sz w:val="14"/>
              </w:rPr>
            </w:r>
          </w:p>
        </w:tc>
      </w:tr>
      <w:tr>
        <w:trPr>
          <w:trHeight w:val="168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8"/>
                <w:szCs w:val="8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1"/>
                <w:sz w:val="14"/>
                <w:szCs w:val="14"/>
              </w:rPr>
              <w:t>EBF: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4’025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m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position w:val="5"/>
                <w:sz w:val="8"/>
                <w:szCs w:val="8"/>
              </w:rPr>
              <w:t>2</w:t>
            </w:r>
            <w:r>
              <w:rPr>
                <w:rFonts w:ascii="Theinhardt Regular" w:hAnsi="Theinhardt Regular" w:cs="Theinhardt Regular" w:eastAsia="Theinhardt Regular"/>
                <w:sz w:val="8"/>
                <w:szCs w:val="8"/>
              </w:rPr>
            </w:r>
          </w:p>
        </w:tc>
        <w:tc>
          <w:tcPr>
            <w:tcW w:w="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5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192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23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160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Elektrizität</w:t>
            </w:r>
            <w:r>
              <w:rPr>
                <w:rFonts w:ascii="Theinhardt Regular" w:hAnsi="Theinhardt Regular"/>
                <w:color w:val="231F20"/>
                <w:sz w:val="14"/>
              </w:rPr>
              <w:t> </w:t>
            </w:r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WP: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46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21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53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6</w:t>
            </w:r>
            <w:r>
              <w:rPr>
                <w:rFonts w:ascii="Theinhardt Regular"/>
                <w:color w:val="231F20"/>
                <w:sz w:val="14"/>
              </w:rPr>
              <w:t>4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9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2"/>
                <w:sz w:val="14"/>
                <w:szCs w:val="14"/>
              </w:rPr>
              <w:t>85’165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Elektrizität: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right="73"/>
              <w:jc w:val="righ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4"/>
                <w:sz w:val="14"/>
              </w:rPr>
              <w:t>12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36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9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2"/>
                <w:sz w:val="14"/>
                <w:szCs w:val="14"/>
              </w:rPr>
              <w:t>48’155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88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Gesamt-EB: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456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33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73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97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z w:val="14"/>
                <w:szCs w:val="14"/>
              </w:rPr>
              <w:t>133’320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</w:tbl>
    <w:p>
      <w:pPr>
        <w:spacing w:line="172" w:lineRule="exact" w:before="8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Energiebedarf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nach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Sanierung</w:t>
      </w:r>
      <w:r>
        <w:rPr>
          <w:rFonts w:ascii="Theinhardt Bold"/>
          <w:b/>
          <w:color w:val="231F20"/>
          <w:sz w:val="14"/>
        </w:rPr>
        <w:t> [65% | </w:t>
      </w:r>
      <w:r>
        <w:rPr>
          <w:rFonts w:ascii="Theinhardt Bold"/>
          <w:b/>
          <w:color w:val="231F20"/>
          <w:spacing w:val="-1"/>
          <w:sz w:val="14"/>
        </w:rPr>
        <w:t>100%]</w:t>
      </w:r>
      <w:r>
        <w:rPr>
          <w:rFonts w:ascii="Theinhardt Bold"/>
          <w:sz w:val="14"/>
        </w:rPr>
      </w:r>
    </w:p>
    <w:p>
      <w:pPr>
        <w:tabs>
          <w:tab w:pos="1694" w:val="left" w:leader="none"/>
          <w:tab w:pos="2529" w:val="left" w:leader="none"/>
          <w:tab w:pos="2992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EBF: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4’025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099" w:val="left" w:leader="none"/>
          <w:tab w:pos="2490" w:val="left" w:leader="none"/>
          <w:tab w:pos="2944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Elektrizität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WP: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21</w:t>
        <w:tab/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64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82’725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108" w:val="left" w:leader="none"/>
          <w:tab w:pos="2492" w:val="left" w:leader="none"/>
          <w:tab w:pos="2941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Elektrizität:</w:t>
        <w:tab/>
      </w:r>
      <w:r>
        <w:rPr>
          <w:rFonts w:ascii="Theinhardt Regular" w:hAnsi="Theinhardt Regular" w:cs="Theinhardt Regular" w:eastAsia="Theinhardt Regular"/>
          <w:color w:val="231F20"/>
          <w:spacing w:val="-7"/>
          <w:sz w:val="14"/>
          <w:szCs w:val="14"/>
        </w:rPr>
        <w:t>11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36</w:t>
        <w:tab/>
        <w:t>46’775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094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Gesamt-EB: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32   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129’500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Energieversorgung</w:t>
      </w:r>
      <w:r>
        <w:rPr>
          <w:rFonts w:ascii="Theinhardt Bold"/>
          <w:sz w:val="14"/>
        </w:rPr>
      </w:r>
    </w:p>
    <w:p>
      <w:pPr>
        <w:tabs>
          <w:tab w:pos="965" w:val="left" w:leader="none"/>
          <w:tab w:pos="2006" w:val="left" w:leader="none"/>
          <w:tab w:pos="2495" w:val="left" w:leader="none"/>
          <w:tab w:pos="2897" w:val="left" w:leader="none"/>
        </w:tabs>
        <w:spacing w:line="207" w:lineRule="auto" w:before="5"/>
        <w:ind w:left="106" w:right="16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Eigen-EV: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       </w:t>
      </w:r>
      <w:r>
        <w:rPr>
          <w:rFonts w:ascii="Theinhardt Regular" w:hAnsi="Theinhardt Regular" w:cs="Theinhardt Regular" w:eastAsia="Theinhardt Regular"/>
          <w:color w:val="231F20"/>
          <w:spacing w:val="12"/>
          <w:position w:val="5"/>
          <w:sz w:val="8"/>
          <w:szCs w:val="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(SK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Fassade225</w:t>
        <w:tab/>
      </w: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300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52</w:t>
        <w:tab/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67’500)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332" w:val="left" w:leader="none"/>
          <w:tab w:pos="2018" w:val="left" w:leader="none"/>
        </w:tabs>
        <w:spacing w:line="154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PV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Dach: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1’253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233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166</w:t>
      </w:r>
      <w:r>
        <w:rPr>
          <w:rFonts w:ascii="Theinhardt Regular" w:hAnsi="Theinhardt Regular" w:cs="Theinhardt Regular" w:eastAsia="Theinhardt Regular"/>
          <w:color w:val="231F20"/>
          <w:spacing w:val="-5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160.6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208’000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424" w:val="left" w:leader="none"/>
          <w:tab w:pos="2100" w:val="left" w:leader="none"/>
          <w:tab w:pos="2938" w:val="left" w:leader="none"/>
        </w:tabs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PV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Fassade:400</w:t>
        <w:tab/>
      </w:r>
      <w:r>
        <w:rPr>
          <w:rFonts w:ascii="Theinhardt Regular" w:hAnsi="Theinhardt Regular" w:cs="Theinhardt Regular" w:eastAsia="Theinhardt Regular"/>
          <w:color w:val="231F20"/>
          <w:spacing w:val="-5"/>
          <w:sz w:val="14"/>
          <w:szCs w:val="14"/>
        </w:rPr>
        <w:t>51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71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</w:t>
      </w:r>
      <w:r>
        <w:rPr>
          <w:rFonts w:ascii="Theinhardt Regular" w:hAnsi="Theinhardt Regular" w:cs="Theinhardt Regular" w:eastAsia="Theinhardt Regular"/>
          <w:color w:val="231F20"/>
          <w:spacing w:val="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21.9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28’300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"/>
          <w:szCs w:val="2"/>
        </w:rPr>
      </w:pPr>
    </w:p>
    <w:tbl>
      <w:tblPr>
        <w:tblW w:w="0" w:type="auto"/>
        <w:jc w:val="left"/>
        <w:tblInd w:w="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1"/>
        <w:gridCol w:w="599"/>
        <w:gridCol w:w="699"/>
      </w:tblGrid>
      <w:tr>
        <w:trPr>
          <w:trHeight w:val="159" w:hRule="exact"/>
        </w:trPr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Eigenenergieversorgung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5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/>
              <w:ind w:left="259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-1"/>
                <w:sz w:val="14"/>
              </w:rPr>
              <w:t>182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6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/>
              <w:ind w:left="93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1"/>
                <w:sz w:val="14"/>
                <w:szCs w:val="14"/>
              </w:rPr>
              <w:t>236’300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  <w:tr>
        <w:trPr>
          <w:trHeight w:val="348" w:hRule="exact"/>
        </w:trPr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15"/>
              <w:ind w:left="55" w:right="256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Energiebilanz</w:t>
            </w:r>
            <w:r>
              <w:rPr>
                <w:rFonts w:asci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(Endenergie)</w:t>
            </w:r>
            <w:r>
              <w:rPr>
                <w:rFonts w:ascii="Theinhardt Bold"/>
                <w:b/>
                <w:color w:val="231F20"/>
                <w:spacing w:val="34"/>
                <w:sz w:val="14"/>
              </w:rPr>
              <w:t> 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Eigenenergieversorgung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5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 w:before="7"/>
              <w:ind w:left="284" w:right="0"/>
              <w:jc w:val="center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9" w:lineRule="exact"/>
              <w:ind w:left="165" w:right="0"/>
              <w:jc w:val="center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-1"/>
                <w:sz w:val="14"/>
              </w:rPr>
              <w:t>182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6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 w:before="7"/>
              <w:ind w:left="181" w:right="0"/>
              <w:jc w:val="center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9" w:lineRule="exact"/>
              <w:ind w:left="38" w:right="0"/>
              <w:jc w:val="center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1"/>
                <w:sz w:val="14"/>
                <w:szCs w:val="14"/>
              </w:rPr>
              <w:t>236’300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  <w:tr>
        <w:trPr>
          <w:trHeight w:val="159" w:hRule="exact"/>
        </w:trPr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Gesamtenergiebedarf: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5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25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110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129’500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6" w:hRule="exact"/>
        </w:trPr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Solarstromüberschuss: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5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340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82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9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z w:val="14"/>
                <w:szCs w:val="14"/>
              </w:rPr>
              <w:t>106’800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</w:tbl>
    <w:p>
      <w:pPr>
        <w:spacing w:line="160" w:lineRule="exact" w:before="37"/>
        <w:ind w:left="106" w:right="42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Technischen</w:t>
      </w:r>
      <w:r>
        <w:rPr>
          <w:rFonts w:ascii="Theinhardt Bold" w:hAnsi="Theinhardt Bold"/>
          <w:b/>
          <w:color w:val="231F20"/>
          <w:sz w:val="14"/>
        </w:rPr>
        <w:t> Werken Tobel-</w:t>
      </w:r>
      <w:r>
        <w:rPr>
          <w:rFonts w:ascii="Theinhardt Bold" w:hAnsi="Theinhardt Bold"/>
          <w:b/>
          <w:color w:val="231F20"/>
          <w:spacing w:val="26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Tägerschen</w:t>
      </w:r>
      <w:r>
        <w:rPr>
          <w:rFonts w:ascii="Theinhardt Bold" w:hAnsi="Theinhardt Bold"/>
          <w:b/>
          <w:color w:val="231F20"/>
          <w:spacing w:val="2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 </w:t>
      </w:r>
      <w:r>
        <w:rPr>
          <w:rFonts w:ascii="Theinhardt Regular" w:hAnsi="Theinhardt Regular"/>
          <w:color w:val="231F20"/>
          <w:spacing w:val="-2"/>
          <w:sz w:val="14"/>
        </w:rPr>
        <w:t>13.09.2019</w:t>
      </w:r>
      <w:r>
        <w:rPr>
          <w:rFonts w:ascii="Theinhardt Regular" w:hAnsi="Theinhardt Regular"/>
          <w:sz w:val="14"/>
        </w:rPr>
      </w:r>
    </w:p>
    <w:p>
      <w:pPr>
        <w:spacing w:line="17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Rolf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Bosshard,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58 346 </w:t>
      </w:r>
      <w:r>
        <w:rPr>
          <w:rFonts w:ascii="Theinhardt Regular"/>
          <w:color w:val="231F20"/>
          <w:spacing w:val="-1"/>
          <w:sz w:val="14"/>
        </w:rPr>
        <w:t>01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00</w:t>
      </w:r>
      <w:r>
        <w:rPr>
          <w:rFonts w:ascii="Theinhardt Regular"/>
          <w:sz w:val="14"/>
        </w:rPr>
      </w:r>
    </w:p>
    <w:p>
      <w:pPr>
        <w:spacing w:before="88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60" w:lineRule="exact" w:before="28"/>
        <w:ind w:left="106" w:right="45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Standort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  <w:r>
        <w:rPr>
          <w:rFonts w:ascii="Theinhardt Bold" w:hAnsi="Theinhardt Bold"/>
          <w:b/>
          <w:color w:val="231F20"/>
          <w:spacing w:val="29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PlusEnergieÜberbauung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Zentrum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Tobel</w:t>
      </w:r>
      <w:r>
        <w:rPr>
          <w:rFonts w:ascii="Theinhardt Regular" w:hAnsi="Theinhardt Regular"/>
          <w:color w:val="231F20"/>
          <w:spacing w:val="5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Käsereistrasse</w:t>
      </w:r>
      <w:r>
        <w:rPr>
          <w:rFonts w:ascii="Theinhardt Regular" w:hAnsi="Theinhardt Regular"/>
          <w:color w:val="231F20"/>
          <w:sz w:val="14"/>
        </w:rPr>
        <w:t> 4, 6, 8, 9555 </w:t>
      </w:r>
      <w:r>
        <w:rPr>
          <w:rFonts w:ascii="Theinhardt Regular" w:hAnsi="Theinhardt Regular"/>
          <w:color w:val="231F20"/>
          <w:spacing w:val="1"/>
          <w:sz w:val="14"/>
        </w:rPr>
        <w:t>Tobel/TG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49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Bauherrschaft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Baukonsortium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Käsereistrasse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Tobel</w:t>
      </w:r>
      <w:r>
        <w:rPr>
          <w:rFonts w:ascii="Theinhardt Regular" w:hAnsi="Theinhardt Regular"/>
          <w:sz w:val="14"/>
        </w:rPr>
      </w:r>
    </w:p>
    <w:p>
      <w:pPr>
        <w:spacing w:line="207" w:lineRule="auto" w:before="5"/>
        <w:ind w:left="106" w:right="133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G.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Fent</w:t>
      </w:r>
      <w:r>
        <w:rPr>
          <w:rFonts w:ascii="Theinhardt Regular"/>
          <w:color w:val="231F20"/>
          <w:sz w:val="14"/>
        </w:rPr>
        <w:t> u. </w:t>
      </w:r>
      <w:r>
        <w:rPr>
          <w:rFonts w:ascii="Theinhardt Regular"/>
          <w:color w:val="231F20"/>
          <w:spacing w:val="1"/>
          <w:sz w:val="14"/>
        </w:rPr>
        <w:t>Residenz</w:t>
      </w:r>
      <w:r>
        <w:rPr>
          <w:rFonts w:ascii="Theinhardt Regular"/>
          <w:color w:val="231F20"/>
          <w:sz w:val="14"/>
        </w:rPr>
        <w:t> AG </w:t>
      </w:r>
      <w:r>
        <w:rPr>
          <w:rFonts w:ascii="Theinhardt Regular"/>
          <w:color w:val="231F20"/>
          <w:spacing w:val="1"/>
          <w:sz w:val="14"/>
        </w:rPr>
        <w:t>Schweiz</w:t>
      </w:r>
      <w:r>
        <w:rPr>
          <w:rFonts w:ascii="Theinhardt Regular"/>
          <w:color w:val="231F20"/>
          <w:spacing w:val="28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c/o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Residenz</w:t>
      </w:r>
      <w:r>
        <w:rPr>
          <w:rFonts w:ascii="Theinhardt Regular"/>
          <w:color w:val="231F20"/>
          <w:sz w:val="14"/>
        </w:rPr>
        <w:t> AG </w:t>
      </w:r>
      <w:r>
        <w:rPr>
          <w:rFonts w:ascii="Theinhardt Regular"/>
          <w:color w:val="231F20"/>
          <w:spacing w:val="1"/>
          <w:sz w:val="14"/>
        </w:rPr>
        <w:t>Schweiz</w:t>
      </w:r>
      <w:r>
        <w:rPr>
          <w:rFonts w:ascii="Theinhardt Regular"/>
          <w:color w:val="231F20"/>
          <w:spacing w:val="2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Gotthardstr.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29,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6300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Zug</w:t>
      </w:r>
      <w:r>
        <w:rPr>
          <w:rFonts w:ascii="Theinhardt Regular"/>
          <w:sz w:val="14"/>
        </w:rPr>
      </w:r>
    </w:p>
    <w:p>
      <w:pPr>
        <w:spacing w:line="172" w:lineRule="exact" w:before="38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Architektur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42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Fent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Solare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Architektur,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Giuseppe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Fent</w:t>
      </w:r>
      <w:r>
        <w:rPr>
          <w:rFonts w:ascii="Theinhardt Regular"/>
          <w:color w:val="231F20"/>
          <w:spacing w:val="42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Hofbergstr.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21,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9500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Wil</w:t>
      </w:r>
      <w:r>
        <w:rPr>
          <w:rFonts w:asci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071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913</w:t>
      </w:r>
      <w:r>
        <w:rPr>
          <w:rFonts w:ascii="Theinhardt Regular"/>
          <w:color w:val="231F20"/>
          <w:sz w:val="14"/>
        </w:rPr>
        <w:t> 30 5</w:t>
      </w:r>
      <w:hyperlink r:id="rId6">
        <w:r>
          <w:rPr>
            <w:rFonts w:ascii="Theinhardt Regular"/>
            <w:color w:val="231F20"/>
            <w:sz w:val="14"/>
          </w:rPr>
          <w:t>3, </w:t>
        </w:r>
        <w:r>
          <w:rPr>
            <w:rFonts w:ascii="Theinhardt Regular"/>
            <w:color w:val="231F20"/>
            <w:spacing w:val="1"/>
            <w:sz w:val="14"/>
          </w:rPr>
          <w:t>giuseppe-fent@fent-solar.com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PV-Anlage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932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MBR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Solar</w:t>
      </w:r>
      <w:r>
        <w:rPr>
          <w:rFonts w:ascii="Theinhardt Regular" w:hAnsi="Theinhardt Regular"/>
          <w:color w:val="231F20"/>
          <w:sz w:val="14"/>
        </w:rPr>
        <w:t> AG, </w:t>
      </w:r>
      <w:r>
        <w:rPr>
          <w:rFonts w:ascii="Theinhardt Regular" w:hAnsi="Theinhardt Regular"/>
          <w:color w:val="231F20"/>
          <w:spacing w:val="2"/>
          <w:sz w:val="14"/>
        </w:rPr>
        <w:t>Christian</w:t>
      </w:r>
      <w:r>
        <w:rPr>
          <w:rFonts w:ascii="Theinhardt Regular" w:hAnsi="Theinhardt Regular"/>
          <w:color w:val="231F20"/>
          <w:sz w:val="14"/>
        </w:rPr>
        <w:t> Wolf</w:t>
      </w:r>
      <w:r>
        <w:rPr>
          <w:rFonts w:ascii="Theinhardt Regular" w:hAnsi="Theinhardt Regular"/>
          <w:color w:val="231F20"/>
          <w:spacing w:val="28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Wilerstrasse</w:t>
      </w:r>
      <w:r>
        <w:rPr>
          <w:rFonts w:ascii="Theinhardt Regular" w:hAnsi="Theinhardt Regular"/>
          <w:color w:val="231F20"/>
          <w:sz w:val="14"/>
        </w:rPr>
        <w:t> 3, </w:t>
      </w:r>
      <w:r>
        <w:rPr>
          <w:rFonts w:ascii="Theinhardt Regular" w:hAnsi="Theinhardt Regular"/>
          <w:color w:val="231F20"/>
          <w:spacing w:val="1"/>
          <w:sz w:val="14"/>
        </w:rPr>
        <w:t>9545</w:t>
      </w:r>
      <w:r>
        <w:rPr>
          <w:rFonts w:ascii="Theinhardt Regular" w:hAnsi="Theinhardt Regular"/>
          <w:color w:val="231F20"/>
          <w:sz w:val="14"/>
        </w:rPr>
        <w:t> Wängi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052</w:t>
      </w:r>
      <w:r>
        <w:rPr>
          <w:rFonts w:ascii="Theinhardt Regular"/>
          <w:color w:val="231F20"/>
          <w:sz w:val="14"/>
        </w:rPr>
        <w:t> 369 </w:t>
      </w:r>
      <w:r>
        <w:rPr>
          <w:rFonts w:ascii="Theinhardt Regular"/>
          <w:color w:val="231F20"/>
          <w:spacing w:val="1"/>
          <w:sz w:val="14"/>
        </w:rPr>
        <w:t>50</w:t>
      </w:r>
      <w:r>
        <w:rPr>
          <w:rFonts w:ascii="Theinhardt Regular"/>
          <w:color w:val="231F20"/>
          <w:sz w:val="14"/>
        </w:rPr>
        <w:t> 30</w:t>
      </w:r>
      <w:hyperlink r:id="rId7">
        <w:r>
          <w:rPr>
            <w:rFonts w:ascii="Theinhardt Regular"/>
            <w:color w:val="231F20"/>
            <w:sz w:val="14"/>
          </w:rPr>
          <w:t>, </w:t>
        </w:r>
        <w:r>
          <w:rPr>
            <w:rFonts w:ascii="Theinhardt Regular"/>
            <w:color w:val="231F20"/>
            <w:spacing w:val="1"/>
            <w:sz w:val="14"/>
          </w:rPr>
          <w:t>f.bruehwiler@mbrsolar.ch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Elektroanlagen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Steinlin</w:t>
      </w:r>
      <w:r>
        <w:rPr>
          <w:rFonts w:ascii="Theinhardt Regular"/>
          <w:color w:val="231F20"/>
          <w:sz w:val="14"/>
        </w:rPr>
        <w:t> + </w:t>
      </w:r>
      <w:r>
        <w:rPr>
          <w:rFonts w:ascii="Theinhardt Regular"/>
          <w:color w:val="231F20"/>
          <w:spacing w:val="2"/>
          <w:sz w:val="14"/>
        </w:rPr>
        <w:t>Partner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St.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Gallerstr.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71,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9500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Wil/SG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85.511902pt;margin-top:10.422095pt;width:167.25pt;height:.45pt;mso-position-horizontal-relative:page;mso-position-vertical-relative:paragraph;z-index:1072" coordorigin="7710,208" coordsize="3345,9">
            <v:group style="position:absolute;left:7732;top:213;width:3311;height:2" coordorigin="7732,213" coordsize="3311,2">
              <v:shape style="position:absolute;left:7732;top:213;width:3311;height:2" coordorigin="7732,213" coordsize="3311,0" path="m7732,213l11042,213e" filled="false" stroked="true" strokeweight=".425pt" strokecolor="#231f20">
                <v:path arrowok="t"/>
                <v:stroke dashstyle="dash"/>
              </v:shape>
            </v:group>
            <v:group style="position:absolute;left:7714;top:213;width:2;height:2" coordorigin="7714,213" coordsize="2,2">
              <v:shape style="position:absolute;left:7714;top:213;width:2;height:2" coordorigin="7714,213" coordsize="0,0" path="m7714,213l7714,213e" filled="false" stroked="true" strokeweight=".425pt" strokecolor="#231f20">
                <v:path arrowok="t"/>
              </v:shape>
            </v:group>
            <v:group style="position:absolute;left:11051;top:213;width:2;height:2" coordorigin="11051,213" coordsize="2,2">
              <v:shape style="position:absolute;left:11051;top:213;width:2;height:2" coordorigin="11051,213" coordsize="0,0" path="m11051,213l11051,213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071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913</w:t>
      </w:r>
      <w:r>
        <w:rPr>
          <w:rFonts w:ascii="Theinhardt Regular"/>
          <w:color w:val="231F20"/>
          <w:sz w:val="14"/>
        </w:rPr>
        <w:t> 99 </w:t>
      </w:r>
      <w:r>
        <w:rPr>
          <w:rFonts w:ascii="Theinhardt Regular"/>
          <w:color w:val="231F20"/>
          <w:spacing w:val="-7"/>
          <w:sz w:val="14"/>
        </w:rPr>
        <w:t>11</w:t>
      </w:r>
      <w:hyperlink r:id="rId8">
        <w:r>
          <w:rPr>
            <w:rFonts w:ascii="Theinhardt Regular"/>
            <w:color w:val="231F20"/>
            <w:spacing w:val="-7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info@steinlin.ch</w:t>
        </w:r>
        <w:r>
          <w:rPr>
            <w:rFonts w:ascii="Theinhardt Regular"/>
            <w:sz w:val="14"/>
          </w:rPr>
        </w:r>
      </w:hyperlink>
    </w:p>
    <w:p>
      <w:pPr>
        <w:spacing w:after="0" w:line="172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63" w:space="108"/>
            <w:col w:w="3460" w:space="112"/>
            <w:col w:w="3567"/>
          </w:cols>
        </w:sect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16"/>
          <w:szCs w:val="16"/>
        </w:rPr>
      </w:pPr>
    </w:p>
    <w:p>
      <w:pPr>
        <w:spacing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34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2019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2019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11"/>
        <w:rPr>
          <w:rFonts w:ascii="Theinhardt Regular" w:hAnsi="Theinhardt Regular" w:cs="Theinhardt Regular" w:eastAsia="Theinhardt Regular"/>
          <w:sz w:val="6"/>
          <w:szCs w:val="6"/>
        </w:rPr>
      </w:pPr>
    </w:p>
    <w:p>
      <w:pPr>
        <w:spacing w:line="200" w:lineRule="atLeast"/>
        <w:ind w:left="106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97098" cy="4307205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098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line="167" w:lineRule="exact" w:before="0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3"/>
          <w:szCs w:val="3"/>
        </w:rPr>
      </w:pPr>
    </w:p>
    <w:p>
      <w:pPr>
        <w:tabs>
          <w:tab w:pos="5473" w:val="left" w:leader="none"/>
        </w:tabs>
        <w:spacing w:line="200" w:lineRule="atLeast"/>
        <w:ind w:left="11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sz w:val="20"/>
        </w:rPr>
        <w:drawing>
          <wp:inline distT="0" distB="0" distL="0" distR="0">
            <wp:extent cx="3166220" cy="2123027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220" cy="212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  <w:r>
        <w:rPr>
          <w:rFonts w:ascii="Theinhardt Bold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3157562" cy="2117121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562" cy="211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5460" w:val="left" w:leader="none"/>
        </w:tabs>
        <w:spacing w:before="101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0"/>
          <w:szCs w:val="20"/>
        </w:rPr>
        <w:sectPr>
          <w:pgSz w:w="11910" w:h="16840"/>
          <w:pgMar w:top="840" w:bottom="280" w:left="740" w:right="460"/>
        </w:sectPr>
      </w:pPr>
    </w:p>
    <w:p>
      <w:pPr>
        <w:spacing w:line="240" w:lineRule="auto" w:before="3"/>
        <w:rPr>
          <w:rFonts w:ascii="Theinhardt Bold" w:hAnsi="Theinhardt Bold" w:cs="Theinhardt Bold" w:eastAsia="Theinhardt Bold"/>
          <w:b/>
          <w:bCs/>
          <w:sz w:val="17"/>
          <w:szCs w:val="17"/>
        </w:rPr>
      </w:pPr>
    </w:p>
    <w:p>
      <w:pPr>
        <w:numPr>
          <w:ilvl w:val="0"/>
          <w:numId w:val="1"/>
        </w:numPr>
        <w:tabs>
          <w:tab w:pos="334" w:val="left" w:leader="none"/>
        </w:tabs>
        <w:spacing w:line="160" w:lineRule="exact" w:before="0"/>
        <w:ind w:left="333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vollflächig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integrierte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PV-Dachanlage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3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produziert rund 208’000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240" w:lineRule="auto" w:before="3"/>
        <w:rPr>
          <w:rFonts w:ascii="Theinhardt Bold" w:hAnsi="Theinhardt Bold" w:cs="Theinhardt Bold" w:eastAsia="Theinhardt Bold"/>
          <w:b/>
          <w:bCs/>
          <w:sz w:val="17"/>
          <w:szCs w:val="17"/>
        </w:rPr>
      </w:pPr>
      <w:r>
        <w:rPr/>
        <w:br w:type="column"/>
      </w:r>
      <w:r>
        <w:rPr>
          <w:rFonts w:ascii="Theinhardt Bold"/>
          <w:b/>
          <w:sz w:val="17"/>
        </w:rPr>
      </w:r>
    </w:p>
    <w:p>
      <w:pPr>
        <w:numPr>
          <w:ilvl w:val="0"/>
          <w:numId w:val="1"/>
        </w:numPr>
        <w:tabs>
          <w:tab w:pos="334" w:val="left" w:leader="none"/>
        </w:tabs>
        <w:spacing w:line="160" w:lineRule="exact" w:before="0"/>
        <w:ind w:left="333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Die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PV-Fassadenanlage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an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Balkon-</w:t>
      </w:r>
      <w:r>
        <w:rPr>
          <w:rFonts w:ascii="Theinhardt Bold" w:hAnsi="Theinhardt Bold" w:cs="Theinhardt Bold" w:eastAsia="Theinhardt Bold"/>
          <w:b/>
          <w:bCs/>
          <w:color w:val="231F20"/>
          <w:spacing w:val="4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brüstungen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generiert rund 28’300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240" w:lineRule="auto" w:before="3"/>
        <w:rPr>
          <w:rFonts w:ascii="Theinhardt Bold" w:hAnsi="Theinhardt Bold" w:cs="Theinhardt Bold" w:eastAsia="Theinhardt Bold"/>
          <w:b/>
          <w:bCs/>
          <w:sz w:val="17"/>
          <w:szCs w:val="17"/>
        </w:rPr>
      </w:pPr>
      <w:r>
        <w:rPr/>
        <w:br w:type="column"/>
      </w:r>
      <w:r>
        <w:rPr>
          <w:rFonts w:ascii="Theinhardt Bold"/>
          <w:b/>
          <w:sz w:val="17"/>
        </w:rPr>
      </w:r>
    </w:p>
    <w:p>
      <w:pPr>
        <w:numPr>
          <w:ilvl w:val="0"/>
          <w:numId w:val="1"/>
        </w:numPr>
        <w:tabs>
          <w:tab w:pos="334" w:val="left" w:leader="none"/>
        </w:tabs>
        <w:spacing w:line="160" w:lineRule="exact" w:before="0"/>
        <w:ind w:left="333" w:right="181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Die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Ost-Westfassaden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bergen ein zusätzliches</w:t>
      </w:r>
      <w:r>
        <w:rPr>
          <w:rFonts w:ascii="Theinhardt Bold" w:hAnsi="Theinhardt Bold" w:cs="Theinhardt Bold" w:eastAsia="Theinhardt Bold"/>
          <w:b/>
          <w:bCs/>
          <w:color w:val="231F20"/>
          <w:spacing w:val="27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Winterstrompotential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von rund 119’480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2968" w:space="604"/>
            <w:col w:w="3022" w:space="550"/>
            <w:col w:w="3566"/>
          </w:cols>
        </w:sectPr>
      </w:pPr>
    </w:p>
    <w:p>
      <w:pPr>
        <w:spacing w:line="240" w:lineRule="auto" w:before="8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2019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2019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35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3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596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59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23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86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50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13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77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440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 w:firstLine="226"/>
    </w:pPr>
    <w:rPr>
      <w:rFonts w:ascii="Theinhardt Regular Italic" w:hAnsi="Theinhardt Regular Italic" w:eastAsia="Theinhardt Regular Italic"/>
      <w:i/>
      <w:sz w:val="18"/>
      <w:szCs w:val="18"/>
    </w:rPr>
  </w:style>
  <w:style w:styleId="Heading1" w:type="paragraph">
    <w:name w:val="Heading 1"/>
    <w:basedOn w:val="Normal"/>
    <w:uiPriority w:val="1"/>
    <w:qFormat/>
    <w:pPr>
      <w:ind w:left="106"/>
      <w:outlineLvl w:val="1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giuseppe-fent@fent-solar.com" TargetMode="External"/><Relationship Id="rId7" Type="http://schemas.openxmlformats.org/officeDocument/2006/relationships/hyperlink" Target="mailto:f.bruehwiler@mbrsolar.ch" TargetMode="External"/><Relationship Id="rId8" Type="http://schemas.openxmlformats.org/officeDocument/2006/relationships/hyperlink" Target="mailto:info@steinlin.ch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2019-10-03T16:17:04Z</dcterms:created>
  <dcterms:modified xsi:type="dcterms:W3CDTF">2019-10-03T16:17:04Z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2019-10-03T00:00:00Z</vt:filetime>
  </property>
  <property fmtid="{D5CDD505-2E9C-101B-9397-08002B2CF9AE}" pid="3" name="LastSaved">
    <vt:filetime>2019-10-03T00:00:00Z</vt:filetime>
  </property>
</Properties>
</file>