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46" w:val="left" w:leader="none"/>
        </w:tabs>
        <w:spacing w:line="230" w:lineRule="exact" w:before="28"/>
        <w:ind w:left="10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559pt;margin-top:13.647326pt;width:.1pt;height:.1pt;mso-position-horizontal-relative:page;mso-position-vertical-relative:paragraph;z-index:-4936" coordorigin="571,273" coordsize="2,2">
            <v:shape style="position:absolute;left:571;top:273;width:2;height:2" coordorigin="571,273" coordsize="0,0" path="m571,273l571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3.647326pt;width:.1pt;height:.1pt;mso-position-horizontal-relative:page;mso-position-vertical-relative:paragraph;z-index:1120" coordorigin="3015,273" coordsize="2,2">
            <v:shape style="position:absolute;left:3015;top:273;width:2;height:2" coordorigin="3015,273" coordsize="0,0" path="m3015,273l3015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59pt;margin-top:25.147326pt;width:.1pt;height:.1pt;mso-position-horizontal-relative:page;mso-position-vertical-relative:paragraph;z-index:-4888" coordorigin="571,503" coordsize="2,2">
            <v:shape style="position:absolute;left:571;top:503;width:2;height:2" coordorigin="571,503" coordsize="0,0" path="m571,503l571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25.147326pt;width:.1pt;height:.1pt;mso-position-horizontal-relative:page;mso-position-vertical-relative:paragraph;z-index:1168" coordorigin="3015,503" coordsize="2,2">
            <v:shape style="position:absolute;left:3015;top:503;width:2;height:2" coordorigin="3015,503" coordsize="0,0" path="m3015,503l3015,50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Kategorie                </w:t>
      </w:r>
      <w:r>
        <w:rPr>
          <w:rFonts w:ascii="Theinhardt Heavy" w:hAnsi="Theinhardt Heavy"/>
          <w:b/>
          <w:color w:val="231F20"/>
          <w:spacing w:val="12"/>
          <w:sz w:val="18"/>
          <w:u w:val="dotted" w:color="231F20"/>
        </w:rPr>
        <w:t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B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z w:val="18"/>
        </w:rPr>
        <w:t> </w:t>
      </w:r>
      <w:r>
        <w:rPr>
          <w:rFonts w:ascii="Theinhardt Heavy" w:hAnsi="Theinhardt Heavy"/>
          <w:b/>
          <w:color w:val="231F20"/>
          <w:w w:val="95"/>
          <w:sz w:val="18"/>
          <w:u w:val="dotted" w:color="231F20"/>
        </w:rPr>
        <w:t>Gebäude: </w:t>
      </w:r>
      <w:r>
        <w:rPr>
          <w:rFonts w:ascii="Theinhardt Heavy" w:hAnsi="Theinhardt Heavy"/>
          <w:b/>
          <w:color w:val="231F20"/>
          <w:spacing w:val="3"/>
          <w:w w:val="95"/>
          <w:sz w:val="18"/>
          <w:u w:val="dotted" w:color="231F20"/>
        </w:rPr>
        <w:t> </w:t>
      </w:r>
      <w:r>
        <w:rPr>
          <w:rFonts w:ascii="Theinhardt Heavy" w:hAnsi="Theinhardt Heavy"/>
          <w:b/>
          <w:color w:val="231F20"/>
          <w:spacing w:val="-1"/>
          <w:sz w:val="18"/>
          <w:u w:val="dotted" w:color="231F20"/>
        </w:rPr>
        <w:t>Sanierungen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Schweizer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Solarpreis</w:t>
      </w:r>
      <w:r>
        <w:rPr>
          <w:rFonts w:ascii="Theinhardt Regular" w:hAnsi="Theinhardt Regular"/>
          <w:color w:val="231F20"/>
          <w:sz w:val="18"/>
        </w:rPr>
        <w:t> 2017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28"/>
        <w:ind w:left="106" w:right="108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Appartmenthaus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Dubois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Zürich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wurde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1970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erstellt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konsumierte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vor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Sanierung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351’000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Trotz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Vergrösserung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Energiebezugsfläche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um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gut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20%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oder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384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w w:val="104"/>
          <w:position w:val="6"/>
          <w:sz w:val="10"/>
          <w:szCs w:val="10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konnte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Gesamtenergiebedarf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durch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Sanierung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um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74%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91’000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reduziert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werden.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36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Dach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42’000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kWh.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vorzüglich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fassadenintegrierten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thermischen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Sonnenkollektoren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erzeugen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zusätzlich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24’200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Insgesamt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weist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Gebäude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damit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Eigenenergieversorgung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66’200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oder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73%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auf.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Besonders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ansprechend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perfekt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Fassade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integrierte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thermische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Solaranlage,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welche sich durch eine hell changierende Farbe auszeichnet.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6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5"/>
        <w:ind w:left="101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 w:hAnsi="Theinhardt Black"/>
          <w:b/>
          <w:color w:val="0067B1"/>
          <w:spacing w:val="4"/>
          <w:sz w:val="40"/>
        </w:rPr>
        <w:t>Solare</w:t>
      </w:r>
      <w:r>
        <w:rPr>
          <w:rFonts w:ascii="Theinhardt Black" w:hAnsi="Theinhardt Black"/>
          <w:b/>
          <w:color w:val="0067B1"/>
          <w:sz w:val="40"/>
        </w:rPr>
        <w:t> MFH-Sanierung Dubois, 8051 Zürich/ZH</w:t>
      </w:r>
      <w:r>
        <w:rPr>
          <w:rFonts w:ascii="Theinhardt Black" w:hAns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Heading1"/>
        <w:spacing w:line="230" w:lineRule="exact" w:before="52"/>
        <w:ind w:right="0"/>
        <w:jc w:val="both"/>
      </w:pPr>
      <w:r>
        <w:rPr>
          <w:color w:val="231F20"/>
        </w:rPr>
        <w:t>Das</w:t>
      </w:r>
      <w:r>
        <w:rPr>
          <w:color w:val="231F20"/>
          <w:spacing w:val="38"/>
        </w:rPr>
        <w:t> </w:t>
      </w:r>
      <w:r>
        <w:rPr>
          <w:color w:val="231F20"/>
        </w:rPr>
        <w:t>Mehrfamilienhaus</w:t>
      </w:r>
      <w:r>
        <w:rPr>
          <w:color w:val="231F20"/>
          <w:spacing w:val="39"/>
        </w:rPr>
        <w:t> </w:t>
      </w:r>
      <w:r>
        <w:rPr>
          <w:color w:val="231F20"/>
        </w:rPr>
        <w:t>(MFH)</w:t>
      </w:r>
      <w:r>
        <w:rPr>
          <w:color w:val="231F20"/>
          <w:spacing w:val="38"/>
        </w:rPr>
        <w:t> </w:t>
      </w:r>
      <w:r>
        <w:rPr>
          <w:color w:val="231F20"/>
        </w:rPr>
        <w:t>in</w:t>
      </w:r>
      <w:r>
        <w:rPr>
          <w:color w:val="231F20"/>
          <w:spacing w:val="39"/>
        </w:rPr>
        <w:t> </w:t>
      </w:r>
      <w:r>
        <w:rPr>
          <w:color w:val="231F20"/>
        </w:rPr>
        <w:t>Zürich-</w:t>
      </w:r>
      <w:r>
        <w:rPr>
          <w:color w:val="231F20"/>
        </w:rPr>
        <w:t> Schwamendingen</w:t>
      </w:r>
      <w:r>
        <w:rPr>
          <w:color w:val="231F20"/>
          <w:spacing w:val="2"/>
        </w:rPr>
        <w:t> </w:t>
      </w:r>
      <w:r>
        <w:rPr>
          <w:color w:val="231F20"/>
        </w:rPr>
        <w:t>mit</w:t>
      </w:r>
      <w:r>
        <w:rPr>
          <w:color w:val="231F20"/>
          <w:spacing w:val="2"/>
        </w:rPr>
        <w:t> </w:t>
      </w:r>
      <w:r>
        <w:rPr>
          <w:color w:val="231F20"/>
        </w:rPr>
        <w:t>50</w:t>
      </w:r>
      <w:r>
        <w:rPr>
          <w:color w:val="231F20"/>
          <w:spacing w:val="2"/>
        </w:rPr>
        <w:t> </w:t>
      </w:r>
      <w:r>
        <w:rPr>
          <w:color w:val="231F20"/>
        </w:rPr>
        <w:t>Wohnungen</w:t>
      </w:r>
      <w:r>
        <w:rPr>
          <w:color w:val="231F20"/>
          <w:spacing w:val="2"/>
        </w:rPr>
        <w:t> </w:t>
      </w:r>
      <w:r>
        <w:rPr>
          <w:color w:val="231F20"/>
        </w:rPr>
        <w:t>ist</w:t>
      </w:r>
      <w:r>
        <w:rPr>
          <w:color w:val="231F20"/>
        </w:rPr>
        <w:t> ein</w:t>
      </w:r>
      <w:r>
        <w:rPr>
          <w:color w:val="231F20"/>
          <w:spacing w:val="35"/>
        </w:rPr>
        <w:t> </w:t>
      </w:r>
      <w:r>
        <w:rPr>
          <w:color w:val="231F20"/>
        </w:rPr>
        <w:t>Umbauprojekt,</w:t>
      </w:r>
      <w:r>
        <w:rPr>
          <w:color w:val="231F20"/>
          <w:spacing w:val="36"/>
        </w:rPr>
        <w:t> </w:t>
      </w:r>
      <w:r>
        <w:rPr>
          <w:color w:val="231F20"/>
        </w:rPr>
        <w:t>das</w:t>
      </w:r>
      <w:r>
        <w:rPr>
          <w:color w:val="231F20"/>
          <w:spacing w:val="35"/>
        </w:rPr>
        <w:t> </w:t>
      </w:r>
      <w:r>
        <w:rPr>
          <w:color w:val="231F20"/>
        </w:rPr>
        <w:t>es</w:t>
      </w:r>
      <w:r>
        <w:rPr>
          <w:color w:val="231F20"/>
          <w:spacing w:val="36"/>
        </w:rPr>
        <w:t> </w:t>
      </w:r>
      <w:r>
        <w:rPr>
          <w:color w:val="231F20"/>
        </w:rPr>
        <w:t>in</w:t>
      </w:r>
      <w:r>
        <w:rPr>
          <w:color w:val="231F20"/>
          <w:spacing w:val="36"/>
        </w:rPr>
        <w:t> </w:t>
      </w:r>
      <w:r>
        <w:rPr>
          <w:color w:val="231F20"/>
        </w:rPr>
        <w:t>dieser</w:t>
      </w:r>
      <w:r>
        <w:rPr>
          <w:color w:val="231F20"/>
          <w:spacing w:val="35"/>
        </w:rPr>
        <w:t> </w:t>
      </w:r>
      <w:r>
        <w:rPr>
          <w:color w:val="231F20"/>
        </w:rPr>
        <w:t>Form</w:t>
      </w:r>
      <w:r>
        <w:rPr>
          <w:color w:val="231F20"/>
        </w:rPr>
        <w:t> noch</w:t>
      </w:r>
      <w:r>
        <w:rPr>
          <w:color w:val="231F20"/>
          <w:spacing w:val="-10"/>
        </w:rPr>
        <w:t> </w:t>
      </w:r>
      <w:r>
        <w:rPr>
          <w:color w:val="231F20"/>
        </w:rPr>
        <w:t>kaum</w:t>
      </w:r>
      <w:r>
        <w:rPr>
          <w:color w:val="231F20"/>
          <w:spacing w:val="-10"/>
        </w:rPr>
        <w:t> </w:t>
      </w:r>
      <w:r>
        <w:rPr>
          <w:color w:val="231F20"/>
        </w:rPr>
        <w:t>gab.</w:t>
      </w:r>
      <w:r>
        <w:rPr>
          <w:color w:val="231F20"/>
          <w:spacing w:val="-10"/>
        </w:rPr>
        <w:t> </w:t>
      </w:r>
      <w:r>
        <w:rPr>
          <w:color w:val="231F20"/>
        </w:rPr>
        <w:t>Die</w:t>
      </w:r>
      <w:r>
        <w:rPr>
          <w:color w:val="231F20"/>
          <w:spacing w:val="-10"/>
        </w:rPr>
        <w:t> </w:t>
      </w:r>
      <w:r>
        <w:rPr>
          <w:color w:val="231F20"/>
        </w:rPr>
        <w:t>einstige</w:t>
      </w:r>
      <w:r>
        <w:rPr>
          <w:color w:val="231F20"/>
          <w:spacing w:val="-10"/>
        </w:rPr>
        <w:t> </w:t>
      </w:r>
      <w:r>
        <w:rPr>
          <w:color w:val="231F20"/>
        </w:rPr>
        <w:t>Architektur</w:t>
      </w:r>
      <w:r>
        <w:rPr>
          <w:color w:val="231F20"/>
          <w:spacing w:val="-10"/>
        </w:rPr>
        <w:t> </w:t>
      </w:r>
      <w:r>
        <w:rPr>
          <w:color w:val="231F20"/>
        </w:rPr>
        <w:t>von</w:t>
      </w:r>
      <w:r>
        <w:rPr>
          <w:color w:val="231F20"/>
        </w:rPr>
        <w:t> 1970</w:t>
      </w:r>
      <w:r>
        <w:rPr>
          <w:color w:val="231F20"/>
          <w:spacing w:val="2"/>
        </w:rPr>
        <w:t> </w:t>
      </w:r>
      <w:r>
        <w:rPr>
          <w:color w:val="231F20"/>
        </w:rPr>
        <w:t>wurde</w:t>
      </w:r>
      <w:r>
        <w:rPr>
          <w:color w:val="231F20"/>
          <w:spacing w:val="2"/>
        </w:rPr>
        <w:t> </w:t>
      </w:r>
      <w:r>
        <w:rPr>
          <w:color w:val="231F20"/>
        </w:rPr>
        <w:t>vorbildlich</w:t>
      </w:r>
      <w:r>
        <w:rPr>
          <w:color w:val="231F20"/>
          <w:spacing w:val="2"/>
        </w:rPr>
        <w:t> </w:t>
      </w:r>
      <w:r>
        <w:rPr>
          <w:color w:val="231F20"/>
        </w:rPr>
        <w:t>und</w:t>
      </w:r>
      <w:r>
        <w:rPr>
          <w:color w:val="231F20"/>
          <w:spacing w:val="2"/>
        </w:rPr>
        <w:t> </w:t>
      </w:r>
      <w:r>
        <w:rPr>
          <w:color w:val="231F20"/>
        </w:rPr>
        <w:t>kostenbewusst</w:t>
      </w:r>
      <w:r>
        <w:rPr>
          <w:color w:val="231F20"/>
        </w:rPr>
        <w:t> ins Heute transformiert.</w:t>
      </w:r>
      <w:r>
        <w:rPr/>
      </w:r>
    </w:p>
    <w:p>
      <w:pPr>
        <w:spacing w:line="228" w:lineRule="auto" w:before="17"/>
        <w:ind w:left="106" w:right="0" w:firstLine="226"/>
        <w:jc w:val="right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Seit </w:t>
      </w:r>
      <w:r>
        <w:rPr>
          <w:rFonts w:ascii="Theinhardt Regular" w:hAnsi="Theinhardt Regular" w:cs="Theinhardt Regular" w:eastAsia="Theinhardt Regular"/>
          <w:color w:val="231F20"/>
          <w:spacing w:val="1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1971 </w:t>
      </w:r>
      <w:r>
        <w:rPr>
          <w:rFonts w:ascii="Theinhardt Regular" w:hAnsi="Theinhardt Regular" w:cs="Theinhardt Regular" w:eastAsia="Theinhardt Regular"/>
          <w:color w:val="231F20"/>
          <w:spacing w:val="1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wurden </w:t>
      </w:r>
      <w:r>
        <w:rPr>
          <w:rFonts w:ascii="Theinhardt Regular" w:hAnsi="Theinhardt Regular" w:cs="Theinhardt Regular" w:eastAsia="Theinhardt Regular"/>
          <w:color w:val="231F20"/>
          <w:spacing w:val="1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ca. </w:t>
      </w:r>
      <w:r>
        <w:rPr>
          <w:rFonts w:ascii="Theinhardt Regular" w:hAnsi="Theinhardt Regular" w:cs="Theinhardt Regular" w:eastAsia="Theinhardt Regular"/>
          <w:color w:val="231F20"/>
          <w:spacing w:val="1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1’500’000 </w:t>
      </w:r>
      <w:r>
        <w:rPr>
          <w:rFonts w:ascii="Theinhardt Regular" w:hAnsi="Theinhardt Regular" w:cs="Theinhardt Regular" w:eastAsia="Theinhardt Regular"/>
          <w:color w:val="231F20"/>
          <w:spacing w:val="1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Li-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ter</w:t>
      </w:r>
      <w:r>
        <w:rPr>
          <w:rFonts w:ascii="Theinhardt Regular" w:hAnsi="Theinhardt Regular" w:cs="Theinhardt Regular" w:eastAsia="Theinhardt Regular"/>
          <w:color w:val="231F20"/>
          <w:spacing w:val="4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Heizöl</w:t>
      </w:r>
      <w:r>
        <w:rPr>
          <w:rFonts w:ascii="Theinhardt Regular" w:hAnsi="Theinhardt Regular" w:cs="Theinhardt Regular" w:eastAsia="Theinhardt Regular"/>
          <w:color w:val="231F20"/>
          <w:spacing w:val="4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verbrannt</w:t>
      </w:r>
      <w:r>
        <w:rPr>
          <w:rFonts w:ascii="Theinhardt Regular" w:hAnsi="Theinhardt Regular" w:cs="Theinhardt Regular" w:eastAsia="Theinhardt Regular"/>
          <w:color w:val="231F20"/>
          <w:spacing w:val="4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231F20"/>
          <w:spacing w:val="4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ca.</w:t>
      </w:r>
      <w:r>
        <w:rPr>
          <w:rFonts w:ascii="Theinhardt Regular" w:hAnsi="Theinhardt Regular" w:cs="Theinhardt Regular" w:eastAsia="Theinhardt Regular"/>
          <w:color w:val="231F20"/>
          <w:spacing w:val="4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4.5</w:t>
      </w:r>
      <w:r>
        <w:rPr>
          <w:rFonts w:ascii="Theinhardt Regular" w:hAnsi="Theinhardt Regular" w:cs="Theinhardt Regular" w:eastAsia="Theinhardt Regular"/>
          <w:color w:val="231F20"/>
          <w:spacing w:val="4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Mio.</w:t>
      </w:r>
      <w:r>
        <w:rPr>
          <w:rFonts w:ascii="Theinhardt Regular" w:hAnsi="Theinhardt Regular" w:cs="Theinhardt Regular" w:eastAsia="Theinhardt Regular"/>
          <w:color w:val="231F20"/>
          <w:spacing w:val="4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kg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CO</w:t>
      </w:r>
      <w:r>
        <w:rPr>
          <w:rFonts w:ascii="Theinhardt Regular" w:hAnsi="Theinhardt Regular" w:cs="Theinhardt Regular" w:eastAsia="Theinhardt Regular"/>
          <w:color w:val="231F20"/>
          <w:position w:val="-5"/>
          <w:sz w:val="10"/>
          <w:szCs w:val="10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-Emissionen 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ausgestossen.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Trotz 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20%-Vergrösserung</w:t>
      </w:r>
      <w:r>
        <w:rPr>
          <w:rFonts w:ascii="Theinhardt Regular" w:hAnsi="Theinhardt Regular" w:cs="Theinhardt Regular" w:eastAsia="Theinhardt Regular"/>
          <w:color w:val="231F20"/>
          <w:spacing w:val="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Energiebezugsflä-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che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sank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Gesamtenergiebedarf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dank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der Sanierung um 74% auf 91’000 kWh/a. Auf</w:t>
      </w:r>
      <w:r>
        <w:rPr>
          <w:rFonts w:ascii="Theinhardt Regular" w:hAnsi="Theinhardt Regular" w:cs="Theinhardt Regular" w:eastAsia="Theinhardt Regular"/>
          <w:color w:val="231F20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einen</w:t>
      </w:r>
      <w:r>
        <w:rPr>
          <w:rFonts w:ascii="Theinhardt Regular" w:hAnsi="Theinhardt Regular" w:cs="Theinhardt Regular" w:eastAsia="Theinhardt Regular"/>
          <w:color w:val="231F20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Ersatzneubau</w:t>
      </w:r>
      <w:r>
        <w:rPr>
          <w:rFonts w:ascii="Theinhardt Regular" w:hAnsi="Theinhardt Regular" w:cs="Theinhardt Regular" w:eastAsia="Theinhardt Regular"/>
          <w:color w:val="231F20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wurde</w:t>
      </w:r>
      <w:r>
        <w:rPr>
          <w:rFonts w:ascii="Theinhardt Regular" w:hAnsi="Theinhardt Regular" w:cs="Theinhardt Regular" w:eastAsia="Theinhardt Regular"/>
          <w:color w:val="231F20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aufgrund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der </w:t>
      </w:r>
      <w:r>
        <w:rPr>
          <w:rFonts w:ascii="Theinhardt Regular" w:hAnsi="Theinhardt Regular" w:cs="Theinhardt Regular" w:eastAsia="Theinhardt Regular"/>
          <w:color w:val="231F20"/>
          <w:spacing w:val="3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höheren </w:t>
      </w:r>
      <w:r>
        <w:rPr>
          <w:rFonts w:ascii="Theinhardt Regular" w:hAnsi="Theinhardt Regular" w:cs="Theinhardt Regular" w:eastAsia="Theinhardt Regular"/>
          <w:color w:val="231F20"/>
          <w:spacing w:val="3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grauen </w:t>
      </w:r>
      <w:r>
        <w:rPr>
          <w:rFonts w:ascii="Theinhardt Regular" w:hAnsi="Theinhardt Regular" w:cs="Theinhardt Regular" w:eastAsia="Theinhardt Regular"/>
          <w:color w:val="231F20"/>
          <w:spacing w:val="3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Energie </w:t>
      </w:r>
      <w:r>
        <w:rPr>
          <w:rFonts w:ascii="Theinhardt Regular" w:hAnsi="Theinhardt Regular" w:cs="Theinhardt Regular" w:eastAsia="Theinhardt Regular"/>
          <w:color w:val="231F20"/>
          <w:spacing w:val="3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verzichtet.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spacing w:line="232" w:lineRule="auto" w:before="1"/>
        <w:ind w:left="10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z w:val="18"/>
        </w:rPr>
        <w:t>Durch</w:t>
      </w:r>
      <w:r>
        <w:rPr>
          <w:rFonts w:ascii="Theinhardt Regular" w:hAnsi="Theinhardt Regular"/>
          <w:color w:val="231F20"/>
          <w:spacing w:val="3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3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Aufstockung</w:t>
      </w:r>
      <w:r>
        <w:rPr>
          <w:rFonts w:ascii="Theinhardt Regular" w:hAnsi="Theinhardt Regular"/>
          <w:color w:val="231F20"/>
          <w:spacing w:val="3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gewinnt</w:t>
      </w:r>
      <w:r>
        <w:rPr>
          <w:rFonts w:ascii="Theinhardt Regular" w:hAnsi="Theinhardt Regular"/>
          <w:color w:val="231F20"/>
          <w:spacing w:val="3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das</w:t>
      </w:r>
      <w:r>
        <w:rPr>
          <w:rFonts w:ascii="Theinhardt Regular" w:hAnsi="Theinhardt Regular"/>
          <w:color w:val="231F20"/>
          <w:spacing w:val="3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MFH</w:t>
      </w:r>
      <w:r>
        <w:rPr>
          <w:rFonts w:ascii="Theinhardt Regular" w:hAnsi="Theinhardt Regular"/>
          <w:color w:val="231F20"/>
          <w:sz w:val="18"/>
        </w:rPr>
        <w:t> 384 m</w:t>
      </w:r>
      <w:r>
        <w:rPr>
          <w:rFonts w:ascii="Theinhardt Regular" w:hAnsi="Theinhardt Regular"/>
          <w:color w:val="231F20"/>
          <w:position w:val="6"/>
          <w:sz w:val="10"/>
        </w:rPr>
        <w:t>2</w:t>
      </w:r>
      <w:r>
        <w:rPr>
          <w:rFonts w:ascii="Theinhardt Regular" w:hAnsi="Theinhardt Regular"/>
          <w:color w:val="231F20"/>
          <w:spacing w:val="23"/>
          <w:position w:val="6"/>
          <w:sz w:val="10"/>
        </w:rPr>
        <w:t> </w:t>
      </w:r>
      <w:r>
        <w:rPr>
          <w:rFonts w:ascii="Theinhardt Regular" w:hAnsi="Theinhardt Regular"/>
          <w:color w:val="231F20"/>
          <w:sz w:val="18"/>
        </w:rPr>
        <w:t>zusätzlichen Wohnraum,</w:t>
      </w:r>
      <w:r>
        <w:rPr>
          <w:rFonts w:ascii="Theinhardt Regular" w:hAnsi="Theinhardt Regular"/>
          <w:color w:val="231F20"/>
          <w:spacing w:val="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verbessert</w:t>
      </w:r>
      <w:r>
        <w:rPr>
          <w:rFonts w:ascii="Theinhardt Regular" w:hAnsi="Theinhardt Regular"/>
          <w:color w:val="231F20"/>
          <w:sz w:val="18"/>
        </w:rPr>
        <w:t> den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Wohnungsmix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wirkt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sich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dadurch</w:t>
      </w:r>
      <w:r>
        <w:rPr>
          <w:rFonts w:ascii="Theinhardt Regular" w:hAnsi="Theinhardt Regular"/>
          <w:color w:val="231F20"/>
          <w:sz w:val="18"/>
        </w:rPr>
        <w:t> positiv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auf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Verdichtung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Stadt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aus.</w:t>
      </w:r>
      <w:r>
        <w:rPr>
          <w:rFonts w:ascii="Theinhardt Regular" w:hAnsi="Theinhardt Regular"/>
          <w:color w:val="231F20"/>
          <w:sz w:val="18"/>
        </w:rPr>
        <w:t> Dank</w:t>
      </w:r>
      <w:r>
        <w:rPr>
          <w:rFonts w:ascii="Theinhardt Regular" w:hAnsi="Theinhardt Regular"/>
          <w:color w:val="231F20"/>
          <w:spacing w:val="3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Erhalt</w:t>
      </w:r>
      <w:r>
        <w:rPr>
          <w:rFonts w:ascii="Theinhardt Regular" w:hAnsi="Theinhardt Regular"/>
          <w:color w:val="231F20"/>
          <w:spacing w:val="3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3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kleinen</w:t>
      </w:r>
      <w:r>
        <w:rPr>
          <w:rFonts w:ascii="Theinhardt Regular" w:hAnsi="Theinhardt Regular"/>
          <w:color w:val="231F20"/>
          <w:spacing w:val="3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Wohnungen</w:t>
      </w:r>
      <w:r>
        <w:rPr>
          <w:rFonts w:ascii="Theinhardt Regular" w:hAnsi="Theinhardt Regular"/>
          <w:color w:val="231F20"/>
          <w:spacing w:val="3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wird</w:t>
      </w:r>
      <w:r>
        <w:rPr>
          <w:rFonts w:ascii="Theinhardt Regular" w:hAnsi="Theinhardt Regular"/>
          <w:color w:val="231F20"/>
          <w:sz w:val="18"/>
        </w:rPr>
        <w:t> der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Flächenverbrauch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bei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etwa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35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m</w:t>
      </w:r>
      <w:r>
        <w:rPr>
          <w:rFonts w:ascii="Theinhardt Regular" w:hAnsi="Theinhardt Regular"/>
          <w:color w:val="231F20"/>
          <w:spacing w:val="-1"/>
          <w:position w:val="6"/>
          <w:sz w:val="10"/>
        </w:rPr>
        <w:t>2</w:t>
      </w:r>
      <w:r>
        <w:rPr>
          <w:rFonts w:ascii="Theinhardt Regular" w:hAnsi="Theinhardt Regular"/>
          <w:color w:val="231F20"/>
          <w:spacing w:val="17"/>
          <w:position w:val="6"/>
          <w:sz w:val="10"/>
        </w:rPr>
        <w:t> </w:t>
      </w:r>
      <w:r>
        <w:rPr>
          <w:rFonts w:ascii="Theinhardt Regular" w:hAnsi="Theinhardt Regular"/>
          <w:color w:val="231F20"/>
          <w:sz w:val="18"/>
        </w:rPr>
        <w:t>pro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Person</w:t>
      </w:r>
      <w:r>
        <w:rPr>
          <w:rFonts w:ascii="Theinhardt Regular" w:hAnsi="Theinhardt Regular"/>
          <w:color w:val="231F20"/>
          <w:spacing w:val="3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liegen.</w:t>
      </w:r>
      <w:r>
        <w:rPr>
          <w:rFonts w:ascii="Theinhardt Regular" w:hAnsi="Theinhardt Regular"/>
          <w:color w:val="231F20"/>
          <w:spacing w:val="3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Eine</w:t>
      </w:r>
      <w:r>
        <w:rPr>
          <w:rFonts w:ascii="Theinhardt Regular" w:hAnsi="Theinhardt Regular"/>
          <w:color w:val="231F20"/>
          <w:spacing w:val="3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gute</w:t>
      </w:r>
      <w:r>
        <w:rPr>
          <w:rFonts w:ascii="Theinhardt Regular" w:hAnsi="Theinhardt Regular"/>
          <w:color w:val="231F20"/>
          <w:spacing w:val="3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Ausgangslage</w:t>
      </w:r>
      <w:r>
        <w:rPr>
          <w:rFonts w:ascii="Theinhardt Regular" w:hAnsi="Theinhardt Regular"/>
          <w:color w:val="231F20"/>
          <w:sz w:val="18"/>
        </w:rPr>
        <w:t> für</w:t>
      </w:r>
      <w:r>
        <w:rPr>
          <w:rFonts w:ascii="Theinhardt Regular" w:hAnsi="Theinhardt Regular"/>
          <w:color w:val="231F20"/>
          <w:spacing w:val="4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den</w:t>
      </w:r>
      <w:r>
        <w:rPr>
          <w:rFonts w:ascii="Theinhardt Regular" w:hAnsi="Theinhardt Regular"/>
          <w:color w:val="231F20"/>
          <w:spacing w:val="4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niedrigeren</w:t>
      </w:r>
      <w:r>
        <w:rPr>
          <w:rFonts w:ascii="Theinhardt Regular" w:hAnsi="Theinhardt Regular"/>
          <w:color w:val="231F20"/>
          <w:spacing w:val="4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Gesamtenergiebedarf</w:t>
      </w:r>
      <w:r>
        <w:rPr>
          <w:rFonts w:ascii="Theinhardt Regular" w:hAnsi="Theinhardt Regular"/>
          <w:color w:val="231F20"/>
          <w:sz w:val="18"/>
        </w:rPr>
        <w:t> bilden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grosse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geschlossene,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gut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besonnte</w:t>
      </w:r>
      <w:r>
        <w:rPr>
          <w:rFonts w:ascii="Theinhardt Regular" w:hAnsi="Theinhardt Regular"/>
          <w:color w:val="231F20"/>
          <w:sz w:val="18"/>
        </w:rPr>
        <w:t> Fassadenflächen</w:t>
      </w:r>
      <w:r>
        <w:rPr>
          <w:rFonts w:ascii="Theinhardt Regular" w:hAnsi="Theinhardt Regular"/>
          <w:color w:val="231F20"/>
          <w:spacing w:val="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ein</w:t>
      </w:r>
      <w:r>
        <w:rPr>
          <w:rFonts w:ascii="Theinhardt Regular" w:hAnsi="Theinhardt Regular"/>
          <w:color w:val="231F20"/>
          <w:spacing w:val="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nicht</w:t>
      </w:r>
      <w:r>
        <w:rPr>
          <w:rFonts w:ascii="Theinhardt Regular" w:hAnsi="Theinhardt Regular"/>
          <w:color w:val="231F20"/>
          <w:spacing w:val="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mehr</w:t>
      </w:r>
      <w:r>
        <w:rPr>
          <w:rFonts w:ascii="Theinhardt Regular" w:hAnsi="Theinhardt Regular"/>
          <w:color w:val="231F20"/>
          <w:spacing w:val="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benö-</w:t>
      </w:r>
      <w:r>
        <w:rPr>
          <w:rFonts w:ascii="Theinhardt Regular" w:hAnsi="Theinhardt Regular"/>
          <w:color w:val="231F20"/>
          <w:sz w:val="18"/>
        </w:rPr>
        <w:t> tigter </w:t>
      </w:r>
      <w:r>
        <w:rPr>
          <w:rFonts w:ascii="Theinhardt Regular" w:hAnsi="Theinhardt Regular"/>
          <w:color w:val="231F20"/>
          <w:spacing w:val="1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Entlüftungsschacht </w:t>
      </w:r>
      <w:r>
        <w:rPr>
          <w:rFonts w:ascii="Theinhardt Regular" w:hAnsi="Theinhardt Regular"/>
          <w:color w:val="231F20"/>
          <w:spacing w:val="1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 </w:t>
      </w:r>
      <w:r>
        <w:rPr>
          <w:rFonts w:ascii="Theinhardt Regular" w:hAnsi="Theinhardt Regular"/>
          <w:color w:val="231F20"/>
          <w:spacing w:val="1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Parkgarage</w:t>
      </w:r>
      <w:r>
        <w:rPr>
          <w:rFonts w:ascii="Theinhardt Regular" w:hAnsi="Theinhardt Regular"/>
          <w:sz w:val="18"/>
        </w:rPr>
      </w:r>
    </w:p>
    <w:p>
      <w:pPr>
        <w:pStyle w:val="BodyText"/>
        <w:spacing w:line="230" w:lineRule="exact" w:before="51"/>
        <w:ind w:left="107" w:right="0" w:firstLine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Zurich-Schwamendingen</w:t>
      </w:r>
      <w:r>
        <w:rPr>
          <w:color w:val="231F20"/>
          <w:spacing w:val="5"/>
        </w:rPr>
        <w:t> </w:t>
      </w:r>
      <w:r>
        <w:rPr>
          <w:color w:val="231F20"/>
        </w:rPr>
        <w:t>(ZH),</w:t>
      </w:r>
      <w:r>
        <w:rPr>
          <w:color w:val="231F20"/>
          <w:spacing w:val="5"/>
        </w:rPr>
        <w:t> </w:t>
      </w:r>
      <w:r>
        <w:rPr>
          <w:color w:val="231F20"/>
        </w:rPr>
        <w:t>l’immeuble</w:t>
      </w:r>
      <w:r>
        <w:rPr>
          <w:color w:val="231F20"/>
        </w:rPr>
        <w:t> de</w:t>
      </w:r>
      <w:r>
        <w:rPr>
          <w:color w:val="231F20"/>
          <w:spacing w:val="5"/>
        </w:rPr>
        <w:t> </w:t>
      </w:r>
      <w:r>
        <w:rPr>
          <w:color w:val="231F20"/>
        </w:rPr>
        <w:t>cinquante</w:t>
      </w:r>
      <w:r>
        <w:rPr>
          <w:color w:val="231F20"/>
          <w:spacing w:val="5"/>
        </w:rPr>
        <w:t> </w:t>
      </w:r>
      <w:r>
        <w:rPr>
          <w:color w:val="231F20"/>
        </w:rPr>
        <w:t>appartements</w:t>
      </w:r>
      <w:r>
        <w:rPr>
          <w:color w:val="231F20"/>
          <w:spacing w:val="5"/>
        </w:rPr>
        <w:t> </w:t>
      </w:r>
      <w:r>
        <w:rPr>
          <w:color w:val="231F20"/>
        </w:rPr>
        <w:t>est </w:t>
      </w:r>
      <w:r>
        <w:rPr>
          <w:color w:val="231F20"/>
          <w:spacing w:val="5"/>
        </w:rPr>
        <w:t> </w:t>
      </w:r>
      <w:r>
        <w:rPr>
          <w:color w:val="231F20"/>
        </w:rPr>
        <w:t>un </w:t>
      </w:r>
      <w:r>
        <w:rPr>
          <w:color w:val="231F20"/>
          <w:spacing w:val="5"/>
        </w:rPr>
        <w:t> </w:t>
      </w:r>
      <w:r>
        <w:rPr>
          <w:color w:val="231F20"/>
        </w:rPr>
        <w:t>projet</w:t>
      </w:r>
      <w:r>
        <w:rPr>
          <w:color w:val="231F20"/>
        </w:rPr>
        <w:t> de</w:t>
      </w:r>
      <w:r>
        <w:rPr>
          <w:color w:val="231F20"/>
          <w:spacing w:val="22"/>
        </w:rPr>
        <w:t> </w:t>
      </w:r>
      <w:r>
        <w:rPr>
          <w:color w:val="231F20"/>
        </w:rPr>
        <w:t>transformation</w:t>
      </w:r>
      <w:r>
        <w:rPr>
          <w:color w:val="231F20"/>
          <w:spacing w:val="22"/>
        </w:rPr>
        <w:t> </w:t>
      </w:r>
      <w:r>
        <w:rPr>
          <w:color w:val="231F20"/>
        </w:rPr>
        <w:t>unique</w:t>
      </w:r>
      <w:r>
        <w:rPr>
          <w:color w:val="231F20"/>
          <w:spacing w:val="22"/>
        </w:rPr>
        <w:t> </w:t>
      </w:r>
      <w:r>
        <w:rPr>
          <w:color w:val="231F20"/>
        </w:rPr>
        <w:t>en</w:t>
      </w:r>
      <w:r>
        <w:rPr>
          <w:color w:val="231F20"/>
          <w:spacing w:val="22"/>
        </w:rPr>
        <w:t> </w:t>
      </w:r>
      <w:r>
        <w:rPr>
          <w:color w:val="231F20"/>
        </w:rPr>
        <w:t>son</w:t>
      </w:r>
      <w:r>
        <w:rPr>
          <w:color w:val="231F20"/>
          <w:spacing w:val="22"/>
        </w:rPr>
        <w:t> </w:t>
      </w:r>
      <w:r>
        <w:rPr>
          <w:color w:val="231F20"/>
        </w:rPr>
        <w:t>genre.</w:t>
      </w:r>
      <w:r>
        <w:rPr>
          <w:color w:val="231F20"/>
        </w:rPr>
        <w:t> L’architecture</w:t>
      </w:r>
      <w:r>
        <w:rPr>
          <w:color w:val="231F20"/>
          <w:spacing w:val="23"/>
        </w:rPr>
        <w:t> </w:t>
      </w:r>
      <w:r>
        <w:rPr>
          <w:color w:val="231F20"/>
        </w:rPr>
        <w:t>datant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1970</w:t>
      </w:r>
      <w:r>
        <w:rPr>
          <w:color w:val="231F20"/>
          <w:spacing w:val="23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</w:rPr>
        <w:t>été</w:t>
      </w:r>
      <w:r>
        <w:rPr>
          <w:color w:val="231F20"/>
          <w:spacing w:val="23"/>
        </w:rPr>
        <w:t> </w:t>
      </w:r>
      <w:r>
        <w:rPr>
          <w:color w:val="231F20"/>
        </w:rPr>
        <w:t>revisi-</w:t>
      </w:r>
      <w:r>
        <w:rPr>
          <w:color w:val="231F20"/>
        </w:rPr>
        <w:t> tée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façon</w:t>
      </w:r>
      <w:r>
        <w:rPr>
          <w:color w:val="231F20"/>
          <w:spacing w:val="11"/>
        </w:rPr>
        <w:t> </w:t>
      </w:r>
      <w:r>
        <w:rPr>
          <w:color w:val="231F20"/>
        </w:rPr>
        <w:t>exemplaire,</w:t>
      </w:r>
      <w:r>
        <w:rPr>
          <w:color w:val="231F20"/>
          <w:spacing w:val="11"/>
        </w:rPr>
        <w:t> </w:t>
      </w:r>
      <w:r>
        <w:rPr>
          <w:color w:val="231F20"/>
        </w:rPr>
        <w:t>mais</w:t>
      </w:r>
      <w:r>
        <w:rPr>
          <w:color w:val="231F20"/>
          <w:spacing w:val="11"/>
        </w:rPr>
        <w:t> </w:t>
      </w:r>
      <w:r>
        <w:rPr>
          <w:color w:val="231F20"/>
        </w:rPr>
        <w:t>aussi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écono-</w:t>
      </w:r>
      <w:r>
        <w:rPr>
          <w:color w:val="231F20"/>
          <w:spacing w:val="25"/>
        </w:rPr>
        <w:t> </w:t>
      </w:r>
      <w:r>
        <w:rPr>
          <w:color w:val="231F20"/>
        </w:rPr>
        <w:t>mique.</w:t>
      </w:r>
      <w:r>
        <w:rPr>
          <w:i w:val="0"/>
        </w:rPr>
      </w:r>
    </w:p>
    <w:p>
      <w:pPr>
        <w:pStyle w:val="BodyText"/>
        <w:spacing w:line="230" w:lineRule="exact"/>
        <w:ind w:right="0"/>
        <w:jc w:val="both"/>
        <w:rPr>
          <w:i w:val="0"/>
        </w:rPr>
      </w:pPr>
      <w:r>
        <w:rPr>
          <w:color w:val="231F20"/>
        </w:rPr>
        <w:t>Depuis</w:t>
      </w:r>
      <w:r>
        <w:rPr>
          <w:color w:val="231F20"/>
          <w:spacing w:val="39"/>
        </w:rPr>
        <w:t> </w:t>
      </w:r>
      <w:r>
        <w:rPr>
          <w:color w:val="231F20"/>
        </w:rPr>
        <w:t>1971,</w:t>
      </w:r>
      <w:r>
        <w:rPr>
          <w:color w:val="231F20"/>
          <w:spacing w:val="40"/>
        </w:rPr>
        <w:t> </w:t>
      </w:r>
      <w:r>
        <w:rPr>
          <w:color w:val="231F20"/>
        </w:rPr>
        <w:t>quelque</w:t>
      </w:r>
      <w:r>
        <w:rPr>
          <w:color w:val="231F20"/>
          <w:spacing w:val="39"/>
        </w:rPr>
        <w:t> </w:t>
      </w:r>
      <w:r>
        <w:rPr>
          <w:color w:val="231F20"/>
        </w:rPr>
        <w:t>1’500’000</w:t>
      </w:r>
      <w:r>
        <w:rPr>
          <w:color w:val="231F20"/>
          <w:spacing w:val="40"/>
        </w:rPr>
        <w:t> </w:t>
      </w:r>
      <w:r>
        <w:rPr>
          <w:color w:val="231F20"/>
        </w:rPr>
        <w:t>l</w:t>
      </w:r>
      <w:r>
        <w:rPr>
          <w:color w:val="231F20"/>
          <w:spacing w:val="40"/>
        </w:rPr>
        <w:t> </w:t>
      </w:r>
      <w:r>
        <w:rPr>
          <w:color w:val="231F20"/>
        </w:rPr>
        <w:t>de</w:t>
      </w:r>
      <w:r>
        <w:rPr>
          <w:color w:val="231F20"/>
        </w:rPr>
        <w:t> mazout</w:t>
      </w:r>
      <w:r>
        <w:rPr>
          <w:color w:val="231F20"/>
          <w:spacing w:val="24"/>
        </w:rPr>
        <w:t> </w:t>
      </w:r>
      <w:r>
        <w:rPr>
          <w:color w:val="231F20"/>
        </w:rPr>
        <w:t>ont</w:t>
      </w:r>
      <w:r>
        <w:rPr>
          <w:color w:val="231F20"/>
          <w:spacing w:val="25"/>
        </w:rPr>
        <w:t> </w:t>
      </w:r>
      <w:r>
        <w:rPr>
          <w:color w:val="231F20"/>
        </w:rPr>
        <w:t>été</w:t>
      </w:r>
      <w:r>
        <w:rPr>
          <w:color w:val="231F20"/>
          <w:spacing w:val="24"/>
        </w:rPr>
        <w:t> </w:t>
      </w:r>
      <w:r>
        <w:rPr>
          <w:color w:val="231F20"/>
        </w:rPr>
        <w:t>brûlés</w:t>
      </w:r>
      <w:r>
        <w:rPr>
          <w:color w:val="231F20"/>
          <w:spacing w:val="25"/>
        </w:rPr>
        <w:t> </w:t>
      </w:r>
      <w:r>
        <w:rPr>
          <w:color w:val="231F20"/>
        </w:rPr>
        <w:t>et</w:t>
      </w:r>
      <w:r>
        <w:rPr>
          <w:color w:val="231F20"/>
          <w:spacing w:val="25"/>
        </w:rPr>
        <w:t> </w:t>
      </w:r>
      <w:r>
        <w:rPr>
          <w:color w:val="231F20"/>
        </w:rPr>
        <w:t>près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4,5</w:t>
      </w:r>
      <w:r>
        <w:rPr>
          <w:color w:val="231F20"/>
          <w:spacing w:val="24"/>
        </w:rPr>
        <w:t> </w:t>
      </w:r>
      <w:r>
        <w:rPr>
          <w:color w:val="231F20"/>
        </w:rPr>
        <w:t>mio.</w:t>
      </w:r>
      <w:r>
        <w:rPr>
          <w:color w:val="231F20"/>
        </w:rPr>
        <w:t> de</w:t>
      </w:r>
      <w:r>
        <w:rPr>
          <w:color w:val="231F20"/>
          <w:spacing w:val="14"/>
        </w:rPr>
        <w:t> </w:t>
      </w:r>
      <w:r>
        <w:rPr>
          <w:color w:val="231F20"/>
        </w:rPr>
        <w:t>kg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10"/>
          <w:position w:val="-5"/>
          <w:sz w:val="10"/>
          <w:szCs w:val="10"/>
        </w:rPr>
        <w:t> </w:t>
      </w:r>
      <w:r>
        <w:rPr>
          <w:color w:val="231F20"/>
        </w:rPr>
        <w:t>dégagés</w:t>
      </w:r>
      <w:r>
        <w:rPr>
          <w:color w:val="231F20"/>
          <w:spacing w:val="14"/>
        </w:rPr>
        <w:t> </w:t>
      </w:r>
      <w:r>
        <w:rPr>
          <w:color w:val="231F20"/>
        </w:rPr>
        <w:t>dans</w:t>
      </w:r>
      <w:r>
        <w:rPr>
          <w:color w:val="231F20"/>
          <w:spacing w:val="14"/>
        </w:rPr>
        <w:t> </w:t>
      </w:r>
      <w:r>
        <w:rPr>
          <w:color w:val="231F20"/>
        </w:rPr>
        <w:t>l’air.</w:t>
      </w:r>
      <w:r>
        <w:rPr>
          <w:color w:val="231F20"/>
          <w:spacing w:val="15"/>
        </w:rPr>
        <w:t> </w:t>
      </w:r>
      <w:r>
        <w:rPr>
          <w:color w:val="231F20"/>
        </w:rPr>
        <w:t>Après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ré-</w:t>
      </w:r>
      <w:r>
        <w:rPr>
          <w:color w:val="231F20"/>
          <w:spacing w:val="24"/>
        </w:rPr>
        <w:t> </w:t>
      </w:r>
      <w:r>
        <w:rPr>
          <w:color w:val="231F20"/>
        </w:rPr>
        <w:t>novation,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consommation</w:t>
      </w:r>
      <w:r>
        <w:rPr>
          <w:color w:val="231F20"/>
          <w:spacing w:val="-5"/>
        </w:rPr>
        <w:t> </w:t>
      </w:r>
      <w:r>
        <w:rPr>
          <w:color w:val="231F20"/>
        </w:rPr>
        <w:t>n’est</w:t>
      </w:r>
      <w:r>
        <w:rPr>
          <w:color w:val="231F20"/>
          <w:spacing w:val="-5"/>
        </w:rPr>
        <w:t> </w:t>
      </w:r>
      <w:r>
        <w:rPr>
          <w:color w:val="231F20"/>
        </w:rPr>
        <w:t>plus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</w:rPr>
        <w:t> 91’000</w:t>
      </w:r>
      <w:r>
        <w:rPr>
          <w:color w:val="231F20"/>
          <w:spacing w:val="-7"/>
        </w:rPr>
        <w:t> </w:t>
      </w:r>
      <w:r>
        <w:rPr>
          <w:color w:val="231F20"/>
        </w:rPr>
        <w:t>kWh/a</w:t>
      </w:r>
      <w:r>
        <w:rPr>
          <w:color w:val="231F20"/>
          <w:spacing w:val="-7"/>
        </w:rPr>
        <w:t> </w:t>
      </w:r>
      <w:r>
        <w:rPr>
          <w:color w:val="231F20"/>
        </w:rPr>
        <w:t>(-74%),</w:t>
      </w:r>
      <w:r>
        <w:rPr>
          <w:color w:val="231F20"/>
          <w:spacing w:val="-7"/>
        </w:rPr>
        <w:t> </w:t>
      </w:r>
      <w:r>
        <w:rPr>
          <w:color w:val="231F20"/>
        </w:rPr>
        <w:t>cela</w:t>
      </w:r>
      <w:r>
        <w:rPr>
          <w:color w:val="231F20"/>
          <w:spacing w:val="-7"/>
        </w:rPr>
        <w:t> </w:t>
      </w:r>
      <w:r>
        <w:rPr>
          <w:color w:val="231F20"/>
        </w:rPr>
        <w:t>alors</w:t>
      </w:r>
      <w:r>
        <w:rPr>
          <w:color w:val="231F20"/>
          <w:spacing w:val="-7"/>
        </w:rPr>
        <w:t> </w:t>
      </w:r>
      <w:r>
        <w:rPr>
          <w:color w:val="231F20"/>
        </w:rPr>
        <w:t>même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</w:rPr>
        <w:t> la</w:t>
      </w:r>
      <w:r>
        <w:rPr>
          <w:color w:val="231F20"/>
          <w:spacing w:val="20"/>
        </w:rPr>
        <w:t> </w:t>
      </w:r>
      <w:r>
        <w:rPr>
          <w:color w:val="231F20"/>
        </w:rPr>
        <w:t>surface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référence</w:t>
      </w:r>
      <w:r>
        <w:rPr>
          <w:color w:val="231F20"/>
          <w:spacing w:val="20"/>
        </w:rPr>
        <w:t> </w:t>
      </w:r>
      <w:r>
        <w:rPr>
          <w:color w:val="231F20"/>
        </w:rPr>
        <w:t>énergétique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aug-</w:t>
      </w:r>
      <w:r>
        <w:rPr>
          <w:color w:val="231F20"/>
        </w:rPr>
        <w:t> menté de 20%.</w:t>
      </w:r>
      <w:r>
        <w:rPr>
          <w:i w:val="0"/>
        </w:rPr>
      </w:r>
    </w:p>
    <w:p>
      <w:pPr>
        <w:pStyle w:val="BodyText"/>
        <w:spacing w:line="230" w:lineRule="exact"/>
        <w:ind w:right="0"/>
        <w:jc w:val="both"/>
        <w:rPr>
          <w:i w:val="0"/>
        </w:rPr>
      </w:pPr>
      <w:r>
        <w:rPr>
          <w:color w:val="231F20"/>
        </w:rPr>
        <w:t>Pour</w:t>
      </w:r>
      <w:r>
        <w:rPr>
          <w:color w:val="231F20"/>
          <w:spacing w:val="1"/>
        </w:rPr>
        <w:t> </w:t>
      </w:r>
      <w:r>
        <w:rPr>
          <w:color w:val="231F20"/>
        </w:rPr>
        <w:t>éviter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gros</w:t>
      </w:r>
      <w:r>
        <w:rPr>
          <w:color w:val="231F20"/>
          <w:spacing w:val="1"/>
        </w:rPr>
        <w:t> </w:t>
      </w:r>
      <w:r>
        <w:rPr>
          <w:color w:val="231F20"/>
        </w:rPr>
        <w:t>volume</w:t>
      </w:r>
      <w:r>
        <w:rPr>
          <w:color w:val="231F20"/>
          <w:spacing w:val="1"/>
        </w:rPr>
        <w:t> </w:t>
      </w:r>
      <w:r>
        <w:rPr>
          <w:color w:val="231F20"/>
        </w:rPr>
        <w:t>d’énergie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gri-</w:t>
      </w:r>
      <w:r>
        <w:rPr>
          <w:color w:val="231F20"/>
          <w:spacing w:val="23"/>
        </w:rPr>
        <w:t> </w:t>
      </w:r>
      <w:r>
        <w:rPr>
          <w:color w:val="231F20"/>
        </w:rPr>
        <w:t>se,</w:t>
      </w:r>
      <w:r>
        <w:rPr>
          <w:color w:val="231F20"/>
          <w:spacing w:val="28"/>
        </w:rPr>
        <w:t> </w:t>
      </w:r>
      <w:r>
        <w:rPr>
          <w:color w:val="231F20"/>
        </w:rPr>
        <w:t>il</w:t>
      </w:r>
      <w:r>
        <w:rPr>
          <w:color w:val="231F20"/>
          <w:spacing w:val="29"/>
        </w:rPr>
        <w:t> </w:t>
      </w:r>
      <w:r>
        <w:rPr>
          <w:color w:val="231F20"/>
        </w:rPr>
        <w:t>a</w:t>
      </w:r>
      <w:r>
        <w:rPr>
          <w:color w:val="231F20"/>
          <w:spacing w:val="28"/>
        </w:rPr>
        <w:t> </w:t>
      </w:r>
      <w:r>
        <w:rPr>
          <w:color w:val="231F20"/>
        </w:rPr>
        <w:t>été</w:t>
      </w:r>
      <w:r>
        <w:rPr>
          <w:color w:val="231F20"/>
          <w:spacing w:val="29"/>
        </w:rPr>
        <w:t> </w:t>
      </w:r>
      <w:r>
        <w:rPr>
          <w:color w:val="231F20"/>
        </w:rPr>
        <w:t>décidé</w:t>
      </w:r>
      <w:r>
        <w:rPr>
          <w:color w:val="231F20"/>
          <w:spacing w:val="29"/>
        </w:rPr>
        <w:t> </w:t>
      </w:r>
      <w:r>
        <w:rPr>
          <w:color w:val="231F20"/>
        </w:rPr>
        <w:t>d’utiliser</w:t>
      </w:r>
      <w:r>
        <w:rPr>
          <w:color w:val="231F20"/>
          <w:spacing w:val="28"/>
        </w:rPr>
        <w:t> </w:t>
      </w:r>
      <w:r>
        <w:rPr>
          <w:color w:val="231F20"/>
        </w:rPr>
        <w:t>l’infrastructure</w:t>
      </w:r>
      <w:r>
        <w:rPr>
          <w:color w:val="231F20"/>
          <w:spacing w:val="21"/>
        </w:rPr>
        <w:t> </w:t>
      </w:r>
      <w:r>
        <w:rPr>
          <w:color w:val="231F20"/>
        </w:rPr>
        <w:t>existante</w:t>
      </w:r>
      <w:r>
        <w:rPr>
          <w:color w:val="231F20"/>
          <w:spacing w:val="30"/>
        </w:rPr>
        <w:t> </w:t>
      </w:r>
      <w:r>
        <w:rPr>
          <w:color w:val="231F20"/>
        </w:rPr>
        <w:t>du</w:t>
      </w:r>
      <w:r>
        <w:rPr>
          <w:color w:val="231F20"/>
          <w:spacing w:val="31"/>
        </w:rPr>
        <w:t> </w:t>
      </w:r>
      <w:r>
        <w:rPr>
          <w:color w:val="231F20"/>
        </w:rPr>
        <w:t>bâtiment</w:t>
      </w:r>
      <w:r>
        <w:rPr>
          <w:color w:val="231F20"/>
          <w:spacing w:val="30"/>
        </w:rPr>
        <w:t> </w:t>
      </w:r>
      <w:r>
        <w:rPr>
          <w:color w:val="231F20"/>
        </w:rPr>
        <w:t>plutôt</w:t>
      </w:r>
      <w:r>
        <w:rPr>
          <w:color w:val="231F20"/>
          <w:spacing w:val="31"/>
        </w:rPr>
        <w:t> </w:t>
      </w:r>
      <w:r>
        <w:rPr>
          <w:color w:val="231F20"/>
        </w:rPr>
        <w:t>que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30"/>
        </w:rPr>
        <w:t> </w:t>
      </w:r>
      <w:r>
        <w:rPr>
          <w:color w:val="231F20"/>
        </w:rPr>
        <w:t>le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re-</w:t>
      </w:r>
      <w:r>
        <w:rPr>
          <w:color w:val="231F20"/>
          <w:spacing w:val="22"/>
        </w:rPr>
        <w:t> </w:t>
      </w:r>
      <w:r>
        <w:rPr>
          <w:color w:val="231F20"/>
        </w:rPr>
        <w:t>construire</w:t>
      </w:r>
      <w:r>
        <w:rPr>
          <w:color w:val="231F20"/>
          <w:spacing w:val="21"/>
        </w:rPr>
        <w:t> </w:t>
      </w:r>
      <w:r>
        <w:rPr>
          <w:color w:val="231F20"/>
        </w:rPr>
        <w:t>à</w:t>
      </w:r>
      <w:r>
        <w:rPr>
          <w:color w:val="231F20"/>
          <w:spacing w:val="21"/>
        </w:rPr>
        <w:t> </w:t>
      </w:r>
      <w:r>
        <w:rPr>
          <w:color w:val="231F20"/>
        </w:rPr>
        <w:t>neuf.</w:t>
      </w:r>
      <w:r>
        <w:rPr>
          <w:color w:val="231F20"/>
          <w:spacing w:val="21"/>
        </w:rPr>
        <w:t> </w:t>
      </w:r>
      <w:r>
        <w:rPr>
          <w:color w:val="231F20"/>
        </w:rPr>
        <w:t>La</w:t>
      </w:r>
      <w:r>
        <w:rPr>
          <w:color w:val="231F20"/>
          <w:spacing w:val="21"/>
        </w:rPr>
        <w:t> </w:t>
      </w:r>
      <w:r>
        <w:rPr>
          <w:color w:val="231F20"/>
        </w:rPr>
        <w:t>surélévation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</w:rPr>
        <w:t> l’immeuble</w:t>
      </w:r>
      <w:r>
        <w:rPr>
          <w:color w:val="231F20"/>
          <w:spacing w:val="27"/>
        </w:rPr>
        <w:t> </w:t>
      </w:r>
      <w:r>
        <w:rPr>
          <w:color w:val="231F20"/>
        </w:rPr>
        <w:t>a</w:t>
      </w:r>
      <w:r>
        <w:rPr>
          <w:color w:val="231F20"/>
          <w:spacing w:val="26"/>
        </w:rPr>
        <w:t> </w:t>
      </w:r>
      <w:r>
        <w:rPr>
          <w:color w:val="231F20"/>
        </w:rPr>
        <w:t>fait</w:t>
      </w:r>
      <w:r>
        <w:rPr>
          <w:color w:val="231F20"/>
          <w:spacing w:val="27"/>
        </w:rPr>
        <w:t> </w:t>
      </w:r>
      <w:r>
        <w:rPr>
          <w:color w:val="231F20"/>
        </w:rPr>
        <w:t>gagner</w:t>
      </w:r>
      <w:r>
        <w:rPr>
          <w:color w:val="231F20"/>
          <w:spacing w:val="27"/>
        </w:rPr>
        <w:t> </w:t>
      </w:r>
      <w:r>
        <w:rPr>
          <w:color w:val="231F20"/>
        </w:rPr>
        <w:t>384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22"/>
          <w:position w:val="6"/>
          <w:sz w:val="10"/>
          <w:szCs w:val="10"/>
        </w:rPr>
        <w:t> </w:t>
      </w:r>
      <w:r>
        <w:rPr>
          <w:color w:val="231F20"/>
        </w:rPr>
        <w:t>d’espace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vie,</w:t>
      </w:r>
      <w:r>
        <w:rPr>
          <w:color w:val="231F20"/>
          <w:spacing w:val="21"/>
        </w:rPr>
        <w:t> </w:t>
      </w:r>
      <w:r>
        <w:rPr>
          <w:color w:val="231F20"/>
        </w:rPr>
        <w:t>d’améliorer</w:t>
      </w:r>
      <w:r>
        <w:rPr>
          <w:color w:val="231F20"/>
          <w:spacing w:val="21"/>
        </w:rPr>
        <w:t> </w:t>
      </w:r>
      <w:r>
        <w:rPr>
          <w:color w:val="231F20"/>
        </w:rPr>
        <w:t>la</w:t>
      </w:r>
      <w:r>
        <w:rPr>
          <w:color w:val="231F20"/>
          <w:spacing w:val="21"/>
        </w:rPr>
        <w:t> </w:t>
      </w:r>
      <w:r>
        <w:rPr>
          <w:color w:val="231F20"/>
        </w:rPr>
        <w:t>variété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logements</w:t>
      </w:r>
      <w:r>
        <w:rPr>
          <w:color w:val="231F20"/>
        </w:rPr>
        <w:t> et</w:t>
      </w:r>
      <w:r>
        <w:rPr>
          <w:color w:val="231F20"/>
          <w:spacing w:val="15"/>
        </w:rPr>
        <w:t> </w:t>
      </w:r>
      <w:r>
        <w:rPr>
          <w:color w:val="231F20"/>
        </w:rPr>
        <w:t>donc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densifier</w:t>
      </w:r>
      <w:r>
        <w:rPr>
          <w:color w:val="231F20"/>
          <w:spacing w:val="15"/>
        </w:rPr>
        <w:t> </w:t>
      </w:r>
      <w:r>
        <w:rPr>
          <w:color w:val="231F20"/>
        </w:rPr>
        <w:t>le</w:t>
      </w:r>
      <w:r>
        <w:rPr>
          <w:color w:val="231F20"/>
          <w:spacing w:val="16"/>
        </w:rPr>
        <w:t> </w:t>
      </w:r>
      <w:r>
        <w:rPr>
          <w:color w:val="231F20"/>
        </w:rPr>
        <w:t>milieu</w:t>
      </w:r>
      <w:r>
        <w:rPr>
          <w:color w:val="231F20"/>
          <w:spacing w:val="15"/>
        </w:rPr>
        <w:t> </w:t>
      </w:r>
      <w:r>
        <w:rPr>
          <w:color w:val="231F20"/>
        </w:rPr>
        <w:t>bâti.</w:t>
      </w:r>
      <w:r>
        <w:rPr>
          <w:color w:val="231F20"/>
          <w:spacing w:val="15"/>
        </w:rPr>
        <w:t> </w:t>
      </w:r>
      <w:r>
        <w:rPr>
          <w:color w:val="231F20"/>
        </w:rPr>
        <w:t>En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con-</w:t>
      </w:r>
      <w:r>
        <w:rPr>
          <w:color w:val="231F20"/>
          <w:spacing w:val="23"/>
        </w:rPr>
        <w:t> </w:t>
      </w:r>
      <w:r>
        <w:rPr>
          <w:color w:val="231F20"/>
        </w:rPr>
        <w:t>servant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petits</w:t>
      </w:r>
      <w:r>
        <w:rPr>
          <w:color w:val="231F20"/>
          <w:spacing w:val="14"/>
        </w:rPr>
        <w:t> </w:t>
      </w:r>
      <w:r>
        <w:rPr>
          <w:color w:val="231F20"/>
        </w:rPr>
        <w:t>habitats,</w:t>
      </w:r>
      <w:r>
        <w:rPr>
          <w:color w:val="231F20"/>
          <w:spacing w:val="14"/>
        </w:rPr>
        <w:t> </w:t>
      </w:r>
      <w:r>
        <w:rPr>
          <w:color w:val="231F20"/>
        </w:rPr>
        <w:t>la</w:t>
      </w:r>
      <w:r>
        <w:rPr>
          <w:color w:val="231F20"/>
          <w:spacing w:val="14"/>
        </w:rPr>
        <w:t> </w:t>
      </w:r>
      <w:r>
        <w:rPr>
          <w:color w:val="231F20"/>
        </w:rPr>
        <w:t>consommation</w:t>
      </w:r>
      <w:r>
        <w:rPr>
          <w:color w:val="231F20"/>
        </w:rPr>
        <w:t> de</w:t>
      </w:r>
      <w:r>
        <w:rPr>
          <w:color w:val="231F20"/>
          <w:spacing w:val="-13"/>
        </w:rPr>
        <w:t> </w:t>
      </w:r>
      <w:r>
        <w:rPr>
          <w:color w:val="231F20"/>
        </w:rPr>
        <w:t>surface</w:t>
      </w:r>
      <w:r>
        <w:rPr>
          <w:color w:val="231F20"/>
          <w:spacing w:val="-13"/>
        </w:rPr>
        <w:t> </w:t>
      </w:r>
      <w:r>
        <w:rPr>
          <w:color w:val="231F20"/>
        </w:rPr>
        <w:t>par</w:t>
      </w:r>
      <w:r>
        <w:rPr>
          <w:color w:val="231F20"/>
          <w:spacing w:val="-12"/>
        </w:rPr>
        <w:t> </w:t>
      </w:r>
      <w:r>
        <w:rPr>
          <w:color w:val="231F20"/>
        </w:rPr>
        <w:t>personne</w:t>
      </w:r>
      <w:r>
        <w:rPr>
          <w:color w:val="231F20"/>
          <w:spacing w:val="-13"/>
        </w:rPr>
        <w:t> </w:t>
      </w:r>
      <w:r>
        <w:rPr>
          <w:color w:val="231F20"/>
        </w:rPr>
        <w:t>est</w:t>
      </w:r>
      <w:r>
        <w:rPr>
          <w:color w:val="231F20"/>
          <w:spacing w:val="-13"/>
        </w:rPr>
        <w:t> </w:t>
      </w:r>
      <w:r>
        <w:rPr>
          <w:color w:val="231F20"/>
        </w:rPr>
        <w:t>d’environ</w:t>
      </w:r>
      <w:r>
        <w:rPr>
          <w:color w:val="231F20"/>
          <w:spacing w:val="-13"/>
        </w:rPr>
        <w:t> </w:t>
      </w:r>
      <w:r>
        <w:rPr>
          <w:color w:val="231F20"/>
        </w:rPr>
        <w:t>35</w:t>
      </w:r>
      <w:r>
        <w:rPr>
          <w:color w:val="231F20"/>
          <w:spacing w:val="-12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</w:rPr>
        <w:t>.</w:t>
      </w:r>
      <w:r>
        <w:rPr>
          <w:color w:val="231F20"/>
        </w:rPr>
        <w:t> Autre</w:t>
      </w:r>
      <w:r>
        <w:rPr>
          <w:color w:val="231F20"/>
          <w:spacing w:val="19"/>
        </w:rPr>
        <w:t> </w:t>
      </w:r>
      <w:r>
        <w:rPr>
          <w:color w:val="231F20"/>
        </w:rPr>
        <w:t>avantage</w:t>
      </w:r>
      <w:r>
        <w:rPr>
          <w:color w:val="231F20"/>
          <w:spacing w:val="19"/>
        </w:rPr>
        <w:t> </w:t>
      </w:r>
      <w:r>
        <w:rPr>
          <w:color w:val="231F20"/>
        </w:rPr>
        <w:t>en</w:t>
      </w:r>
      <w:r>
        <w:rPr>
          <w:color w:val="231F20"/>
          <w:spacing w:val="19"/>
        </w:rPr>
        <w:t> </w:t>
      </w:r>
      <w:r>
        <w:rPr>
          <w:color w:val="231F20"/>
        </w:rPr>
        <w:t>matière</w:t>
      </w:r>
      <w:r>
        <w:rPr>
          <w:color w:val="231F20"/>
          <w:spacing w:val="19"/>
        </w:rPr>
        <w:t> </w:t>
      </w:r>
      <w:r>
        <w:rPr>
          <w:color w:val="231F20"/>
        </w:rPr>
        <w:t>énergétique:</w:t>
      </w:r>
      <w:r>
        <w:rPr>
          <w:color w:val="231F20"/>
          <w:spacing w:val="19"/>
        </w:rPr>
        <w:t> </w:t>
      </w:r>
      <w:r>
        <w:rPr>
          <w:color w:val="231F20"/>
        </w:rPr>
        <w:t>les</w:t>
      </w:r>
      <w:r>
        <w:rPr>
          <w:color w:val="231F20"/>
        </w:rPr>
        <w:t> vastes</w:t>
      </w:r>
      <w:r>
        <w:rPr>
          <w:color w:val="231F20"/>
          <w:spacing w:val="32"/>
        </w:rPr>
        <w:t> </w:t>
      </w:r>
      <w:r>
        <w:rPr>
          <w:color w:val="231F20"/>
        </w:rPr>
        <w:t>façades</w:t>
      </w:r>
      <w:r>
        <w:rPr>
          <w:color w:val="231F20"/>
          <w:spacing w:val="33"/>
        </w:rPr>
        <w:t> </w:t>
      </w:r>
      <w:r>
        <w:rPr>
          <w:color w:val="231F20"/>
        </w:rPr>
        <w:t>fermées,</w:t>
      </w:r>
      <w:r>
        <w:rPr>
          <w:color w:val="231F20"/>
          <w:spacing w:val="32"/>
        </w:rPr>
        <w:t> </w:t>
      </w:r>
      <w:r>
        <w:rPr>
          <w:color w:val="231F20"/>
        </w:rPr>
        <w:t>bien</w:t>
      </w:r>
      <w:r>
        <w:rPr>
          <w:color w:val="231F20"/>
          <w:spacing w:val="33"/>
        </w:rPr>
        <w:t> </w:t>
      </w:r>
      <w:r>
        <w:rPr>
          <w:color w:val="231F20"/>
        </w:rPr>
        <w:t>exposées</w:t>
      </w:r>
      <w:r>
        <w:rPr>
          <w:color w:val="231F20"/>
          <w:spacing w:val="33"/>
        </w:rPr>
        <w:t> </w:t>
      </w:r>
      <w:r>
        <w:rPr>
          <w:color w:val="231F20"/>
        </w:rPr>
        <w:t>au</w:t>
      </w:r>
      <w:r>
        <w:rPr>
          <w:color w:val="231F20"/>
        </w:rPr>
        <w:t> soleil,</w:t>
      </w:r>
      <w:r>
        <w:rPr>
          <w:color w:val="231F20"/>
          <w:spacing w:val="21"/>
        </w:rPr>
        <w:t> </w:t>
      </w:r>
      <w:r>
        <w:rPr>
          <w:color w:val="231F20"/>
        </w:rPr>
        <w:t>ainsi</w:t>
      </w:r>
      <w:r>
        <w:rPr>
          <w:color w:val="231F20"/>
          <w:spacing w:val="21"/>
        </w:rPr>
        <w:t> </w:t>
      </w:r>
      <w:r>
        <w:rPr>
          <w:color w:val="231F20"/>
        </w:rPr>
        <w:t>que</w:t>
      </w:r>
      <w:r>
        <w:rPr>
          <w:color w:val="231F20"/>
          <w:spacing w:val="21"/>
        </w:rPr>
        <w:t> </w:t>
      </w:r>
      <w:r>
        <w:rPr>
          <w:color w:val="231F20"/>
        </w:rPr>
        <w:t>la</w:t>
      </w:r>
      <w:r>
        <w:rPr>
          <w:color w:val="231F20"/>
          <w:spacing w:val="21"/>
        </w:rPr>
        <w:t> </w:t>
      </w:r>
      <w:r>
        <w:rPr>
          <w:color w:val="231F20"/>
        </w:rPr>
        <w:t>suppression</w:t>
      </w:r>
      <w:r>
        <w:rPr>
          <w:color w:val="231F20"/>
          <w:spacing w:val="21"/>
        </w:rPr>
        <w:t> </w:t>
      </w:r>
      <w:r>
        <w:rPr>
          <w:color w:val="231F20"/>
        </w:rPr>
        <w:t>du</w:t>
      </w:r>
      <w:r>
        <w:rPr>
          <w:color w:val="231F20"/>
          <w:spacing w:val="21"/>
        </w:rPr>
        <w:t> </w:t>
      </w:r>
      <w:r>
        <w:rPr>
          <w:color w:val="231F20"/>
        </w:rPr>
        <w:t>puits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i w:val="0"/>
        </w:rPr>
      </w:r>
    </w:p>
    <w:p>
      <w:pPr>
        <w:spacing w:before="87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008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  <w:t>22-34 cm   </w:t>
      </w:r>
      <w:r>
        <w:rPr>
          <w:rFonts w:ascii="Theinhardt Regular"/>
          <w:color w:val="231F20"/>
          <w:spacing w:val="11"/>
          <w:sz w:val="14"/>
        </w:rPr>
        <w:t> </w:t>
      </w:r>
      <w:r>
        <w:rPr>
          <w:rFonts w:ascii="Theinhardt Regular"/>
          <w:color w:val="231F20"/>
          <w:sz w:val="14"/>
        </w:rPr>
        <w:t>U-Wert:0.12-0.15 W/m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008" w:val="left" w:leader="none"/>
          <w:tab w:pos="2574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Dach:</w:t>
        <w:tab/>
        <w:t>34-46 cm   </w:t>
      </w:r>
      <w:r>
        <w:rPr>
          <w:rFonts w:ascii="Theinhardt Regular"/>
          <w:color w:val="231F20"/>
          <w:spacing w:val="11"/>
          <w:sz w:val="14"/>
        </w:rPr>
        <w:t> </w:t>
      </w:r>
      <w:r>
        <w:rPr>
          <w:rFonts w:ascii="Theinhardt Regular"/>
          <w:color w:val="231F20"/>
          <w:sz w:val="14"/>
        </w:rPr>
        <w:t>U-Wert:</w:t>
        <w:tab/>
        <w:t>0.10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119" w:val="left" w:leader="none"/>
          <w:tab w:pos="1221" w:val="left" w:leader="none"/>
          <w:tab w:pos="2569" w:val="left" w:leader="none"/>
        </w:tabs>
        <w:spacing w:line="207" w:lineRule="auto" w:before="5"/>
        <w:ind w:left="106" w:right="23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Boden:</w:t>
        <w:tab/>
        <w:tab/>
        <w:t>16 cm   </w:t>
      </w:r>
      <w:r>
        <w:rPr>
          <w:rFonts w:ascii="Theinhardt Regular"/>
          <w:color w:val="231F20"/>
          <w:spacing w:val="11"/>
          <w:sz w:val="14"/>
        </w:rPr>
        <w:t> </w:t>
      </w:r>
      <w:r>
        <w:rPr>
          <w:rFonts w:ascii="Theinhardt Regular"/>
          <w:color w:val="231F20"/>
          <w:sz w:val="14"/>
        </w:rPr>
        <w:t>U-Wert:</w:t>
        <w:tab/>
        <w:t>0.22 W/m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K</w:t>
      </w:r>
      <w:r>
        <w:rPr>
          <w:rFonts w:ascii="Theinhardt Regular"/>
          <w:color w:val="231F20"/>
          <w:sz w:val="14"/>
        </w:rPr>
        <w:t> Fenster:</w:t>
        <w:tab/>
        <w:t>dreifach   </w:t>
      </w:r>
      <w:r>
        <w:rPr>
          <w:rFonts w:ascii="Theinhardt Regular"/>
          <w:color w:val="231F20"/>
          <w:spacing w:val="11"/>
          <w:sz w:val="14"/>
        </w:rPr>
        <w:t> </w:t>
      </w:r>
      <w:r>
        <w:rPr>
          <w:rFonts w:ascii="Theinhardt Regular"/>
          <w:color w:val="231F20"/>
          <w:sz w:val="14"/>
        </w:rPr>
        <w:t>U-Wert:</w:t>
        <w:tab/>
        <w:t>0.82 W/m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K</w:t>
      </w:r>
      <w:r>
        <w:rPr>
          <w:rFonts w:ascii="Theinhardt Regular"/>
          <w:sz w:val="14"/>
        </w:rPr>
      </w:r>
    </w:p>
    <w:p>
      <w:pPr>
        <w:spacing w:line="172" w:lineRule="exact"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Energiebedarf vor Sanierung [100% | 385%]</w:t>
      </w:r>
      <w:r>
        <w:rPr>
          <w:rFonts w:ascii="Theinhardt Bold"/>
          <w:sz w:val="14"/>
        </w:rPr>
      </w:r>
    </w:p>
    <w:p>
      <w:pPr>
        <w:tabs>
          <w:tab w:pos="1668" w:val="left" w:leader="none"/>
          <w:tab w:pos="2518" w:val="left" w:leader="none"/>
          <w:tab w:pos="2930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EBF: 1’748 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a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%</w:t>
        <w:tab/>
        <w:t>kWh/a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41" w:val="left" w:leader="none"/>
          <w:tab w:pos="2481" w:val="left" w:leader="none"/>
          <w:tab w:pos="2886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Warmwasser:</w:t>
        <w:tab/>
        <w:t>30.0</w:t>
        <w:tab/>
        <w:t>15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52’493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859" w:val="left" w:leader="none"/>
          <w:tab w:pos="2481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Heizung:</w:t>
        <w:tab/>
        <w:t>106.6</w:t>
        <w:tab/>
        <w:t>53  </w:t>
      </w:r>
      <w:r>
        <w:rPr>
          <w:rFonts w:ascii="Theinhardt Regular" w:hAnsi="Theinhardt Regular" w:cs="Theinhardt Regular" w:eastAsia="Theinhardt Regular"/>
          <w:color w:val="231F20"/>
          <w:spacing w:val="3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186’368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41" w:val="left" w:leader="none"/>
          <w:tab w:pos="2481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Elektrizität:</w:t>
        <w:tab/>
        <w:t>64.1</w:t>
        <w:tab/>
        <w:t>32  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112’047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854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w w:val="95"/>
          <w:sz w:val="14"/>
          <w:szCs w:val="14"/>
        </w:rPr>
        <w:t>Gesamt-EB: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200.7   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100  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350’908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Energiebedarf nach Sanierung [26% | </w:t>
      </w:r>
      <w:r>
        <w:rPr>
          <w:rFonts w:ascii="Theinhardt Bold"/>
          <w:b/>
          <w:color w:val="231F20"/>
          <w:spacing w:val="-1"/>
          <w:sz w:val="14"/>
        </w:rPr>
        <w:t>100%]</w:t>
      </w:r>
      <w:r>
        <w:rPr>
          <w:rFonts w:ascii="Theinhardt Bold"/>
          <w:sz w:val="14"/>
        </w:rPr>
      </w:r>
    </w:p>
    <w:p>
      <w:pPr>
        <w:tabs>
          <w:tab w:pos="1668" w:val="left" w:leader="none"/>
          <w:tab w:pos="2518" w:val="left" w:leader="none"/>
          <w:tab w:pos="2930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EBF: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2’132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24" w:val="left" w:leader="none"/>
          <w:tab w:pos="2564" w:val="left" w:leader="none"/>
          <w:tab w:pos="2958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Warmwasser*: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3.4</w:t>
        <w:tab/>
        <w:t>8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7’249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24" w:val="left" w:leader="none"/>
          <w:tab w:pos="2481" w:val="left" w:leader="none"/>
          <w:tab w:pos="2962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Heizung**: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4.3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10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9’168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41" w:val="left" w:leader="none"/>
          <w:tab w:pos="2481" w:val="left" w:leader="none"/>
          <w:tab w:pos="2876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Elektrizität:</w:t>
        <w:tab/>
        <w:t>35.0</w:t>
        <w:tab/>
        <w:t>82</w:t>
        <w:tab/>
        <w:t>74’620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37" w:val="left" w:leader="none"/>
          <w:tab w:pos="2870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w w:val="95"/>
          <w:sz w:val="14"/>
          <w:szCs w:val="14"/>
        </w:rPr>
        <w:t>Gesamt-EB: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42.7   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91’037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* Warmwasser: JAZ 2.84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** Heizung: JAZ 4.52</w:t>
      </w:r>
      <w:r>
        <w:rPr>
          <w:rFonts w:ascii="Theinhardt Regular"/>
          <w:sz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899" w:val="left" w:leader="none"/>
          <w:tab w:pos="1979" w:val="left" w:leader="none"/>
          <w:tab w:pos="2461" w:val="left" w:leader="none"/>
          <w:tab w:pos="2835" w:val="left" w:leader="none"/>
        </w:tabs>
        <w:spacing w:line="207" w:lineRule="auto" w:before="5"/>
        <w:ind w:left="106" w:right="27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Eigen-EV: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</w:t>
      </w:r>
      <w:r>
        <w:rPr>
          <w:rFonts w:ascii="Theinhardt Regular" w:hAnsi="Theinhardt Regular" w:cs="Theinhardt Regular" w:eastAsia="Theinhardt Regular"/>
          <w:color w:val="231F20"/>
          <w:spacing w:val="4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 </w:t>
      </w:r>
      <w:r>
        <w:rPr>
          <w:rFonts w:ascii="Theinhardt Regular" w:hAnsi="Theinhardt Regular" w:cs="Theinhardt Regular" w:eastAsia="Theinhardt Regular"/>
          <w:color w:val="231F20"/>
          <w:spacing w:val="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2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PV Dach:</w:t>
        <w:tab/>
        <w:t>230 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35.7</w:t>
        <w:tab/>
        <w:t>183</w:t>
        <w:tab/>
        <w:t>46</w:t>
        <w:tab/>
        <w:t>42’066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899" w:val="left" w:leader="none"/>
          <w:tab w:pos="1979" w:val="left" w:leader="none"/>
          <w:tab w:pos="2461" w:val="left" w:leader="none"/>
          <w:tab w:pos="2839" w:val="left" w:leader="none"/>
        </w:tabs>
        <w:spacing w:line="154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SK:</w:t>
        <w:tab/>
        <w:t>181</w:t>
        <w:tab/>
        <w:t>134</w:t>
        <w:tab/>
        <w:t>27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24’177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61" w:val="left" w:leader="none"/>
          <w:tab w:pos="2829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Eigenenergieversorgung</w:t>
        <w:tab/>
        <w:t>73</w:t>
        <w:tab/>
        <w:t>66’243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98" w:val="left" w:leader="none"/>
          <w:tab w:pos="2890" w:val="left" w:leader="none"/>
        </w:tabs>
        <w:spacing w:line="172" w:lineRule="exact" w:before="35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Energiebilanz (Endenergie)</w:t>
        <w:tab/>
      </w:r>
      <w:r>
        <w:rPr>
          <w:rFonts w:ascii="Theinhardt Regular"/>
          <w:color w:val="231F20"/>
          <w:sz w:val="14"/>
        </w:rPr>
        <w:t>%</w:t>
        <w:tab/>
        <w:t>kWh/a</w:t>
      </w:r>
      <w:r>
        <w:rPr>
          <w:rFonts w:ascii="Theinhardt Regular"/>
          <w:sz w:val="14"/>
        </w:rPr>
      </w:r>
    </w:p>
    <w:p>
      <w:pPr>
        <w:tabs>
          <w:tab w:pos="2461" w:val="left" w:leader="none"/>
          <w:tab w:pos="2829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Eigenenergieversorgung:</w:t>
        <w:tab/>
        <w:t>73</w:t>
        <w:tab/>
        <w:t>66’243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379" w:val="left" w:leader="none"/>
          <w:tab w:pos="2835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Gesamtenergiebedarf:</w:t>
        <w:tab/>
        <w:t>100</w:t>
        <w:tab/>
        <w:t>91’037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61" w:val="left" w:leader="none"/>
          <w:tab w:pos="2828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Fremdenergiezufuhr: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27</w:t>
        <w:tab/>
        <w:t>24’794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06" w:right="120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Bestätigt vom ewz </w:t>
      </w:r>
      <w:r>
        <w:rPr>
          <w:rFonts w:ascii="Theinhardt Regular" w:hAnsi="Theinhardt Regular"/>
          <w:color w:val="231F20"/>
          <w:sz w:val="14"/>
        </w:rPr>
        <w:t>am 27.06.2017</w:t>
      </w:r>
      <w:r>
        <w:rPr>
          <w:rFonts w:ascii="Theinhardt Regular" w:hAnsi="Theinhardt Regular"/>
          <w:color w:val="231F20"/>
          <w:sz w:val="14"/>
        </w:rPr>
        <w:t> Kurt Treichler,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058 319 43 53</w:t>
      </w:r>
      <w:r>
        <w:rPr>
          <w:rFonts w:ascii="Theinhardt Regular" w:hAnsi="Theinhardt Regular"/>
          <w:sz w:val="14"/>
        </w:rPr>
      </w: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1"/>
          <w:szCs w:val="11"/>
        </w:rPr>
      </w:pPr>
    </w:p>
    <w:p>
      <w:pPr>
        <w:spacing w:line="140" w:lineRule="exact"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pict>
          <v:group style="position:absolute;margin-left:385.511902pt;margin-top:11.039093pt;width:167.25pt;height:.45pt;mso-position-horizontal-relative:page;mso-position-vertical-relative:paragraph;z-index:-4960" coordorigin="7710,221" coordsize="3345,9">
            <v:group style="position:absolute;left:7732;top:225;width:3311;height:2" coordorigin="7732,225" coordsize="3311,2">
              <v:shape style="position:absolute;left:7732;top:225;width:3311;height:2" coordorigin="7732,225" coordsize="3311,0" path="m7732,225l11042,225e" filled="false" stroked="true" strokeweight=".425pt" strokecolor="#231f20">
                <v:path arrowok="t"/>
                <v:stroke dashstyle="dash"/>
              </v:shape>
            </v:group>
            <v:group style="position:absolute;left:7714;top:225;width:2;height:2" coordorigin="7714,225" coordsize="2,2">
              <v:shape style="position:absolute;left:7714;top:225;width:2;height:2" coordorigin="7714,225" coordsize="0,0" path="m7714,225l7714,225e" filled="false" stroked="true" strokeweight=".425pt" strokecolor="#231f20">
                <v:path arrowok="t"/>
              </v:shape>
            </v:group>
            <v:group style="position:absolute;left:11051;top:225;width:2;height:2" coordorigin="11051,225" coordsize="2,2">
              <v:shape style="position:absolute;left:11051;top:225;width:2;height:2" coordorigin="11051,225" coordsize="0,0" path="m11051,225l11051,225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after="0" w:line="140" w:lineRule="exact"/>
        <w:jc w:val="left"/>
        <w:rPr>
          <w:rFonts w:ascii="Theinhardt Black" w:hAnsi="Theinhardt Black" w:cs="Theinhardt Black" w:eastAsia="Theinhardt Black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53" w:space="119"/>
            <w:col w:w="3566"/>
          </w:cols>
        </w:sectPr>
      </w:pPr>
    </w:p>
    <w:p>
      <w:pPr>
        <w:pStyle w:val="Heading1"/>
        <w:spacing w:line="199" w:lineRule="exact"/>
        <w:ind w:right="0"/>
        <w:jc w:val="left"/>
      </w:pPr>
      <w:r>
        <w:rPr>
          <w:color w:val="231F20"/>
        </w:rPr>
        <w:t>im </w:t>
      </w:r>
      <w:r>
        <w:rPr>
          <w:color w:val="231F20"/>
          <w:spacing w:val="11"/>
        </w:rPr>
        <w:t> </w:t>
      </w:r>
      <w:r>
        <w:rPr>
          <w:color w:val="231F20"/>
        </w:rPr>
        <w:t>Untergeschoss. </w:t>
      </w:r>
      <w:r>
        <w:rPr>
          <w:color w:val="231F20"/>
          <w:spacing w:val="11"/>
        </w:rPr>
        <w:t> </w:t>
      </w:r>
      <w:r>
        <w:rPr>
          <w:color w:val="231F20"/>
        </w:rPr>
        <w:t>Die </w:t>
      </w:r>
      <w:r>
        <w:rPr>
          <w:color w:val="231F20"/>
          <w:spacing w:val="11"/>
        </w:rPr>
        <w:t> </w:t>
      </w:r>
      <w:r>
        <w:rPr>
          <w:color w:val="231F20"/>
        </w:rPr>
        <w:t>gewonnene </w:t>
      </w:r>
      <w:r>
        <w:rPr>
          <w:color w:val="231F20"/>
          <w:spacing w:val="11"/>
        </w:rPr>
        <w:t> </w:t>
      </w:r>
      <w:r>
        <w:rPr>
          <w:color w:val="231F20"/>
        </w:rPr>
        <w:t>ther-</w:t>
      </w:r>
      <w:r>
        <w:rPr/>
      </w:r>
    </w:p>
    <w:p>
      <w:pPr>
        <w:pStyle w:val="BodyText"/>
        <w:tabs>
          <w:tab w:pos="3699" w:val="left" w:leader="none"/>
          <w:tab w:pos="7010" w:val="left" w:leader="none"/>
        </w:tabs>
        <w:spacing w:line="199" w:lineRule="exact"/>
        <w:ind w:right="0" w:firstLine="0"/>
        <w:jc w:val="left"/>
        <w:rPr>
          <w:i w:val="0"/>
        </w:rPr>
      </w:pPr>
      <w:r>
        <w:rPr>
          <w:i w:val="0"/>
        </w:rPr>
        <w:br w:type="column"/>
      </w:r>
      <w:r>
        <w:rPr>
          <w:color w:val="231F20"/>
        </w:rPr>
        <w:t>ventilation</w:t>
      </w:r>
      <w:r>
        <w:rPr>
          <w:color w:val="231F20"/>
          <w:spacing w:val="-5"/>
        </w:rPr>
        <w:t> </w:t>
      </w:r>
      <w:r>
        <w:rPr>
          <w:color w:val="231F20"/>
        </w:rPr>
        <w:t>du</w:t>
      </w:r>
      <w:r>
        <w:rPr>
          <w:color w:val="231F20"/>
          <w:spacing w:val="-5"/>
        </w:rPr>
        <w:t> </w:t>
      </w:r>
      <w:r>
        <w:rPr>
          <w:color w:val="231F20"/>
        </w:rPr>
        <w:t>garage</w:t>
      </w:r>
      <w:r>
        <w:rPr>
          <w:color w:val="231F20"/>
          <w:spacing w:val="-5"/>
        </w:rPr>
        <w:t> </w:t>
      </w:r>
      <w:r>
        <w:rPr>
          <w:color w:val="231F20"/>
        </w:rPr>
        <w:t>au</w:t>
      </w:r>
      <w:r>
        <w:rPr>
          <w:color w:val="231F20"/>
          <w:spacing w:val="-5"/>
        </w:rPr>
        <w:t> </w:t>
      </w:r>
      <w:r>
        <w:rPr>
          <w:color w:val="231F20"/>
        </w:rPr>
        <w:t>sous-sol</w:t>
      </w:r>
      <w:r>
        <w:rPr>
          <w:color w:val="231F20"/>
          <w:spacing w:val="-5"/>
        </w:rPr>
        <w:t> </w:t>
      </w:r>
      <w:r>
        <w:rPr>
          <w:color w:val="231F20"/>
        </w:rPr>
        <w:t>permettent</w:t>
      </w:r>
      <w:r>
        <w:rPr>
          <w:color w:val="231F20"/>
        </w:rPr>
        <w:tab/>
        <w:t> </w:t>
        <w:tab/>
      </w:r>
      <w:r>
        <w:rPr>
          <w:i w:val="0"/>
        </w:rPr>
      </w:r>
    </w:p>
    <w:p>
      <w:pPr>
        <w:spacing w:after="0" w:line="199" w:lineRule="exact"/>
        <w:jc w:val="left"/>
        <w:sectPr>
          <w:type w:val="continuous"/>
          <w:pgSz w:w="11910" w:h="16840"/>
          <w:pgMar w:top="840" w:bottom="280" w:left="460" w:right="740"/>
          <w:cols w:num="2" w:equalWidth="0">
            <w:col w:w="3452" w:space="119"/>
            <w:col w:w="7139"/>
          </w:cols>
        </w:sectPr>
      </w:pPr>
    </w:p>
    <w:p>
      <w:pPr>
        <w:pStyle w:val="Heading1"/>
        <w:spacing w:line="232" w:lineRule="auto"/>
        <w:ind w:right="0"/>
        <w:jc w:val="both"/>
      </w:pPr>
      <w:r>
        <w:rPr>
          <w:color w:val="231F20"/>
        </w:rPr>
        <w:t>mische</w:t>
      </w:r>
      <w:r>
        <w:rPr>
          <w:color w:val="231F20"/>
          <w:spacing w:val="9"/>
        </w:rPr>
        <w:t> </w:t>
      </w:r>
      <w:r>
        <w:rPr>
          <w:color w:val="231F20"/>
        </w:rPr>
        <w:t>Energie</w:t>
      </w:r>
      <w:r>
        <w:rPr>
          <w:color w:val="231F20"/>
          <w:spacing w:val="9"/>
        </w:rPr>
        <w:t> </w:t>
      </w:r>
      <w:r>
        <w:rPr>
          <w:color w:val="231F20"/>
        </w:rPr>
        <w:t>wird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den</w:t>
      </w:r>
      <w:r>
        <w:rPr>
          <w:color w:val="231F20"/>
          <w:spacing w:val="9"/>
        </w:rPr>
        <w:t> </w:t>
      </w:r>
      <w:r>
        <w:rPr>
          <w:color w:val="231F20"/>
        </w:rPr>
        <w:t>im</w:t>
      </w:r>
      <w:r>
        <w:rPr>
          <w:color w:val="231F20"/>
          <w:spacing w:val="9"/>
        </w:rPr>
        <w:t> </w:t>
      </w:r>
      <w:r>
        <w:rPr>
          <w:color w:val="231F20"/>
        </w:rPr>
        <w:t>ehemaligen</w:t>
      </w:r>
      <w:r>
        <w:rPr>
          <w:color w:val="231F20"/>
        </w:rPr>
        <w:t> Lüftungsschacht</w:t>
      </w:r>
      <w:r>
        <w:rPr>
          <w:color w:val="231F20"/>
          <w:spacing w:val="2"/>
        </w:rPr>
        <w:t> </w:t>
      </w:r>
      <w:r>
        <w:rPr>
          <w:color w:val="231F20"/>
        </w:rPr>
        <w:t>eingebauten</w:t>
      </w:r>
      <w:r>
        <w:rPr>
          <w:color w:val="231F20"/>
          <w:spacing w:val="2"/>
        </w:rPr>
        <w:t> </w:t>
      </w:r>
      <w:r>
        <w:rPr>
          <w:color w:val="231F20"/>
        </w:rPr>
        <w:t>Warmwas-</w:t>
      </w:r>
      <w:r>
        <w:rPr>
          <w:color w:val="231F20"/>
        </w:rPr>
        <w:t> serboiler</w:t>
      </w:r>
      <w:r>
        <w:rPr>
          <w:color w:val="231F20"/>
          <w:spacing w:val="-3"/>
        </w:rPr>
        <w:t> </w:t>
      </w:r>
      <w:r>
        <w:rPr>
          <w:color w:val="231F20"/>
        </w:rPr>
        <w:t>mit</w:t>
      </w:r>
      <w:r>
        <w:rPr>
          <w:color w:val="231F20"/>
          <w:spacing w:val="-3"/>
        </w:rPr>
        <w:t> </w:t>
      </w:r>
      <w:r>
        <w:rPr>
          <w:color w:val="231F20"/>
        </w:rPr>
        <w:t>einem</w:t>
      </w:r>
      <w:r>
        <w:rPr>
          <w:color w:val="231F20"/>
          <w:spacing w:val="-3"/>
        </w:rPr>
        <w:t> </w:t>
      </w:r>
      <w:r>
        <w:rPr>
          <w:color w:val="231F20"/>
        </w:rPr>
        <w:t>Fassungsvermögen</w:t>
      </w:r>
      <w:r>
        <w:rPr>
          <w:color w:val="231F20"/>
          <w:spacing w:val="-3"/>
        </w:rPr>
        <w:t> </w:t>
      </w:r>
      <w:r>
        <w:rPr>
          <w:color w:val="231F20"/>
        </w:rPr>
        <w:t>von</w:t>
      </w:r>
      <w:r>
        <w:rPr>
          <w:color w:val="231F20"/>
        </w:rPr>
        <w:t> 19’800 Liter gespeichert.</w:t>
      </w:r>
      <w:r>
        <w:rPr/>
      </w:r>
    </w:p>
    <w:p>
      <w:pPr>
        <w:spacing w:line="232" w:lineRule="auto" w:before="0"/>
        <w:ind w:left="106" w:right="0" w:firstLine="226"/>
        <w:jc w:val="right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fast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ganztags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besonnten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Fassaden-</w:t>
      </w:r>
      <w:r>
        <w:rPr>
          <w:rFonts w:ascii="Theinhardt Regular" w:hAnsi="Theinhardt Regular"/>
          <w:color w:val="231F20"/>
          <w:spacing w:val="2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flächen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sind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prädestiniert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für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solare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Nut-</w:t>
      </w:r>
      <w:r>
        <w:rPr>
          <w:rFonts w:ascii="Theinhardt Regular" w:hAnsi="Theinhardt Regular"/>
          <w:color w:val="231F20"/>
          <w:sz w:val="18"/>
        </w:rPr>
        <w:t> zung.</w:t>
      </w:r>
      <w:r>
        <w:rPr>
          <w:rFonts w:ascii="Theinhardt Regular" w:hAnsi="Theinhardt Regular"/>
          <w:color w:val="231F20"/>
          <w:spacing w:val="3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3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181</w:t>
      </w:r>
      <w:r>
        <w:rPr>
          <w:rFonts w:ascii="Theinhardt Regular" w:hAnsi="Theinhardt Regular"/>
          <w:color w:val="231F20"/>
          <w:spacing w:val="3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</w:t>
      </w:r>
      <w:r>
        <w:rPr>
          <w:rFonts w:ascii="Theinhardt Regular" w:hAnsi="Theinhardt Regular"/>
          <w:color w:val="231F20"/>
          <w:position w:val="6"/>
          <w:sz w:val="10"/>
        </w:rPr>
        <w:t>2 </w:t>
      </w:r>
      <w:r>
        <w:rPr>
          <w:rFonts w:ascii="Theinhardt Regular" w:hAnsi="Theinhardt Regular"/>
          <w:color w:val="231F20"/>
          <w:spacing w:val="25"/>
          <w:position w:val="6"/>
          <w:sz w:val="10"/>
        </w:rPr>
        <w:t> </w:t>
      </w:r>
      <w:r>
        <w:rPr>
          <w:rFonts w:ascii="Theinhardt Regular" w:hAnsi="Theinhardt Regular"/>
          <w:color w:val="231F20"/>
          <w:sz w:val="18"/>
        </w:rPr>
        <w:t>grosse</w:t>
      </w:r>
      <w:r>
        <w:rPr>
          <w:rFonts w:ascii="Theinhardt Regular" w:hAnsi="Theinhardt Regular"/>
          <w:color w:val="231F20"/>
          <w:spacing w:val="3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solarthermische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Anlage</w:t>
      </w:r>
      <w:r>
        <w:rPr>
          <w:rFonts w:ascii="Theinhardt Regular" w:hAnsi="Theinhardt Regular"/>
          <w:color w:val="231F20"/>
          <w:spacing w:val="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ist</w:t>
      </w:r>
      <w:r>
        <w:rPr>
          <w:rFonts w:ascii="Theinhardt Regular" w:hAnsi="Theinhardt Regular"/>
          <w:color w:val="231F20"/>
          <w:spacing w:val="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gut</w:t>
      </w:r>
      <w:r>
        <w:rPr>
          <w:rFonts w:ascii="Theinhardt Regular" w:hAnsi="Theinhardt Regular"/>
          <w:color w:val="231F20"/>
          <w:spacing w:val="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in</w:t>
      </w:r>
      <w:r>
        <w:rPr>
          <w:rFonts w:ascii="Theinhardt Regular" w:hAnsi="Theinhardt Regular"/>
          <w:color w:val="231F20"/>
          <w:spacing w:val="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Fassade</w:t>
      </w:r>
      <w:r>
        <w:rPr>
          <w:rFonts w:ascii="Theinhardt Regular" w:hAnsi="Theinhardt Regular"/>
          <w:color w:val="231F20"/>
          <w:spacing w:val="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integriert</w:t>
      </w:r>
      <w:r>
        <w:rPr>
          <w:rFonts w:ascii="Theinhardt Regular" w:hAnsi="Theinhardt Regular"/>
          <w:color w:val="231F20"/>
          <w:spacing w:val="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z w:val="18"/>
        </w:rPr>
        <w:t> zeichnet</w:t>
      </w:r>
      <w:r>
        <w:rPr>
          <w:rFonts w:ascii="Theinhardt Regular" w:hAnsi="Theinhardt Regular"/>
          <w:color w:val="231F20"/>
          <w:spacing w:val="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sich</w:t>
      </w:r>
      <w:r>
        <w:rPr>
          <w:rFonts w:ascii="Theinhardt Regular" w:hAnsi="Theinhardt Regular"/>
          <w:color w:val="231F20"/>
          <w:spacing w:val="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durch</w:t>
      </w:r>
      <w:r>
        <w:rPr>
          <w:rFonts w:ascii="Theinhardt Regular" w:hAnsi="Theinhardt Regular"/>
          <w:color w:val="231F20"/>
          <w:spacing w:val="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eine</w:t>
      </w:r>
      <w:r>
        <w:rPr>
          <w:rFonts w:ascii="Theinhardt Regular" w:hAnsi="Theinhardt Regular"/>
          <w:color w:val="231F20"/>
          <w:spacing w:val="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hell</w:t>
      </w:r>
      <w:r>
        <w:rPr>
          <w:rFonts w:ascii="Theinhardt Regular" w:hAnsi="Theinhardt Regular"/>
          <w:color w:val="231F20"/>
          <w:spacing w:val="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changierende</w:t>
      </w:r>
      <w:r>
        <w:rPr>
          <w:rFonts w:ascii="Theinhardt Regular" w:hAnsi="Theinhardt Regular"/>
          <w:color w:val="231F20"/>
          <w:sz w:val="18"/>
        </w:rPr>
        <w:t> Farbe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aus.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Dadurch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wechseln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Kollekto-</w:t>
      </w:r>
      <w:r>
        <w:rPr>
          <w:rFonts w:ascii="Theinhardt Regular" w:hAnsi="Theinhardt Regular"/>
          <w:color w:val="231F20"/>
          <w:sz w:val="18"/>
        </w:rPr>
        <w:t> ren je nach Blickwinkel von grau zu bronze.</w:t>
      </w:r>
      <w:r>
        <w:rPr>
          <w:rFonts w:ascii="Theinhardt Regular" w:hAnsi="Theinhardt Regular"/>
          <w:sz w:val="18"/>
        </w:rPr>
      </w:r>
    </w:p>
    <w:p>
      <w:pPr>
        <w:spacing w:line="232" w:lineRule="auto" w:before="0"/>
        <w:ind w:left="106" w:right="0" w:firstLine="226"/>
        <w:jc w:val="left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/>
          <w:color w:val="231F20"/>
          <w:sz w:val="18"/>
        </w:rPr>
        <w:t>Die</w:t>
      </w:r>
      <w:r>
        <w:rPr>
          <w:rFonts w:ascii="Theinhardt Regular"/>
          <w:color w:val="231F20"/>
          <w:spacing w:val="6"/>
          <w:sz w:val="18"/>
        </w:rPr>
        <w:t> </w:t>
      </w:r>
      <w:r>
        <w:rPr>
          <w:rFonts w:ascii="Theinhardt Regular"/>
          <w:color w:val="231F20"/>
          <w:sz w:val="18"/>
        </w:rPr>
        <w:t>Sanierung</w:t>
      </w:r>
      <w:r>
        <w:rPr>
          <w:rFonts w:ascii="Theinhardt Regular"/>
          <w:color w:val="231F20"/>
          <w:spacing w:val="6"/>
          <w:sz w:val="18"/>
        </w:rPr>
        <w:t> </w:t>
      </w:r>
      <w:r>
        <w:rPr>
          <w:rFonts w:ascii="Theinhardt Regular"/>
          <w:color w:val="231F20"/>
          <w:sz w:val="18"/>
        </w:rPr>
        <w:t>des</w:t>
      </w:r>
      <w:r>
        <w:rPr>
          <w:rFonts w:ascii="Theinhardt Regular"/>
          <w:color w:val="231F20"/>
          <w:spacing w:val="6"/>
          <w:sz w:val="18"/>
        </w:rPr>
        <w:t> </w:t>
      </w:r>
      <w:r>
        <w:rPr>
          <w:rFonts w:ascii="Theinhardt Regular"/>
          <w:color w:val="231F20"/>
          <w:sz w:val="18"/>
        </w:rPr>
        <w:t>MFH</w:t>
      </w:r>
      <w:r>
        <w:rPr>
          <w:rFonts w:ascii="Theinhardt Regular"/>
          <w:color w:val="231F20"/>
          <w:spacing w:val="6"/>
          <w:sz w:val="18"/>
        </w:rPr>
        <w:t> </w:t>
      </w:r>
      <w:r>
        <w:rPr>
          <w:rFonts w:ascii="Theinhardt Regular"/>
          <w:color w:val="231F20"/>
          <w:sz w:val="18"/>
        </w:rPr>
        <w:t>Dubois</w:t>
      </w:r>
      <w:r>
        <w:rPr>
          <w:rFonts w:ascii="Theinhardt Regular"/>
          <w:color w:val="231F20"/>
          <w:spacing w:val="6"/>
          <w:sz w:val="18"/>
        </w:rPr>
        <w:t> </w:t>
      </w:r>
      <w:r>
        <w:rPr>
          <w:rFonts w:ascii="Theinhardt Regular"/>
          <w:color w:val="231F20"/>
          <w:sz w:val="18"/>
        </w:rPr>
        <w:t>verdient</w:t>
      </w:r>
      <w:r>
        <w:rPr>
          <w:rFonts w:ascii="Theinhardt Regular"/>
          <w:color w:val="231F20"/>
          <w:spacing w:val="21"/>
          <w:sz w:val="18"/>
        </w:rPr>
        <w:t> </w:t>
      </w:r>
      <w:r>
        <w:rPr>
          <w:rFonts w:ascii="Theinhardt Regular"/>
          <w:color w:val="231F20"/>
          <w:sz w:val="18"/>
        </w:rPr>
        <w:t>den Schweizer Solarpreis 2017.</w:t>
      </w:r>
      <w:r>
        <w:rPr>
          <w:rFonts w:ascii="Theinhardt Regular"/>
          <w:sz w:val="18"/>
        </w:rPr>
      </w:r>
    </w:p>
    <w:p>
      <w:pPr>
        <w:pStyle w:val="BodyText"/>
        <w:spacing w:line="232" w:lineRule="auto"/>
        <w:ind w:right="0" w:firstLine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</w:rPr>
        <w:t>de</w:t>
      </w:r>
      <w:r>
        <w:rPr>
          <w:color w:val="231F20"/>
          <w:spacing w:val="41"/>
        </w:rPr>
        <w:t> </w:t>
      </w:r>
      <w:r>
        <w:rPr>
          <w:color w:val="231F20"/>
        </w:rPr>
        <w:t>récupérer</w:t>
      </w:r>
      <w:r>
        <w:rPr>
          <w:color w:val="231F20"/>
          <w:spacing w:val="42"/>
        </w:rPr>
        <w:t> </w:t>
      </w:r>
      <w:r>
        <w:rPr>
          <w:color w:val="231F20"/>
        </w:rPr>
        <w:t>l’énergie</w:t>
      </w:r>
      <w:r>
        <w:rPr>
          <w:color w:val="231F20"/>
          <w:spacing w:val="41"/>
        </w:rPr>
        <w:t> </w:t>
      </w:r>
      <w:r>
        <w:rPr>
          <w:color w:val="231F20"/>
        </w:rPr>
        <w:t>thermique.</w:t>
      </w:r>
      <w:r>
        <w:rPr>
          <w:color w:val="231F20"/>
          <w:spacing w:val="42"/>
        </w:rPr>
        <w:t> </w:t>
      </w:r>
      <w:r>
        <w:rPr>
          <w:color w:val="231F20"/>
        </w:rPr>
        <w:t>Celle-ci</w:t>
      </w:r>
      <w:r>
        <w:rPr>
          <w:color w:val="231F20"/>
        </w:rPr>
        <w:t> est</w:t>
      </w:r>
      <w:r>
        <w:rPr>
          <w:color w:val="231F20"/>
          <w:spacing w:val="-2"/>
        </w:rPr>
        <w:t> </w:t>
      </w:r>
      <w:r>
        <w:rPr>
          <w:color w:val="231F20"/>
        </w:rPr>
        <w:t>stockée</w:t>
      </w:r>
      <w:r>
        <w:rPr>
          <w:color w:val="231F20"/>
          <w:spacing w:val="-2"/>
        </w:rPr>
        <w:t> </w:t>
      </w:r>
      <w:r>
        <w:rPr>
          <w:color w:val="231F20"/>
        </w:rPr>
        <w:t>dans</w:t>
      </w:r>
      <w:r>
        <w:rPr>
          <w:color w:val="231F20"/>
          <w:spacing w:val="-2"/>
        </w:rPr>
        <w:t> </w:t>
      </w:r>
      <w:r>
        <w:rPr>
          <w:color w:val="231F20"/>
        </w:rPr>
        <w:t>le</w:t>
      </w:r>
      <w:r>
        <w:rPr>
          <w:color w:val="231F20"/>
          <w:spacing w:val="-2"/>
        </w:rPr>
        <w:t> </w:t>
      </w:r>
      <w:r>
        <w:rPr>
          <w:color w:val="231F20"/>
        </w:rPr>
        <w:t>chauffe-eau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19’800</w:t>
      </w:r>
      <w:r>
        <w:rPr>
          <w:color w:val="231F20"/>
          <w:spacing w:val="-2"/>
        </w:rPr>
        <w:t> </w:t>
      </w:r>
      <w:r>
        <w:rPr>
          <w:color w:val="231F20"/>
        </w:rPr>
        <w:t>l</w:t>
      </w:r>
      <w:r>
        <w:rPr>
          <w:color w:val="231F20"/>
        </w:rPr>
        <w:t> de l’ancien conduit de ventilation.</w:t>
      </w:r>
      <w:r>
        <w:rPr>
          <w:i w:val="0"/>
        </w:rPr>
      </w:r>
    </w:p>
    <w:p>
      <w:pPr>
        <w:pStyle w:val="BodyText"/>
        <w:spacing w:line="232" w:lineRule="auto"/>
        <w:ind w:right="0"/>
        <w:jc w:val="both"/>
        <w:rPr>
          <w:i w:val="0"/>
        </w:rPr>
      </w:pPr>
      <w:r>
        <w:rPr>
          <w:color w:val="231F20"/>
        </w:rPr>
        <w:t>L’exposition</w:t>
      </w:r>
      <w:r>
        <w:rPr>
          <w:color w:val="231F20"/>
          <w:spacing w:val="8"/>
        </w:rPr>
        <w:t> </w:t>
      </w:r>
      <w:r>
        <w:rPr>
          <w:color w:val="231F20"/>
        </w:rPr>
        <w:t>au</w:t>
      </w:r>
      <w:r>
        <w:rPr>
          <w:color w:val="231F20"/>
          <w:spacing w:val="8"/>
        </w:rPr>
        <w:t> </w:t>
      </w:r>
      <w:r>
        <w:rPr>
          <w:color w:val="231F20"/>
        </w:rPr>
        <w:t>soleil</w:t>
      </w:r>
      <w:r>
        <w:rPr>
          <w:color w:val="231F20"/>
          <w:spacing w:val="8"/>
        </w:rPr>
        <w:t> </w:t>
      </w:r>
      <w:r>
        <w:rPr>
          <w:color w:val="231F20"/>
        </w:rPr>
        <w:t>des</w:t>
      </w:r>
      <w:r>
        <w:rPr>
          <w:color w:val="231F20"/>
          <w:spacing w:val="8"/>
        </w:rPr>
        <w:t> </w:t>
      </w:r>
      <w:r>
        <w:rPr>
          <w:color w:val="231F20"/>
        </w:rPr>
        <w:t>façades</w:t>
      </w:r>
      <w:r>
        <w:rPr>
          <w:color w:val="231F20"/>
          <w:spacing w:val="8"/>
        </w:rPr>
        <w:t> </w:t>
      </w:r>
      <w:r>
        <w:rPr>
          <w:color w:val="231F20"/>
        </w:rPr>
        <w:t>durant</w:t>
      </w:r>
      <w:r>
        <w:rPr>
          <w:color w:val="231F20"/>
          <w:spacing w:val="2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quasi-totalité</w:t>
      </w:r>
      <w:r>
        <w:rPr>
          <w:color w:val="231F20"/>
          <w:spacing w:val="-2"/>
        </w:rPr>
        <w:t> de </w:t>
      </w:r>
      <w:r>
        <w:rPr>
          <w:color w:val="231F20"/>
        </w:rPr>
        <w:t>la</w:t>
      </w:r>
      <w:r>
        <w:rPr>
          <w:color w:val="231F20"/>
          <w:spacing w:val="-2"/>
        </w:rPr>
        <w:t> journée </w:t>
      </w:r>
      <w:r>
        <w:rPr>
          <w:color w:val="231F20"/>
        </w:rPr>
        <w:t>est</w:t>
      </w:r>
      <w:r>
        <w:rPr>
          <w:color w:val="231F20"/>
          <w:spacing w:val="-2"/>
        </w:rPr>
        <w:t> </w:t>
      </w:r>
      <w:r>
        <w:rPr>
          <w:color w:val="231F20"/>
        </w:rPr>
        <w:t>idéale</w:t>
      </w:r>
      <w:r>
        <w:rPr>
          <w:color w:val="231F20"/>
          <w:spacing w:val="-2"/>
        </w:rPr>
        <w:t> </w:t>
      </w:r>
      <w:r>
        <w:rPr>
          <w:color w:val="231F20"/>
        </w:rPr>
        <w:t>pour</w:t>
      </w:r>
      <w:r>
        <w:rPr>
          <w:color w:val="231F20"/>
          <w:spacing w:val="27"/>
        </w:rPr>
        <w:t> </w:t>
      </w:r>
      <w:r>
        <w:rPr>
          <w:color w:val="231F20"/>
        </w:rPr>
        <w:t>en</w:t>
      </w:r>
      <w:r>
        <w:rPr>
          <w:color w:val="231F20"/>
          <w:spacing w:val="35"/>
        </w:rPr>
        <w:t> </w:t>
      </w:r>
      <w:r>
        <w:rPr>
          <w:color w:val="231F20"/>
        </w:rPr>
        <w:t>exploiter</w:t>
      </w:r>
      <w:r>
        <w:rPr>
          <w:color w:val="231F20"/>
          <w:spacing w:val="36"/>
        </w:rPr>
        <w:t> </w:t>
      </w:r>
      <w:r>
        <w:rPr>
          <w:color w:val="231F20"/>
        </w:rPr>
        <w:t>l’énergie.</w:t>
      </w:r>
      <w:r>
        <w:rPr>
          <w:color w:val="231F20"/>
          <w:spacing w:val="35"/>
        </w:rPr>
        <w:t> </w:t>
      </w:r>
      <w:r>
        <w:rPr>
          <w:color w:val="231F20"/>
        </w:rPr>
        <w:t>L’installation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solaire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thermique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181</w:t>
      </w:r>
      <w:r>
        <w:rPr>
          <w:color w:val="231F20"/>
          <w:spacing w:val="10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  <w:spacing w:val="5"/>
          <w:position w:val="6"/>
          <w:sz w:val="10"/>
          <w:szCs w:val="10"/>
        </w:rPr>
        <w:t> </w:t>
      </w:r>
      <w:r>
        <w:rPr>
          <w:color w:val="231F20"/>
        </w:rPr>
        <w:t>est</w:t>
      </w:r>
      <w:r>
        <w:rPr>
          <w:color w:val="231F20"/>
          <w:spacing w:val="10"/>
        </w:rPr>
        <w:t> </w:t>
      </w:r>
      <w:r>
        <w:rPr>
          <w:color w:val="231F20"/>
        </w:rPr>
        <w:t>bien</w:t>
      </w:r>
      <w:r>
        <w:rPr>
          <w:color w:val="231F20"/>
          <w:spacing w:val="10"/>
        </w:rPr>
        <w:t> </w:t>
      </w:r>
      <w:r>
        <w:rPr>
          <w:color w:val="231F20"/>
        </w:rPr>
        <w:t>intégrée</w:t>
      </w:r>
      <w:r>
        <w:rPr>
          <w:color w:val="231F20"/>
          <w:spacing w:val="11"/>
        </w:rPr>
        <w:t> </w:t>
      </w:r>
      <w:r>
        <w:rPr>
          <w:color w:val="231F20"/>
        </w:rPr>
        <w:t>à</w:t>
      </w:r>
      <w:r>
        <w:rPr>
          <w:color w:val="231F20"/>
          <w:spacing w:val="10"/>
        </w:rPr>
        <w:t> </w:t>
      </w:r>
      <w:r>
        <w:rPr>
          <w:color w:val="231F20"/>
        </w:rPr>
        <w:t>la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façade</w:t>
      </w:r>
      <w:r>
        <w:rPr>
          <w:color w:val="231F20"/>
          <w:spacing w:val="15"/>
        </w:rPr>
        <w:t> </w:t>
      </w:r>
      <w:r>
        <w:rPr>
          <w:color w:val="231F20"/>
        </w:rPr>
        <w:t>et</w:t>
      </w:r>
      <w:r>
        <w:rPr>
          <w:color w:val="231F20"/>
          <w:spacing w:val="15"/>
        </w:rPr>
        <w:t> </w:t>
      </w:r>
      <w:r>
        <w:rPr>
          <w:color w:val="231F20"/>
        </w:rPr>
        <w:t>se</w:t>
      </w:r>
      <w:r>
        <w:rPr>
          <w:color w:val="231F20"/>
          <w:spacing w:val="15"/>
        </w:rPr>
        <w:t> </w:t>
      </w:r>
      <w:r>
        <w:rPr>
          <w:color w:val="231F20"/>
        </w:rPr>
        <w:t>distingue</w:t>
      </w:r>
      <w:r>
        <w:rPr>
          <w:color w:val="231F20"/>
          <w:spacing w:val="15"/>
        </w:rPr>
        <w:t> </w:t>
      </w:r>
      <w:r>
        <w:rPr>
          <w:color w:val="231F20"/>
        </w:rPr>
        <w:t>par</w:t>
      </w:r>
      <w:r>
        <w:rPr>
          <w:color w:val="231F20"/>
          <w:spacing w:val="15"/>
        </w:rPr>
        <w:t> </w:t>
      </w:r>
      <w:r>
        <w:rPr>
          <w:color w:val="231F20"/>
        </w:rPr>
        <w:t>sa</w:t>
      </w:r>
      <w:r>
        <w:rPr>
          <w:color w:val="231F20"/>
          <w:spacing w:val="15"/>
        </w:rPr>
        <w:t> </w:t>
      </w:r>
      <w:r>
        <w:rPr>
          <w:color w:val="231F20"/>
        </w:rPr>
        <w:t>couleur</w:t>
      </w:r>
      <w:r>
        <w:rPr>
          <w:color w:val="231F20"/>
          <w:spacing w:val="15"/>
        </w:rPr>
        <w:t> </w:t>
      </w:r>
      <w:r>
        <w:rPr>
          <w:color w:val="231F20"/>
        </w:rPr>
        <w:t>claire</w:t>
      </w:r>
      <w:r>
        <w:rPr>
          <w:color w:val="231F20"/>
          <w:spacing w:val="24"/>
        </w:rPr>
        <w:t> </w:t>
      </w:r>
      <w:r>
        <w:rPr>
          <w:color w:val="231F20"/>
        </w:rPr>
        <w:t>irisée.</w:t>
      </w:r>
      <w:r>
        <w:rPr>
          <w:color w:val="231F20"/>
          <w:spacing w:val="-11"/>
        </w:rPr>
        <w:t> </w:t>
      </w:r>
      <w:r>
        <w:rPr>
          <w:color w:val="231F20"/>
        </w:rPr>
        <w:t>Selon</w:t>
      </w:r>
      <w:r>
        <w:rPr>
          <w:color w:val="231F20"/>
          <w:spacing w:val="-11"/>
        </w:rPr>
        <w:t> </w:t>
      </w:r>
      <w:r>
        <w:rPr>
          <w:color w:val="231F20"/>
        </w:rPr>
        <w:t>l’angle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vue,</w:t>
      </w:r>
      <w:r>
        <w:rPr>
          <w:color w:val="231F20"/>
          <w:spacing w:val="-11"/>
        </w:rPr>
        <w:t> </w:t>
      </w:r>
      <w:r>
        <w:rPr>
          <w:color w:val="231F20"/>
        </w:rPr>
        <w:t>les</w:t>
      </w:r>
      <w:r>
        <w:rPr>
          <w:color w:val="231F20"/>
          <w:spacing w:val="-11"/>
        </w:rPr>
        <w:t> </w:t>
      </w:r>
      <w:r>
        <w:rPr>
          <w:color w:val="231F20"/>
        </w:rPr>
        <w:t>capteurs</w:t>
      </w:r>
      <w:r>
        <w:rPr>
          <w:color w:val="231F20"/>
          <w:spacing w:val="-11"/>
        </w:rPr>
        <w:t> </w:t>
      </w:r>
      <w:r>
        <w:rPr>
          <w:color w:val="231F20"/>
        </w:rPr>
        <w:t>pas-</w:t>
      </w:r>
      <w:r>
        <w:rPr>
          <w:color w:val="231F20"/>
        </w:rPr>
        <w:t> sent du gris au bronze.</w:t>
      </w:r>
      <w:r>
        <w:rPr>
          <w:i w:val="0"/>
        </w:rPr>
      </w:r>
    </w:p>
    <w:p>
      <w:pPr>
        <w:pStyle w:val="BodyText"/>
        <w:spacing w:line="232" w:lineRule="auto"/>
        <w:ind w:right="0"/>
        <w:jc w:val="both"/>
        <w:rPr>
          <w:i w:val="0"/>
        </w:rPr>
      </w:pPr>
      <w:r>
        <w:rPr>
          <w:color w:val="231F20"/>
        </w:rPr>
        <w:t>Pour sa rénovation innovante, l’immeuble locatif</w:t>
      </w:r>
      <w:r>
        <w:rPr>
          <w:color w:val="231F20"/>
          <w:spacing w:val="32"/>
        </w:rPr>
        <w:t> </w:t>
      </w:r>
      <w:r>
        <w:rPr>
          <w:color w:val="231F20"/>
        </w:rPr>
        <w:t>Dubois</w:t>
      </w:r>
      <w:r>
        <w:rPr>
          <w:color w:val="231F20"/>
          <w:spacing w:val="33"/>
        </w:rPr>
        <w:t> </w:t>
      </w:r>
      <w:r>
        <w:rPr>
          <w:color w:val="231F20"/>
        </w:rPr>
        <w:t>reçoit</w:t>
      </w:r>
      <w:r>
        <w:rPr>
          <w:color w:val="231F20"/>
          <w:spacing w:val="32"/>
        </w:rPr>
        <w:t> </w:t>
      </w:r>
      <w:r>
        <w:rPr>
          <w:color w:val="231F20"/>
        </w:rPr>
        <w:t>le</w:t>
      </w:r>
      <w:r>
        <w:rPr>
          <w:color w:val="231F20"/>
          <w:spacing w:val="33"/>
        </w:rPr>
        <w:t> </w:t>
      </w:r>
      <w:r>
        <w:rPr>
          <w:color w:val="231F20"/>
        </w:rPr>
        <w:t>Prix</w:t>
      </w:r>
      <w:r>
        <w:rPr>
          <w:color w:val="231F20"/>
          <w:spacing w:val="33"/>
        </w:rPr>
        <w:t> </w:t>
      </w:r>
      <w:r>
        <w:rPr>
          <w:color w:val="231F20"/>
        </w:rPr>
        <w:t>Solaire</w:t>
      </w:r>
      <w:r>
        <w:rPr>
          <w:color w:val="231F20"/>
          <w:spacing w:val="32"/>
        </w:rPr>
        <w:t> </w:t>
      </w:r>
      <w:r>
        <w:rPr>
          <w:color w:val="231F20"/>
        </w:rPr>
        <w:t>Suisse</w:t>
      </w:r>
      <w:r>
        <w:rPr>
          <w:color w:val="231F20"/>
        </w:rPr>
        <w:t> 2017.</w:t>
      </w:r>
      <w:r>
        <w:rPr>
          <w:i w:val="0"/>
        </w:rPr>
      </w:r>
    </w:p>
    <w:p>
      <w:pPr>
        <w:spacing w:line="207" w:lineRule="auto" w:before="0"/>
        <w:ind w:left="106" w:right="120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br w:type="column"/>
      </w:r>
      <w:r>
        <w:rPr>
          <w:rFonts w:ascii="Theinhardt Bold" w:hAnsi="Theinhardt Bold"/>
          <w:b/>
          <w:color w:val="231F20"/>
          <w:sz w:val="14"/>
        </w:rPr>
        <w:t>Standort des Gebäudes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Mehrfamilienhaus Stettbach</w:t>
      </w:r>
      <w:r>
        <w:rPr>
          <w:rFonts w:ascii="Theinhardt Regular" w:hAnsi="Theinhardt Regular"/>
          <w:color w:val="231F20"/>
          <w:sz w:val="14"/>
        </w:rPr>
        <w:t> Stettbachstrasse 43, 8051 Zürich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Bauherrschaft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6" w:right="120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David und Ana Dubois Rebbergstrasse 87, 8049 Zürich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044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342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50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45</w:t>
      </w:r>
      <w:r>
        <w:rPr>
          <w:rFonts w:ascii="Theinhardt Regular"/>
          <w:sz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Architekt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6" w:right="32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kämpfen für architektur ag, </w:t>
      </w:r>
      <w:r>
        <w:rPr>
          <w:rFonts w:ascii="Theinhardt Regular" w:hAnsi="Theinhardt Regular"/>
          <w:color w:val="231F20"/>
          <w:spacing w:val="2"/>
          <w:sz w:val="14"/>
        </w:rPr>
        <w:t>Beat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Kämpfen</w:t>
      </w:r>
      <w:r>
        <w:rPr>
          <w:rFonts w:ascii="Theinhardt Regular" w:hAnsi="Theinhardt Regular"/>
          <w:color w:val="231F20"/>
          <w:spacing w:val="25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Badenerstrasse 571, 8048 Zürich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5">
        <w:r>
          <w:rPr>
            <w:rFonts w:ascii="Theinhardt Regular"/>
            <w:color w:val="231F20"/>
            <w:sz w:val="14"/>
          </w:rPr>
          <w:t>Tel. 044 344 46 20, beat@kaempfen.com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HLK-Ingenieur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6" w:right="143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Naef Energietechnik Jupiterstrasse 26, 8032 Zürich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6">
        <w:r>
          <w:rPr>
            <w:rFonts w:ascii="Theinhardt Regular"/>
            <w:color w:val="231F20"/>
            <w:sz w:val="14"/>
          </w:rPr>
          <w:t>Tel. 044 380 36 88, naef@naef-energie.ch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Energie-Spezialist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Edelmann Energie</w:t>
      </w:r>
      <w:r>
        <w:rPr>
          <w:rFonts w:ascii="Theinhardt Regular"/>
          <w:sz w:val="14"/>
        </w:rPr>
      </w:r>
    </w:p>
    <w:p>
      <w:pPr>
        <w:spacing w:line="207" w:lineRule="auto" w:before="6"/>
        <w:ind w:left="106" w:right="32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Energie und Nachhaltigkeit am Bau Kalkbreitestrasse 12, 8003 Zürich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7">
        <w:r>
          <w:rPr>
            <w:rFonts w:ascii="Theinhardt Regular"/>
            <w:color w:val="231F20"/>
            <w:sz w:val="14"/>
          </w:rPr>
          <w:t>Tel. 043 211 90 00, info@edelmann-energie.ch</w:t>
        </w:r>
        <w:r>
          <w:rPr>
            <w:rFonts w:ascii="Theinhardt Regular"/>
            <w:sz w:val="14"/>
          </w:rPr>
        </w:r>
      </w:hyperlink>
    </w:p>
    <w:p>
      <w:pPr>
        <w:spacing w:after="0" w:line="167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2" w:space="119"/>
            <w:col w:w="3453" w:space="119"/>
            <w:col w:w="3567"/>
          </w:cols>
        </w:sectPr>
      </w:pPr>
    </w:p>
    <w:p>
      <w:pPr>
        <w:spacing w:line="240" w:lineRule="auto" w:before="9"/>
        <w:rPr>
          <w:rFonts w:ascii="Theinhardt Regular" w:hAnsi="Theinhardt Regular" w:cs="Theinhardt Regular" w:eastAsia="Theinhardt Regular"/>
          <w:sz w:val="2"/>
          <w:szCs w:val="2"/>
        </w:rPr>
      </w:pPr>
    </w:p>
    <w:p>
      <w:pPr>
        <w:spacing w:line="20" w:lineRule="atLeast"/>
        <w:ind w:left="7250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23"/>
          <w:szCs w:val="23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86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531327" cy="596646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327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line="240" w:lineRule="auto" w:before="2"/>
        <w:rPr>
          <w:rFonts w:ascii="Theinhardt Regular" w:hAnsi="Theinhardt Regular" w:cs="Theinhardt Regular" w:eastAsia="Theinhardt Regular"/>
          <w:sz w:val="10"/>
          <w:szCs w:val="10"/>
        </w:rPr>
      </w:pPr>
    </w:p>
    <w:p>
      <w:pPr>
        <w:spacing w:before="68"/>
        <w:ind w:left="119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tabs>
          <w:tab w:pos="5467" w:val="left" w:leader="none"/>
        </w:tabs>
        <w:spacing w:line="200" w:lineRule="atLeast"/>
        <w:ind w:left="112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3260989" cy="2564892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989" cy="256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60884" cy="2557272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884" cy="255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467" w:val="left" w:leader="none"/>
        </w:tabs>
        <w:spacing w:before="34"/>
        <w:ind w:left="119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8"/>
          <w:szCs w:val="8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8"/>
          <w:szCs w:val="8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6" w:val="left" w:leader="none"/>
        </w:tabs>
        <w:spacing w:line="160" w:lineRule="exact" w:before="76"/>
        <w:ind w:left="335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Neben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Aufstockung</w:t>
      </w:r>
      <w:r>
        <w:rPr>
          <w:rFonts w:ascii="Theinhardt Bold" w:hAnsi="Theinhardt Bold"/>
          <w:b/>
          <w:color w:val="231F20"/>
          <w:sz w:val="14"/>
        </w:rPr>
        <w:t> des Gebäudes </w:t>
      </w:r>
      <w:r>
        <w:rPr>
          <w:rFonts w:ascii="Theinhardt Bold" w:hAnsi="Theinhardt Bold"/>
          <w:b/>
          <w:color w:val="231F20"/>
          <w:spacing w:val="-1"/>
          <w:sz w:val="14"/>
        </w:rPr>
        <w:t>sorgen</w:t>
      </w:r>
      <w:r>
        <w:rPr>
          <w:rFonts w:ascii="Theinhardt Bold" w:hAnsi="Theinhardt Bold"/>
          <w:b/>
          <w:color w:val="231F20"/>
          <w:spacing w:val="33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gute Wärmedämmung und </w:t>
      </w:r>
      <w:r>
        <w:rPr>
          <w:rFonts w:ascii="Theinhardt Bold" w:hAnsi="Theinhardt Bold"/>
          <w:b/>
          <w:color w:val="231F20"/>
          <w:spacing w:val="-1"/>
          <w:sz w:val="14"/>
        </w:rPr>
        <w:t>neuste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pacing w:val="-2"/>
          <w:sz w:val="14"/>
        </w:rPr>
        <w:t>Technik</w:t>
      </w:r>
      <w:r>
        <w:rPr>
          <w:rFonts w:ascii="Theinhardt Bold" w:hAnsi="Theinhardt Bold"/>
          <w:b/>
          <w:color w:val="231F20"/>
          <w:spacing w:val="24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für eine zukunftsorientierte </w:t>
      </w:r>
      <w:r>
        <w:rPr>
          <w:rFonts w:ascii="Theinhardt Bold" w:hAnsi="Theinhardt Bold"/>
          <w:b/>
          <w:color w:val="231F20"/>
          <w:spacing w:val="-1"/>
          <w:sz w:val="14"/>
        </w:rPr>
        <w:t>Wohnweise</w:t>
      </w:r>
      <w:r>
        <w:rPr>
          <w:rFonts w:ascii="Theinhardt Bold" w:hAnsi="Theinhardt Bold"/>
          <w:b/>
          <w:color w:val="231F20"/>
          <w:sz w:val="14"/>
        </w:rPr>
        <w:t> und</w:t>
      </w:r>
      <w:r>
        <w:rPr>
          <w:rFonts w:ascii="Theinhardt Bold" w:hAnsi="Theinhardt Bold"/>
          <w:b/>
          <w:color w:val="231F20"/>
          <w:spacing w:val="25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reduzieren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z w:val="14"/>
        </w:rPr>
        <w:t> Gesamtenergiebedarf um 74%.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36" w:val="left" w:leader="none"/>
        </w:tabs>
        <w:spacing w:line="160" w:lineRule="exact" w:before="76"/>
        <w:ind w:left="335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Die 36 kW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PV-Anlage auf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Dach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42’100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Zusammen mit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thermischen Anlage deckt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73% des Gesamt-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energiebedarfs des Gebäudes.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6" w:val="left" w:leader="none"/>
        </w:tabs>
        <w:spacing w:line="160" w:lineRule="exact" w:before="76"/>
        <w:ind w:left="335" w:right="257" w:hanging="227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Die perfekt in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Fassade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integrierten thermi-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schen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Solarkollektoren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wechseln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je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nach Son-</w:t>
      </w:r>
      <w:r>
        <w:rPr>
          <w:rFonts w:ascii="Theinhardt Bold" w:hAnsi="Theinhardt Bold" w:cs="Theinhardt Bold" w:eastAsia="Theinhardt Bold"/>
          <w:b/>
          <w:bCs/>
          <w:color w:val="231F20"/>
          <w:spacing w:val="3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neneinstrahlung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Farbton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und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produzieren</w:t>
      </w:r>
      <w:r>
        <w:rPr>
          <w:rFonts w:ascii="Theinhardt Bold" w:hAnsi="Theinhardt Bold" w:cs="Theinhardt Bold" w:eastAsia="Theinhardt Bold"/>
          <w:b/>
          <w:bCs/>
          <w:color w:val="231F20"/>
          <w:spacing w:val="5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24’200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both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357" w:space="214"/>
            <w:col w:w="3423" w:space="148"/>
            <w:col w:w="3568"/>
          </w:cols>
        </w:sectPr>
      </w:pPr>
    </w:p>
    <w:p>
      <w:pPr>
        <w:spacing w:line="240" w:lineRule="auto" w:before="7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87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5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37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39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41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44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46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48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50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52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 w:firstLine="226"/>
    </w:pPr>
    <w:rPr>
      <w:rFonts w:ascii="Theinhardt Regular Italic" w:hAnsi="Theinhardt Regular Italic" w:eastAsia="Theinhardt Regular Italic"/>
      <w:i/>
      <w:sz w:val="18"/>
      <w:szCs w:val="18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beat@kaempfen.com" TargetMode="External"/><Relationship Id="rId6" Type="http://schemas.openxmlformats.org/officeDocument/2006/relationships/hyperlink" Target="mailto:naef@naef-energie.ch" TargetMode="External"/><Relationship Id="rId7" Type="http://schemas.openxmlformats.org/officeDocument/2006/relationships/hyperlink" Target="mailto:info@edelmann-energie.ch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2017-09-21T12:00:23Z</dcterms:created>
  <dcterms:modified xsi:type="dcterms:W3CDTF">2017-09-21T12:00:23Z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2017-09-20T00:00:00Z</vt:filetime>
  </property>
  <property fmtid="{D5CDD505-2E9C-101B-9397-08002B2CF9AE}" pid="3" name="LastSaved">
    <vt:filetime>2017-09-21T00:00:00Z</vt:filetime>
  </property>
</Properties>
</file>