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38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4.147207pt;width:.1pt;height:.1pt;mso-position-horizontal-relative:page;mso-position-vertical-relative:paragraph;z-index:-6304" coordorigin="571,283" coordsize="2,2">
            <v:shape style="position:absolute;left:571;top:283;width:2;height:2" coordorigin="571,283" coordsize="0,0" path="m571,283l571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4.147207pt;width:.1pt;height:.1pt;mso-position-horizontal-relative:page;mso-position-vertical-relative:paragraph;z-index:1120" coordorigin="3015,283" coordsize="2,2">
            <v:shape style="position:absolute;left:3015;top:283;width:2;height:2" coordorigin="3015,283" coordsize="0,0" path="m3015,283l3015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647207pt;width:.1pt;height:.1pt;mso-position-horizontal-relative:page;mso-position-vertical-relative:paragraph;z-index:-6256" coordorigin="571,513" coordsize="2,2">
            <v:shape style="position:absolute;left:571;top:513;width:2;height:2" coordorigin="571,513" coordsize="0,0" path="m571,513l571,5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647207pt;width:.1pt;height:.1pt;mso-position-horizontal-relative:page;mso-position-vertical-relative:paragraph;z-index:1168" coordorigin="3015,513" coordsize="2,2">
            <v:shape style="position:absolute;left:3015;top:513;width:2;height:2" coordorigin="3015,513" coordsize="0,0" path="m3015,513l3015,51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/>
          <w:b/>
          <w:color w:val="231F20"/>
          <w:sz w:val="18"/>
          <w:u w:val="dotted" w:color="231F20"/>
        </w:rPr>
        <w:t>B</w:t>
      </w:r>
      <w:r>
        <w:rPr>
          <w:rFonts w:asci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25"/>
          <w:sz w:val="18"/>
        </w:rPr>
        <w:t> </w:t>
      </w:r>
      <w:r>
        <w:rPr>
          <w:rFonts w:asci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22"/>
          <w:sz w:val="18"/>
        </w:rPr>
        <w:t> </w:t>
      </w:r>
      <w:r>
        <w:rPr>
          <w:rFonts w:ascii="Theinhardt Regular"/>
          <w:color w:val="231F20"/>
          <w:sz w:val="18"/>
        </w:rPr>
        <w:t>Norman </w:t>
      </w:r>
      <w:r>
        <w:rPr>
          <w:rFonts w:ascii="Theinhardt Regular"/>
          <w:color w:val="231F20"/>
          <w:spacing w:val="-1"/>
          <w:sz w:val="18"/>
        </w:rPr>
        <w:t>Foster</w:t>
      </w:r>
      <w:r>
        <w:rPr>
          <w:rFonts w:ascii="Theinhardt Regular"/>
          <w:color w:val="231F20"/>
          <w:sz w:val="18"/>
        </w:rPr>
        <w:t> Solar </w:t>
      </w:r>
      <w:r>
        <w:rPr>
          <w:rFonts w:ascii="Theinhardt Regular"/>
          <w:color w:val="231F20"/>
          <w:spacing w:val="-3"/>
          <w:sz w:val="18"/>
        </w:rPr>
        <w:t>Award</w:t>
      </w:r>
      <w:r>
        <w:rPr>
          <w:rFonts w:ascii="Theinhardt Regular"/>
          <w:sz w:val="18"/>
        </w:rPr>
      </w:r>
    </w:p>
    <w:p>
      <w:pPr>
        <w:spacing w:line="230" w:lineRule="exact" w:before="38"/>
        <w:ind w:left="10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Optisch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modern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technisch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einwandfrei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präsentiert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sich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«Monolith»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Ilanz,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ersten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Stadt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am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Rhein.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Flachdach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optimal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nach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Ost-West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ausgerichtete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sorgfältig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integrier-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knapp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Lärchenlamellen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ermöglichen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Winterhalbjahr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die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passive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Solarnutzung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schützen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Sommer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vor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Überhitzung.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guter</w:t>
      </w:r>
      <w:r>
        <w:rPr>
          <w:rFonts w:ascii="Theinhardt Bold" w:hAnsi="Theinhardt Bold" w:cs="Theinhardt Bold" w:eastAsia="Theinhardt Bold"/>
          <w:b/>
          <w:bCs/>
          <w:color w:val="231F20"/>
          <w:spacing w:val="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Wärmedäm-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mung,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Erdsonden-Wärmepumpe,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Komfortlüftungsanlage,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A++-Haushaltsgeräten,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91%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LED-Lampen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ansprechenden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Solararchitektur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benötigt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Verwaltungsneubau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24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Mitarbeiter/innen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insgesamt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bloss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12’600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PlusEnergie-Verwaltungsbau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Cavigelli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Ingenieure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AG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eine Eigenenergieversorgung von 238% auf.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z w:val="40"/>
        </w:rPr>
        <w:t>238%-PEB Cavigelli Ingenieure, 7130 Ilanz/Glion (GR)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 w:firstLine="0"/>
        <w:jc w:val="both"/>
      </w:pPr>
      <w:r>
        <w:rPr>
          <w:color w:val="231F20"/>
        </w:rPr>
        <w:t>Das</w:t>
      </w:r>
      <w:r>
        <w:rPr>
          <w:color w:val="231F20"/>
          <w:spacing w:val="26"/>
        </w:rPr>
        <w:t> </w:t>
      </w:r>
      <w:r>
        <w:rPr>
          <w:color w:val="231F20"/>
        </w:rPr>
        <w:t>moderne</w:t>
      </w:r>
      <w:r>
        <w:rPr>
          <w:color w:val="231F20"/>
          <w:spacing w:val="27"/>
        </w:rPr>
        <w:t> </w:t>
      </w:r>
      <w:r>
        <w:rPr>
          <w:color w:val="231F20"/>
        </w:rPr>
        <w:t>dreistöckige</w:t>
      </w:r>
      <w:r>
        <w:rPr>
          <w:color w:val="231F20"/>
          <w:spacing w:val="26"/>
        </w:rPr>
        <w:t> </w:t>
      </w:r>
      <w:r>
        <w:rPr>
          <w:color w:val="231F20"/>
        </w:rPr>
        <w:t>Bürogebäude</w:t>
      </w:r>
      <w:r>
        <w:rPr>
          <w:color w:val="231F20"/>
        </w:rPr>
        <w:t> der</w:t>
      </w:r>
      <w:r>
        <w:rPr>
          <w:color w:val="231F20"/>
          <w:spacing w:val="27"/>
        </w:rPr>
        <w:t> </w:t>
      </w:r>
      <w:r>
        <w:rPr>
          <w:color w:val="231F20"/>
        </w:rPr>
        <w:t>Firma</w:t>
      </w:r>
      <w:r>
        <w:rPr>
          <w:color w:val="231F20"/>
          <w:spacing w:val="28"/>
        </w:rPr>
        <w:t> </w:t>
      </w:r>
      <w:r>
        <w:rPr>
          <w:color w:val="231F20"/>
        </w:rPr>
        <w:t>Cavigelli</w:t>
      </w:r>
      <w:r>
        <w:rPr>
          <w:color w:val="231F20"/>
          <w:spacing w:val="27"/>
        </w:rPr>
        <w:t> </w:t>
      </w:r>
      <w:r>
        <w:rPr>
          <w:color w:val="231F20"/>
        </w:rPr>
        <w:t>Ingenieure</w:t>
      </w:r>
      <w:r>
        <w:rPr>
          <w:color w:val="231F20"/>
          <w:spacing w:val="28"/>
        </w:rPr>
        <w:t> </w:t>
      </w:r>
      <w:r>
        <w:rPr>
          <w:color w:val="231F20"/>
        </w:rPr>
        <w:t>AG</w:t>
      </w:r>
      <w:r>
        <w:rPr>
          <w:color w:val="231F20"/>
          <w:spacing w:val="28"/>
        </w:rPr>
        <w:t> </w:t>
      </w:r>
      <w:r>
        <w:rPr>
          <w:color w:val="231F20"/>
        </w:rPr>
        <w:t>in</w:t>
      </w:r>
      <w:r>
        <w:rPr>
          <w:color w:val="231F20"/>
          <w:spacing w:val="27"/>
        </w:rPr>
        <w:t> </w:t>
      </w:r>
      <w:r>
        <w:rPr>
          <w:color w:val="231F20"/>
        </w:rPr>
        <w:t>Ilanz</w:t>
      </w:r>
      <w:r>
        <w:rPr>
          <w:color w:val="231F20"/>
        </w:rPr>
        <w:t> wird</w:t>
      </w:r>
      <w:r>
        <w:rPr>
          <w:color w:val="231F20"/>
          <w:spacing w:val="33"/>
        </w:rPr>
        <w:t> </w:t>
      </w:r>
      <w:r>
        <w:rPr>
          <w:color w:val="231F20"/>
        </w:rPr>
        <w:t>seinem</w:t>
      </w:r>
      <w:r>
        <w:rPr>
          <w:color w:val="231F20"/>
          <w:spacing w:val="34"/>
        </w:rPr>
        <w:t> </w:t>
      </w:r>
      <w:r>
        <w:rPr>
          <w:color w:val="231F20"/>
        </w:rPr>
        <w:t>Namen</w:t>
      </w:r>
      <w:r>
        <w:rPr>
          <w:color w:val="231F20"/>
          <w:spacing w:val="33"/>
        </w:rPr>
        <w:t> </w:t>
      </w:r>
      <w:r>
        <w:rPr>
          <w:color w:val="231F20"/>
        </w:rPr>
        <w:t>gerecht:</w:t>
      </w:r>
      <w:r>
        <w:rPr>
          <w:color w:val="231F20"/>
          <w:spacing w:val="34"/>
        </w:rPr>
        <w:t> </w:t>
      </w:r>
      <w:r>
        <w:rPr>
          <w:color w:val="231F20"/>
        </w:rPr>
        <w:t>Der</w:t>
      </w:r>
      <w:r>
        <w:rPr>
          <w:color w:val="231F20"/>
          <w:spacing w:val="34"/>
        </w:rPr>
        <w:t> </w:t>
      </w:r>
      <w:r>
        <w:rPr>
          <w:color w:val="231F20"/>
        </w:rPr>
        <w:t>«Mono-</w:t>
      </w:r>
      <w:r>
        <w:rPr>
          <w:color w:val="231F20"/>
        </w:rPr>
        <w:t> lith»</w:t>
      </w:r>
      <w:r>
        <w:rPr>
          <w:color w:val="231F20"/>
          <w:spacing w:val="31"/>
        </w:rPr>
        <w:t> </w:t>
      </w:r>
      <w:r>
        <w:rPr>
          <w:color w:val="231F20"/>
        </w:rPr>
        <w:t>besticht</w:t>
      </w:r>
      <w:r>
        <w:rPr>
          <w:color w:val="231F20"/>
          <w:spacing w:val="32"/>
        </w:rPr>
        <w:t> </w:t>
      </w:r>
      <w:r>
        <w:rPr>
          <w:color w:val="231F20"/>
        </w:rPr>
        <w:t>durch</w:t>
      </w:r>
      <w:r>
        <w:rPr>
          <w:color w:val="231F20"/>
          <w:spacing w:val="31"/>
        </w:rPr>
        <w:t> </w:t>
      </w:r>
      <w:r>
        <w:rPr>
          <w:color w:val="231F20"/>
        </w:rPr>
        <w:t>seine</w:t>
      </w:r>
      <w:r>
        <w:rPr>
          <w:color w:val="231F20"/>
          <w:spacing w:val="32"/>
        </w:rPr>
        <w:t> </w:t>
      </w:r>
      <w:r>
        <w:rPr>
          <w:color w:val="231F20"/>
        </w:rPr>
        <w:t>Grösse</w:t>
      </w:r>
      <w:r>
        <w:rPr>
          <w:color w:val="231F20"/>
          <w:spacing w:val="32"/>
        </w:rPr>
        <w:t> </w:t>
      </w:r>
      <w:r>
        <w:rPr>
          <w:color w:val="231F20"/>
        </w:rPr>
        <w:t>und</w:t>
      </w:r>
      <w:r>
        <w:rPr>
          <w:color w:val="231F20"/>
          <w:spacing w:val="31"/>
        </w:rPr>
        <w:t> </w:t>
      </w:r>
      <w:r>
        <w:rPr>
          <w:color w:val="231F20"/>
        </w:rPr>
        <w:t>die</w:t>
      </w:r>
      <w:r>
        <w:rPr>
          <w:color w:val="231F20"/>
        </w:rPr>
        <w:t> klar</w:t>
      </w:r>
      <w:r>
        <w:rPr>
          <w:color w:val="231F20"/>
          <w:spacing w:val="13"/>
        </w:rPr>
        <w:t> </w:t>
      </w:r>
      <w:r>
        <w:rPr>
          <w:color w:val="231F20"/>
        </w:rPr>
        <w:t>definierte</w:t>
      </w:r>
      <w:r>
        <w:rPr>
          <w:color w:val="231F20"/>
          <w:spacing w:val="13"/>
        </w:rPr>
        <w:t> </w:t>
      </w:r>
      <w:r>
        <w:rPr>
          <w:color w:val="231F20"/>
        </w:rPr>
        <w:t>Formsprache.</w:t>
      </w:r>
      <w:r>
        <w:rPr>
          <w:color w:val="231F20"/>
          <w:spacing w:val="13"/>
        </w:rPr>
        <w:t> </w:t>
      </w:r>
      <w:r>
        <w:rPr>
          <w:color w:val="231F20"/>
        </w:rPr>
        <w:t>Die</w:t>
      </w:r>
      <w:r>
        <w:rPr>
          <w:color w:val="231F20"/>
          <w:spacing w:val="13"/>
        </w:rPr>
        <w:t> </w:t>
      </w:r>
      <w:r>
        <w:rPr>
          <w:color w:val="231F20"/>
        </w:rPr>
        <w:t>Firma</w:t>
      </w:r>
      <w:r>
        <w:rPr>
          <w:color w:val="231F20"/>
          <w:spacing w:val="13"/>
        </w:rPr>
        <w:t> </w:t>
      </w:r>
      <w:r>
        <w:rPr>
          <w:color w:val="231F20"/>
        </w:rPr>
        <w:t>Ca-</w:t>
      </w:r>
      <w:r>
        <w:rPr>
          <w:color w:val="231F20"/>
        </w:rPr>
        <w:t> vigelli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Ingenieure</w:t>
      </w:r>
      <w:r>
        <w:rPr>
          <w:color w:val="231F20"/>
          <w:spacing w:val="42"/>
        </w:rPr>
        <w:t> </w:t>
      </w:r>
      <w:r>
        <w:rPr>
          <w:color w:val="231F20"/>
        </w:rPr>
        <w:t>AG</w:t>
      </w:r>
      <w:r>
        <w:rPr>
          <w:color w:val="231F20"/>
          <w:spacing w:val="41"/>
        </w:rPr>
        <w:t> </w:t>
      </w:r>
      <w:r>
        <w:rPr>
          <w:color w:val="231F20"/>
        </w:rPr>
        <w:t>setzt</w:t>
      </w:r>
      <w:r>
        <w:rPr>
          <w:color w:val="231F20"/>
          <w:spacing w:val="42"/>
        </w:rPr>
        <w:t> </w:t>
      </w:r>
      <w:r>
        <w:rPr>
          <w:color w:val="231F20"/>
        </w:rPr>
        <w:t>mit</w:t>
      </w:r>
      <w:r>
        <w:rPr>
          <w:color w:val="231F20"/>
          <w:spacing w:val="42"/>
        </w:rPr>
        <w:t> </w:t>
      </w:r>
      <w:r>
        <w:rPr>
          <w:color w:val="231F20"/>
        </w:rPr>
        <w:t>diesem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238%-Plus-Energie-Verwaltungsbau</w:t>
      </w:r>
      <w:r>
        <w:rPr>
          <w:color w:val="231F20"/>
          <w:spacing w:val="-14"/>
        </w:rPr>
        <w:t> </w:t>
      </w:r>
      <w:r>
        <w:rPr>
          <w:color w:val="231F20"/>
        </w:rPr>
        <w:t>ein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Zei-</w:t>
      </w:r>
      <w:r>
        <w:rPr>
          <w:color w:val="231F20"/>
          <w:spacing w:val="27"/>
        </w:rPr>
        <w:t> </w:t>
      </w:r>
      <w:r>
        <w:rPr>
          <w:color w:val="231F20"/>
        </w:rPr>
        <w:t>chen</w:t>
      </w:r>
      <w:r>
        <w:rPr>
          <w:color w:val="231F20"/>
          <w:spacing w:val="7"/>
        </w:rPr>
        <w:t> </w:t>
      </w:r>
      <w:r>
        <w:rPr>
          <w:color w:val="231F20"/>
        </w:rPr>
        <w:t>als</w:t>
      </w:r>
      <w:r>
        <w:rPr>
          <w:color w:val="231F20"/>
          <w:spacing w:val="7"/>
        </w:rPr>
        <w:t> </w:t>
      </w:r>
      <w:r>
        <w:rPr>
          <w:color w:val="231F20"/>
        </w:rPr>
        <w:t>innovative</w:t>
      </w:r>
      <w:r>
        <w:rPr>
          <w:color w:val="231F20"/>
          <w:spacing w:val="7"/>
        </w:rPr>
        <w:t> </w:t>
      </w:r>
      <w:r>
        <w:rPr>
          <w:color w:val="231F20"/>
        </w:rPr>
        <w:t>und</w:t>
      </w:r>
      <w:r>
        <w:rPr>
          <w:color w:val="231F20"/>
          <w:spacing w:val="7"/>
        </w:rPr>
        <w:t> </w:t>
      </w:r>
      <w:r>
        <w:rPr>
          <w:color w:val="231F20"/>
        </w:rPr>
        <w:t>attraktive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Arbeitge-</w:t>
      </w:r>
      <w:r>
        <w:rPr>
          <w:color w:val="231F20"/>
          <w:spacing w:val="28"/>
        </w:rPr>
        <w:t> </w:t>
      </w:r>
      <w:r>
        <w:rPr>
          <w:color w:val="231F20"/>
        </w:rPr>
        <w:t>berin.</w:t>
      </w:r>
      <w:r>
        <w:rPr>
          <w:color w:val="231F20"/>
          <w:spacing w:val="26"/>
        </w:rPr>
        <w:t> </w:t>
      </w:r>
      <w:r>
        <w:rPr>
          <w:color w:val="231F20"/>
        </w:rPr>
        <w:t>Die</w:t>
      </w:r>
      <w:r>
        <w:rPr>
          <w:color w:val="231F20"/>
          <w:spacing w:val="27"/>
        </w:rPr>
        <w:t> </w:t>
      </w:r>
      <w:r>
        <w:rPr>
          <w:color w:val="231F20"/>
        </w:rPr>
        <w:t>24</w:t>
      </w:r>
      <w:r>
        <w:rPr>
          <w:color w:val="231F20"/>
          <w:spacing w:val="26"/>
        </w:rPr>
        <w:t> </w:t>
      </w:r>
      <w:r>
        <w:rPr>
          <w:color w:val="231F20"/>
        </w:rPr>
        <w:t>Mitarbeiter/innen</w:t>
      </w:r>
      <w:r>
        <w:rPr>
          <w:color w:val="231F20"/>
          <w:spacing w:val="27"/>
        </w:rPr>
        <w:t> </w:t>
      </w:r>
      <w:r>
        <w:rPr>
          <w:color w:val="231F20"/>
        </w:rPr>
        <w:t>profitieren</w:t>
      </w:r>
      <w:r>
        <w:rPr>
          <w:color w:val="231F20"/>
        </w:rPr>
        <w:t> von</w:t>
      </w:r>
      <w:r>
        <w:rPr>
          <w:color w:val="231F20"/>
          <w:spacing w:val="16"/>
        </w:rPr>
        <w:t> </w:t>
      </w:r>
      <w:r>
        <w:rPr>
          <w:color w:val="231F20"/>
        </w:rPr>
        <w:t>angenehmen,</w:t>
      </w:r>
      <w:r>
        <w:rPr>
          <w:color w:val="231F20"/>
          <w:spacing w:val="16"/>
        </w:rPr>
        <w:t> </w:t>
      </w:r>
      <w:r>
        <w:rPr>
          <w:color w:val="231F20"/>
        </w:rPr>
        <w:t>energieeffizienten</w:t>
      </w:r>
      <w:r>
        <w:rPr>
          <w:color w:val="231F20"/>
          <w:spacing w:val="16"/>
        </w:rPr>
        <w:t> </w:t>
      </w:r>
      <w:r>
        <w:rPr>
          <w:color w:val="231F20"/>
        </w:rPr>
        <w:t>und</w:t>
      </w:r>
      <w:r>
        <w:rPr>
          <w:color w:val="231F20"/>
        </w:rPr>
        <w:t> ökologiegerechten Büroräumlichkeiten.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Nicht</w:t>
      </w:r>
      <w:r>
        <w:rPr>
          <w:color w:val="231F20"/>
          <w:spacing w:val="10"/>
        </w:rPr>
        <w:t> </w:t>
      </w:r>
      <w:r>
        <w:rPr>
          <w:color w:val="231F20"/>
        </w:rPr>
        <w:t>nur</w:t>
      </w:r>
      <w:r>
        <w:rPr>
          <w:color w:val="231F20"/>
          <w:spacing w:val="10"/>
        </w:rPr>
        <w:t> </w:t>
      </w:r>
      <w:r>
        <w:rPr>
          <w:color w:val="231F20"/>
        </w:rPr>
        <w:t>architektonisch,</w:t>
      </w:r>
      <w:r>
        <w:rPr>
          <w:color w:val="231F20"/>
          <w:spacing w:val="10"/>
        </w:rPr>
        <w:t> </w:t>
      </w:r>
      <w:r>
        <w:rPr>
          <w:color w:val="231F20"/>
        </w:rPr>
        <w:t>sondern</w:t>
      </w:r>
      <w:r>
        <w:rPr>
          <w:color w:val="231F20"/>
          <w:spacing w:val="10"/>
        </w:rPr>
        <w:t> </w:t>
      </w:r>
      <w:r>
        <w:rPr>
          <w:color w:val="231F20"/>
        </w:rPr>
        <w:t>auch</w:t>
      </w:r>
      <w:r>
        <w:rPr>
          <w:color w:val="231F20"/>
        </w:rPr>
        <w:t> technisch</w:t>
      </w:r>
      <w:r>
        <w:rPr>
          <w:color w:val="231F20"/>
          <w:spacing w:val="16"/>
        </w:rPr>
        <w:t> </w:t>
      </w:r>
      <w:r>
        <w:rPr>
          <w:color w:val="231F20"/>
        </w:rPr>
        <w:t>überzeugt</w:t>
      </w:r>
      <w:r>
        <w:rPr>
          <w:color w:val="231F20"/>
          <w:spacing w:val="16"/>
        </w:rPr>
        <w:t> </w:t>
      </w:r>
      <w:r>
        <w:rPr>
          <w:color w:val="231F20"/>
        </w:rPr>
        <w:t>das</w:t>
      </w:r>
      <w:r>
        <w:rPr>
          <w:color w:val="231F20"/>
          <w:spacing w:val="16"/>
        </w:rPr>
        <w:t> </w:t>
      </w:r>
      <w:r>
        <w:rPr>
          <w:color w:val="231F20"/>
        </w:rPr>
        <w:t>Konzept.</w:t>
      </w:r>
      <w:r>
        <w:rPr>
          <w:color w:val="231F20"/>
          <w:spacing w:val="16"/>
        </w:rPr>
        <w:t> </w:t>
      </w:r>
      <w:r>
        <w:rPr>
          <w:color w:val="231F20"/>
        </w:rPr>
        <w:t>Die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vor-</w:t>
      </w:r>
      <w:r>
        <w:rPr>
          <w:color w:val="231F20"/>
          <w:spacing w:val="23"/>
        </w:rPr>
        <w:t> </w:t>
      </w:r>
      <w:r>
        <w:rPr>
          <w:color w:val="231F20"/>
        </w:rPr>
        <w:t>bildlich</w:t>
      </w:r>
      <w:r>
        <w:rPr>
          <w:color w:val="231F20"/>
          <w:spacing w:val="-13"/>
        </w:rPr>
        <w:t> </w:t>
      </w:r>
      <w:r>
        <w:rPr>
          <w:color w:val="231F20"/>
        </w:rPr>
        <w:t>vollflächige</w:t>
      </w:r>
      <w:r>
        <w:rPr>
          <w:color w:val="231F20"/>
          <w:spacing w:val="-13"/>
        </w:rPr>
        <w:t> </w:t>
      </w:r>
      <w:r>
        <w:rPr>
          <w:color w:val="231F20"/>
        </w:rPr>
        <w:t>28.6</w:t>
      </w:r>
      <w:r>
        <w:rPr>
          <w:color w:val="231F20"/>
          <w:spacing w:val="-13"/>
        </w:rPr>
        <w:t> </w:t>
      </w:r>
      <w:r>
        <w:rPr>
          <w:color w:val="231F20"/>
        </w:rPr>
        <w:t>kW</w:t>
      </w:r>
      <w:r>
        <w:rPr>
          <w:color w:val="231F20"/>
          <w:spacing w:val="-13"/>
        </w:rPr>
        <w:t> </w:t>
      </w:r>
      <w:r>
        <w:rPr>
          <w:color w:val="231F20"/>
        </w:rPr>
        <w:t>starke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PV-Anla-</w:t>
      </w:r>
      <w:r>
        <w:rPr>
          <w:color w:val="231F20"/>
          <w:spacing w:val="27"/>
        </w:rPr>
        <w:t> </w:t>
      </w:r>
      <w:r>
        <w:rPr>
          <w:color w:val="231F20"/>
        </w:rPr>
        <w:t>ge</w:t>
      </w:r>
      <w:r>
        <w:rPr>
          <w:color w:val="231F20"/>
          <w:spacing w:val="35"/>
        </w:rPr>
        <w:t> </w:t>
      </w:r>
      <w:r>
        <w:rPr>
          <w:color w:val="231F20"/>
        </w:rPr>
        <w:t>nutzt</w:t>
      </w:r>
      <w:r>
        <w:rPr>
          <w:color w:val="231F20"/>
          <w:spacing w:val="36"/>
        </w:rPr>
        <w:t> </w:t>
      </w:r>
      <w:r>
        <w:rPr>
          <w:color w:val="231F20"/>
        </w:rPr>
        <w:t>das</w:t>
      </w:r>
      <w:r>
        <w:rPr>
          <w:color w:val="231F20"/>
          <w:spacing w:val="35"/>
        </w:rPr>
        <w:t> </w:t>
      </w:r>
      <w:r>
        <w:rPr>
          <w:color w:val="231F20"/>
        </w:rPr>
        <w:t>ganze</w:t>
      </w:r>
      <w:r>
        <w:rPr>
          <w:color w:val="231F20"/>
          <w:spacing w:val="36"/>
        </w:rPr>
        <w:t> </w:t>
      </w:r>
      <w:r>
        <w:rPr>
          <w:color w:val="231F20"/>
        </w:rPr>
        <w:t>Flachdach,</w:t>
      </w:r>
      <w:r>
        <w:rPr>
          <w:color w:val="231F20"/>
          <w:spacing w:val="36"/>
        </w:rPr>
        <w:t> </w:t>
      </w:r>
      <w:r>
        <w:rPr>
          <w:color w:val="231F20"/>
        </w:rPr>
        <w:t>produziert</w:t>
      </w:r>
      <w:r>
        <w:rPr>
          <w:color w:val="231F20"/>
        </w:rPr>
        <w:t> jährlich</w:t>
      </w:r>
      <w:r>
        <w:rPr>
          <w:color w:val="231F20"/>
          <w:spacing w:val="43"/>
        </w:rPr>
        <w:t> </w:t>
      </w:r>
      <w:r>
        <w:rPr>
          <w:color w:val="231F20"/>
        </w:rPr>
        <w:t>fast</w:t>
      </w:r>
      <w:r>
        <w:rPr>
          <w:color w:val="231F20"/>
          <w:spacing w:val="44"/>
        </w:rPr>
        <w:t> </w:t>
      </w:r>
      <w:r>
        <w:rPr>
          <w:color w:val="231F20"/>
        </w:rPr>
        <w:t>30’000</w:t>
      </w:r>
      <w:r>
        <w:rPr>
          <w:color w:val="231F20"/>
          <w:spacing w:val="43"/>
        </w:rPr>
        <w:t> </w:t>
      </w:r>
      <w:r>
        <w:rPr>
          <w:color w:val="231F20"/>
        </w:rPr>
        <w:t>kWh</w:t>
      </w:r>
      <w:r>
        <w:rPr>
          <w:color w:val="231F20"/>
          <w:spacing w:val="44"/>
        </w:rPr>
        <w:t> </w:t>
      </w:r>
      <w:r>
        <w:rPr>
          <w:color w:val="231F20"/>
        </w:rPr>
        <w:t>Solarstrom</w:t>
      </w:r>
      <w:r>
        <w:rPr>
          <w:color w:val="231F20"/>
          <w:spacing w:val="44"/>
        </w:rPr>
        <w:t> </w:t>
      </w:r>
      <w:r>
        <w:rPr>
          <w:color w:val="231F20"/>
        </w:rPr>
        <w:t>und</w:t>
      </w:r>
      <w:r>
        <w:rPr>
          <w:color w:val="231F20"/>
        </w:rPr>
        <w:t> deckt</w:t>
      </w:r>
      <w:r>
        <w:rPr>
          <w:color w:val="231F20"/>
          <w:spacing w:val="24"/>
        </w:rPr>
        <w:t> </w:t>
      </w:r>
      <w:r>
        <w:rPr>
          <w:color w:val="231F20"/>
        </w:rPr>
        <w:t>damit</w:t>
      </w:r>
      <w:r>
        <w:rPr>
          <w:color w:val="231F20"/>
          <w:spacing w:val="25"/>
        </w:rPr>
        <w:t> </w:t>
      </w:r>
      <w:r>
        <w:rPr>
          <w:color w:val="231F20"/>
        </w:rPr>
        <w:t>238%</w:t>
      </w:r>
      <w:r>
        <w:rPr>
          <w:color w:val="231F20"/>
          <w:spacing w:val="24"/>
        </w:rPr>
        <w:t> </w:t>
      </w:r>
      <w:r>
        <w:rPr>
          <w:color w:val="231F20"/>
        </w:rPr>
        <w:t>des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Gesamtenergiebe-</w:t>
      </w:r>
      <w:r>
        <w:rPr>
          <w:color w:val="231F20"/>
          <w:spacing w:val="30"/>
        </w:rPr>
        <w:t> </w:t>
      </w:r>
      <w:r>
        <w:rPr>
          <w:color w:val="231F20"/>
        </w:rPr>
        <w:t>darfs.</w:t>
      </w:r>
      <w:r>
        <w:rPr>
          <w:color w:val="231F20"/>
          <w:spacing w:val="21"/>
        </w:rPr>
        <w:t> </w:t>
      </w:r>
      <w:r>
        <w:rPr>
          <w:color w:val="231F20"/>
        </w:rPr>
        <w:t>Die</w:t>
      </w:r>
      <w:r>
        <w:rPr>
          <w:color w:val="231F20"/>
          <w:spacing w:val="21"/>
        </w:rPr>
        <w:t> </w:t>
      </w:r>
      <w:r>
        <w:rPr>
          <w:color w:val="231F20"/>
        </w:rPr>
        <w:t>175</w:t>
      </w:r>
      <w:r>
        <w:rPr>
          <w:color w:val="231F20"/>
          <w:spacing w:val="22"/>
        </w:rPr>
        <w:t> </w:t>
      </w:r>
      <w:r>
        <w:rPr>
          <w:color w:val="231F20"/>
        </w:rPr>
        <w:t>m</w:t>
      </w:r>
      <w:r>
        <w:rPr>
          <w:color w:val="231F20"/>
          <w:position w:val="6"/>
          <w:sz w:val="10"/>
          <w:szCs w:val="10"/>
        </w:rPr>
        <w:t>2</w:t>
      </w:r>
      <w:r>
        <w:rPr>
          <w:color w:val="231F20"/>
          <w:spacing w:val="16"/>
          <w:position w:val="6"/>
          <w:sz w:val="10"/>
          <w:szCs w:val="10"/>
        </w:rPr>
        <w:t> </w:t>
      </w:r>
      <w:r>
        <w:rPr>
          <w:color w:val="231F20"/>
        </w:rPr>
        <w:t>grosse</w:t>
      </w:r>
      <w:r>
        <w:rPr>
          <w:color w:val="231F20"/>
          <w:spacing w:val="21"/>
        </w:rPr>
        <w:t> </w:t>
      </w:r>
      <w:r>
        <w:rPr>
          <w:color w:val="231F20"/>
        </w:rPr>
        <w:t>PV-Anlage</w:t>
      </w:r>
      <w:r>
        <w:rPr>
          <w:color w:val="231F20"/>
          <w:spacing w:val="22"/>
        </w:rPr>
        <w:t> </w:t>
      </w:r>
      <w:r>
        <w:rPr>
          <w:color w:val="231F20"/>
        </w:rPr>
        <w:t>ist</w:t>
      </w:r>
      <w:r>
        <w:rPr>
          <w:color w:val="231F20"/>
          <w:spacing w:val="21"/>
        </w:rPr>
        <w:t> </w:t>
      </w:r>
      <w:r>
        <w:rPr>
          <w:color w:val="231F20"/>
        </w:rPr>
        <w:t>in</w:t>
      </w:r>
      <w:r>
        <w:rPr>
          <w:color w:val="231F20"/>
        </w:rPr>
        <w:t> Ost-West-Richtung</w:t>
      </w:r>
      <w:r>
        <w:rPr>
          <w:color w:val="231F20"/>
          <w:spacing w:val="42"/>
        </w:rPr>
        <w:t> </w:t>
      </w:r>
      <w:r>
        <w:rPr>
          <w:color w:val="231F20"/>
        </w:rPr>
        <w:t>dergestalt</w:t>
      </w:r>
      <w:r>
        <w:rPr>
          <w:color w:val="231F20"/>
          <w:spacing w:val="43"/>
        </w:rPr>
        <w:t> </w:t>
      </w:r>
      <w:r>
        <w:rPr>
          <w:color w:val="231F20"/>
        </w:rPr>
        <w:t>integriert,</w:t>
      </w:r>
      <w:r>
        <w:rPr>
          <w:color w:val="231F20"/>
        </w:rPr>
        <w:t> dass leichter Schneefall jeweils abrutscht.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4.268097pt;margin-top:169.238052pt;width:3.1pt;height:5.25pt;mso-position-horizontal-relative:page;mso-position-vertical-relative:paragraph;z-index:-6184" type="#_x0000_t202" filled="false" stroked="false">
            <v:textbox inset="0,0,0,0">
              <w:txbxContent>
                <w:p>
                  <w:pPr>
                    <w:spacing w:line="105" w:lineRule="exact" w:before="0"/>
                    <w:ind w:left="0" w:right="0" w:firstLine="0"/>
                    <w:jc w:val="left"/>
                    <w:rPr>
                      <w:rFonts w:ascii="Theinhardt Regular" w:hAnsi="Theinhardt Regular" w:cs="Theinhardt Regular" w:eastAsia="Theinhardt Regular"/>
                      <w:sz w:val="10"/>
                      <w:szCs w:val="10"/>
                    </w:rPr>
                  </w:pPr>
                  <w:r>
                    <w:rPr>
                      <w:rFonts w:ascii="Theinhardt Regular"/>
                      <w:color w:val="231F20"/>
                      <w:w w:val="105"/>
                      <w:sz w:val="10"/>
                    </w:rPr>
                    <w:t>2</w:t>
                  </w:r>
                  <w:r>
                    <w:rPr>
                      <w:rFonts w:ascii="Theinhardt Regular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Die</w:t>
      </w:r>
      <w:r>
        <w:rPr>
          <w:color w:val="231F20"/>
          <w:spacing w:val="8"/>
        </w:rPr>
        <w:t> </w:t>
      </w:r>
      <w:r>
        <w:rPr>
          <w:color w:val="231F20"/>
        </w:rPr>
        <w:t>Wärmedämmung</w:t>
      </w:r>
      <w:r>
        <w:rPr>
          <w:color w:val="231F20"/>
          <w:spacing w:val="8"/>
        </w:rPr>
        <w:t> </w:t>
      </w:r>
      <w:r>
        <w:rPr>
          <w:color w:val="231F20"/>
        </w:rPr>
        <w:t>und</w:t>
      </w:r>
      <w:r>
        <w:rPr>
          <w:color w:val="231F20"/>
          <w:spacing w:val="8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Dämmbe-</w:t>
      </w:r>
      <w:r>
        <w:rPr>
          <w:color w:val="231F20"/>
          <w:spacing w:val="26"/>
        </w:rPr>
        <w:t> </w:t>
      </w:r>
      <w:r>
        <w:rPr>
          <w:color w:val="231F20"/>
        </w:rPr>
        <w:t>ton</w:t>
      </w:r>
      <w:r>
        <w:rPr>
          <w:color w:val="231F20"/>
          <w:spacing w:val="13"/>
        </w:rPr>
        <w:t> </w:t>
      </w:r>
      <w:r>
        <w:rPr>
          <w:color w:val="231F20"/>
        </w:rPr>
        <w:t>führen</w:t>
      </w:r>
      <w:r>
        <w:rPr>
          <w:color w:val="231F20"/>
          <w:spacing w:val="13"/>
        </w:rPr>
        <w:t> </w:t>
      </w:r>
      <w:r>
        <w:rPr>
          <w:color w:val="231F20"/>
        </w:rPr>
        <w:t>zu</w:t>
      </w:r>
      <w:r>
        <w:rPr>
          <w:color w:val="231F20"/>
          <w:spacing w:val="13"/>
        </w:rPr>
        <w:t> </w:t>
      </w:r>
      <w:r>
        <w:rPr>
          <w:color w:val="231F20"/>
        </w:rPr>
        <w:t>niedrigen</w:t>
      </w:r>
      <w:r>
        <w:rPr>
          <w:color w:val="231F20"/>
          <w:spacing w:val="13"/>
        </w:rPr>
        <w:t> </w:t>
      </w:r>
      <w:r>
        <w:rPr>
          <w:color w:val="231F20"/>
        </w:rPr>
        <w:t>U-Werten.</w:t>
      </w:r>
      <w:r>
        <w:rPr>
          <w:color w:val="231F20"/>
          <w:spacing w:val="13"/>
        </w:rPr>
        <w:t> </w:t>
      </w:r>
      <w:r>
        <w:rPr>
          <w:color w:val="231F20"/>
        </w:rPr>
        <w:t>Die</w:t>
      </w:r>
      <w:r>
        <w:rPr>
          <w:color w:val="231F20"/>
          <w:spacing w:val="13"/>
        </w:rPr>
        <w:t> </w:t>
      </w:r>
      <w:r>
        <w:rPr>
          <w:color w:val="231F20"/>
        </w:rPr>
        <w:t>ele-</w:t>
      </w:r>
      <w:r>
        <w:rPr>
          <w:color w:val="231F20"/>
        </w:rPr>
        <w:t> gant</w:t>
      </w:r>
      <w:r>
        <w:rPr>
          <w:color w:val="231F20"/>
          <w:spacing w:val="23"/>
        </w:rPr>
        <w:t> </w:t>
      </w:r>
      <w:r>
        <w:rPr>
          <w:color w:val="231F20"/>
        </w:rPr>
        <w:t>konzipierten</w:t>
      </w:r>
      <w:r>
        <w:rPr>
          <w:color w:val="231F20"/>
          <w:spacing w:val="23"/>
        </w:rPr>
        <w:t> </w:t>
      </w:r>
      <w:r>
        <w:rPr>
          <w:color w:val="231F20"/>
        </w:rPr>
        <w:t>Lärchenholz-Lamellen</w:t>
      </w:r>
      <w:r>
        <w:rPr>
          <w:color w:val="231F20"/>
        </w:rPr>
        <w:t> schützen</w:t>
      </w:r>
      <w:r>
        <w:rPr>
          <w:color w:val="231F20"/>
          <w:spacing w:val="22"/>
        </w:rPr>
        <w:t> </w:t>
      </w:r>
      <w:r>
        <w:rPr>
          <w:color w:val="231F20"/>
        </w:rPr>
        <w:t>im</w:t>
      </w:r>
      <w:r>
        <w:rPr>
          <w:color w:val="231F20"/>
          <w:spacing w:val="22"/>
        </w:rPr>
        <w:t> </w:t>
      </w:r>
      <w:r>
        <w:rPr>
          <w:color w:val="231F20"/>
        </w:rPr>
        <w:t>Sommer</w:t>
      </w:r>
      <w:r>
        <w:rPr>
          <w:color w:val="231F20"/>
          <w:spacing w:val="22"/>
        </w:rPr>
        <w:t> </w:t>
      </w:r>
      <w:r>
        <w:rPr>
          <w:color w:val="231F20"/>
        </w:rPr>
        <w:t>vor</w:t>
      </w:r>
      <w:r>
        <w:rPr>
          <w:color w:val="231F20"/>
          <w:spacing w:val="22"/>
        </w:rPr>
        <w:t> </w:t>
      </w:r>
      <w:r>
        <w:rPr>
          <w:color w:val="231F20"/>
        </w:rPr>
        <w:t>Überhitzung</w:t>
      </w:r>
      <w:r>
        <w:rPr>
          <w:color w:val="231F20"/>
          <w:spacing w:val="22"/>
        </w:rPr>
        <w:t> </w:t>
      </w:r>
      <w:r>
        <w:rPr>
          <w:color w:val="231F20"/>
        </w:rPr>
        <w:t>und</w:t>
      </w:r>
      <w:r>
        <w:rPr>
          <w:color w:val="231F20"/>
        </w:rPr>
        <w:t> sichern</w:t>
      </w:r>
      <w:r>
        <w:rPr>
          <w:color w:val="231F20"/>
          <w:spacing w:val="-7"/>
        </w:rPr>
        <w:t> </w:t>
      </w:r>
      <w:r>
        <w:rPr>
          <w:color w:val="231F20"/>
        </w:rPr>
        <w:t>im</w:t>
      </w:r>
      <w:r>
        <w:rPr>
          <w:color w:val="231F20"/>
          <w:spacing w:val="-7"/>
        </w:rPr>
        <w:t> </w:t>
      </w:r>
      <w:r>
        <w:rPr>
          <w:color w:val="231F20"/>
        </w:rPr>
        <w:t>Winterhalbjahr</w:t>
      </w:r>
      <w:r>
        <w:rPr>
          <w:color w:val="231F20"/>
          <w:spacing w:val="-7"/>
        </w:rPr>
        <w:t> </w:t>
      </w:r>
      <w:r>
        <w:rPr>
          <w:color w:val="231F20"/>
        </w:rPr>
        <w:t>die</w:t>
      </w:r>
      <w:r>
        <w:rPr>
          <w:color w:val="231F20"/>
          <w:spacing w:val="-7"/>
        </w:rPr>
        <w:t> </w:t>
      </w:r>
      <w:r>
        <w:rPr>
          <w:color w:val="231F20"/>
        </w:rPr>
        <w:t>passive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Solar-</w:t>
      </w:r>
      <w:r>
        <w:rPr>
          <w:color w:val="231F20"/>
          <w:spacing w:val="25"/>
        </w:rPr>
        <w:t> </w:t>
      </w:r>
      <w:r>
        <w:rPr>
          <w:color w:val="231F20"/>
        </w:rPr>
        <w:t>nutzung.</w:t>
      </w:r>
      <w:r>
        <w:rPr>
          <w:color w:val="231F20"/>
          <w:spacing w:val="19"/>
        </w:rPr>
        <w:t> </w:t>
      </w:r>
      <w:r>
        <w:rPr>
          <w:color w:val="231F20"/>
        </w:rPr>
        <w:t>Eine</w:t>
      </w:r>
      <w:r>
        <w:rPr>
          <w:color w:val="231F20"/>
          <w:spacing w:val="19"/>
        </w:rPr>
        <w:t> </w:t>
      </w:r>
      <w:r>
        <w:rPr>
          <w:color w:val="231F20"/>
        </w:rPr>
        <w:t>Erdsonden-Wärmepumpe</w:t>
      </w:r>
      <w:r>
        <w:rPr>
          <w:color w:val="231F20"/>
        </w:rPr>
        <w:t> versorgt</w:t>
      </w:r>
      <w:r>
        <w:rPr>
          <w:color w:val="231F20"/>
          <w:spacing w:val="33"/>
        </w:rPr>
        <w:t> </w:t>
      </w:r>
      <w:r>
        <w:rPr>
          <w:color w:val="231F20"/>
        </w:rPr>
        <w:t>den</w:t>
      </w:r>
      <w:r>
        <w:rPr>
          <w:color w:val="231F20"/>
          <w:spacing w:val="34"/>
        </w:rPr>
        <w:t> </w:t>
      </w:r>
      <w:r>
        <w:rPr>
          <w:color w:val="231F20"/>
        </w:rPr>
        <w:t>PEB-Vorzeigebau</w:t>
      </w:r>
      <w:r>
        <w:rPr>
          <w:color w:val="231F20"/>
          <w:spacing w:val="33"/>
        </w:rPr>
        <w:t> </w:t>
      </w:r>
      <w:r>
        <w:rPr>
          <w:color w:val="231F20"/>
        </w:rPr>
        <w:t>mit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Warm-</w:t>
      </w:r>
      <w:r>
        <w:rPr>
          <w:color w:val="231F20"/>
          <w:spacing w:val="24"/>
        </w:rPr>
        <w:t> </w:t>
      </w:r>
      <w:r>
        <w:rPr>
          <w:color w:val="231F20"/>
        </w:rPr>
        <w:t>wasser</w:t>
      </w:r>
      <w:r>
        <w:rPr>
          <w:color w:val="231F20"/>
          <w:spacing w:val="6"/>
        </w:rPr>
        <w:t> </w:t>
      </w:r>
      <w:r>
        <w:rPr>
          <w:color w:val="231F20"/>
        </w:rPr>
        <w:t>und</w:t>
      </w:r>
      <w:r>
        <w:rPr>
          <w:color w:val="231F20"/>
          <w:spacing w:val="6"/>
        </w:rPr>
        <w:t> </w:t>
      </w:r>
      <w:r>
        <w:rPr>
          <w:color w:val="231F20"/>
        </w:rPr>
        <w:t>Heizenergie.</w:t>
      </w:r>
      <w:r>
        <w:rPr>
          <w:color w:val="231F20"/>
          <w:spacing w:val="6"/>
        </w:rPr>
        <w:t> </w:t>
      </w:r>
      <w:r>
        <w:rPr>
          <w:color w:val="231F20"/>
        </w:rPr>
        <w:t>Die</w:t>
      </w:r>
      <w:r>
        <w:rPr>
          <w:color w:val="231F20"/>
          <w:spacing w:val="6"/>
        </w:rPr>
        <w:t> </w:t>
      </w:r>
      <w:r>
        <w:rPr>
          <w:color w:val="231F20"/>
        </w:rPr>
        <w:t>Komfortlüf-</w:t>
      </w:r>
      <w:r>
        <w:rPr>
          <w:color w:val="231F20"/>
        </w:rPr>
        <w:t> tung</w:t>
      </w:r>
      <w:r>
        <w:rPr>
          <w:color w:val="231F20"/>
          <w:spacing w:val="14"/>
        </w:rPr>
        <w:t> </w:t>
      </w:r>
      <w:r>
        <w:rPr>
          <w:color w:val="231F20"/>
        </w:rPr>
        <w:t>sorgt</w:t>
      </w:r>
      <w:r>
        <w:rPr>
          <w:color w:val="231F20"/>
          <w:spacing w:val="14"/>
        </w:rPr>
        <w:t> </w:t>
      </w:r>
      <w:r>
        <w:rPr>
          <w:color w:val="231F20"/>
        </w:rPr>
        <w:t>für</w:t>
      </w:r>
      <w:r>
        <w:rPr>
          <w:color w:val="231F20"/>
          <w:spacing w:val="14"/>
        </w:rPr>
        <w:t> </w:t>
      </w:r>
      <w:r>
        <w:rPr>
          <w:color w:val="231F20"/>
        </w:rPr>
        <w:t>frische</w:t>
      </w:r>
      <w:r>
        <w:rPr>
          <w:color w:val="231F20"/>
          <w:spacing w:val="14"/>
        </w:rPr>
        <w:t> </w:t>
      </w:r>
      <w:r>
        <w:rPr>
          <w:color w:val="231F20"/>
        </w:rPr>
        <w:t>Luft.</w:t>
      </w:r>
      <w:r>
        <w:rPr>
          <w:color w:val="231F20"/>
          <w:spacing w:val="14"/>
        </w:rPr>
        <w:t> </w:t>
      </w:r>
      <w:r>
        <w:rPr>
          <w:color w:val="231F20"/>
        </w:rPr>
        <w:t>Intelligente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Pla-</w:t>
      </w:r>
      <w:r>
        <w:rPr>
          <w:color w:val="231F20"/>
          <w:spacing w:val="23"/>
        </w:rPr>
        <w:t> </w:t>
      </w:r>
      <w:r>
        <w:rPr>
          <w:color w:val="231F20"/>
        </w:rPr>
        <w:t>nung</w:t>
      </w:r>
      <w:r>
        <w:rPr>
          <w:color w:val="231F20"/>
          <w:spacing w:val="-9"/>
        </w:rPr>
        <w:t> </w:t>
      </w:r>
      <w:r>
        <w:rPr>
          <w:color w:val="231F20"/>
        </w:rPr>
        <w:t>und</w:t>
      </w:r>
      <w:r>
        <w:rPr>
          <w:color w:val="231F20"/>
          <w:spacing w:val="-9"/>
        </w:rPr>
        <w:t> </w:t>
      </w:r>
      <w:r>
        <w:rPr>
          <w:color w:val="231F20"/>
        </w:rPr>
        <w:t>professionelles</w:t>
      </w:r>
      <w:r>
        <w:rPr>
          <w:color w:val="231F20"/>
          <w:spacing w:val="-9"/>
        </w:rPr>
        <w:t> </w:t>
      </w:r>
      <w:r>
        <w:rPr>
          <w:color w:val="231F20"/>
        </w:rPr>
        <w:t>Handwerk</w:t>
      </w:r>
      <w:r>
        <w:rPr>
          <w:color w:val="231F20"/>
          <w:spacing w:val="-9"/>
        </w:rPr>
        <w:t> </w:t>
      </w:r>
      <w:r>
        <w:rPr>
          <w:color w:val="231F20"/>
        </w:rPr>
        <w:t>führten</w:t>
      </w:r>
      <w:r>
        <w:rPr>
          <w:color w:val="231F20"/>
        </w:rPr>
        <w:t> hier</w:t>
      </w:r>
      <w:r>
        <w:rPr>
          <w:color w:val="231F20"/>
          <w:spacing w:val="29"/>
        </w:rPr>
        <w:t> </w:t>
      </w:r>
      <w:r>
        <w:rPr>
          <w:color w:val="231F20"/>
        </w:rPr>
        <w:t>Regie.</w:t>
      </w:r>
      <w:r>
        <w:rPr>
          <w:color w:val="231F20"/>
          <w:spacing w:val="30"/>
        </w:rPr>
        <w:t> </w:t>
      </w:r>
      <w:r>
        <w:rPr>
          <w:color w:val="231F20"/>
        </w:rPr>
        <w:t>Sie</w:t>
      </w:r>
      <w:r>
        <w:rPr>
          <w:color w:val="231F20"/>
          <w:spacing w:val="29"/>
        </w:rPr>
        <w:t> </w:t>
      </w:r>
      <w:r>
        <w:rPr>
          <w:color w:val="231F20"/>
        </w:rPr>
        <w:t>liefern</w:t>
      </w:r>
      <w:r>
        <w:rPr>
          <w:color w:val="231F20"/>
          <w:spacing w:val="30"/>
        </w:rPr>
        <w:t> </w:t>
      </w:r>
      <w:r>
        <w:rPr>
          <w:color w:val="231F20"/>
        </w:rPr>
        <w:t>ein</w:t>
      </w:r>
      <w:r>
        <w:rPr>
          <w:color w:val="231F20"/>
          <w:spacing w:val="30"/>
        </w:rPr>
        <w:t> </w:t>
      </w:r>
      <w:r>
        <w:rPr>
          <w:color w:val="231F20"/>
        </w:rPr>
        <w:t>hervorragendes</w:t>
      </w:r>
      <w:r>
        <w:rPr>
          <w:color w:val="231F20"/>
        </w:rPr>
        <w:t> Beispiel</w:t>
      </w:r>
      <w:r>
        <w:rPr>
          <w:color w:val="231F20"/>
          <w:spacing w:val="9"/>
        </w:rPr>
        <w:t> </w:t>
      </w:r>
      <w:r>
        <w:rPr>
          <w:color w:val="231F20"/>
        </w:rPr>
        <w:t>für</w:t>
      </w:r>
      <w:r>
        <w:rPr>
          <w:color w:val="231F20"/>
          <w:spacing w:val="9"/>
        </w:rPr>
        <w:t> </w:t>
      </w:r>
      <w:r>
        <w:rPr>
          <w:color w:val="231F20"/>
        </w:rPr>
        <w:t>die</w:t>
      </w:r>
      <w:r>
        <w:rPr>
          <w:color w:val="231F20"/>
          <w:spacing w:val="9"/>
        </w:rPr>
        <w:t> </w:t>
      </w:r>
      <w:r>
        <w:rPr>
          <w:color w:val="231F20"/>
        </w:rPr>
        <w:t>Solararchitektur</w:t>
      </w:r>
      <w:r>
        <w:rPr>
          <w:color w:val="231F20"/>
          <w:spacing w:val="9"/>
        </w:rPr>
        <w:t> </w:t>
      </w:r>
      <w:r>
        <w:rPr>
          <w:color w:val="231F20"/>
        </w:rPr>
        <w:t>des</w:t>
      </w:r>
      <w:r>
        <w:rPr>
          <w:color w:val="231F20"/>
          <w:spacing w:val="9"/>
        </w:rPr>
        <w:t> </w:t>
      </w:r>
      <w:r>
        <w:rPr>
          <w:color w:val="231F20"/>
        </w:rPr>
        <w:t>21.</w:t>
      </w:r>
      <w:r>
        <w:rPr>
          <w:color w:val="231F20"/>
        </w:rPr>
        <w:t> Jahrhunderts,</w:t>
      </w:r>
      <w:r>
        <w:rPr>
          <w:color w:val="231F20"/>
          <w:spacing w:val="6"/>
        </w:rPr>
        <w:t> </w:t>
      </w:r>
      <w:r>
        <w:rPr>
          <w:color w:val="231F20"/>
        </w:rPr>
        <w:t>die</w:t>
      </w:r>
      <w:r>
        <w:rPr>
          <w:color w:val="231F20"/>
          <w:spacing w:val="6"/>
        </w:rPr>
        <w:t> </w:t>
      </w:r>
      <w:r>
        <w:rPr>
          <w:color w:val="231F20"/>
        </w:rPr>
        <w:t>jährlich</w:t>
      </w:r>
      <w:r>
        <w:rPr>
          <w:color w:val="231F20"/>
          <w:spacing w:val="6"/>
        </w:rPr>
        <w:t> </w:t>
      </w:r>
      <w:r>
        <w:rPr>
          <w:color w:val="231F20"/>
        </w:rPr>
        <w:t>elegant</w:t>
      </w:r>
      <w:r>
        <w:rPr>
          <w:color w:val="231F20"/>
          <w:spacing w:val="6"/>
        </w:rPr>
        <w:t> </w:t>
      </w:r>
      <w:r>
        <w:rPr>
          <w:color w:val="231F20"/>
        </w:rPr>
        <w:t>133</w:t>
      </w:r>
      <w:r>
        <w:rPr>
          <w:color w:val="231F20"/>
          <w:spacing w:val="6"/>
        </w:rPr>
        <w:t> </w:t>
      </w:r>
      <w:r>
        <w:rPr>
          <w:color w:val="231F20"/>
        </w:rPr>
        <w:t>kWh</w:t>
      </w:r>
      <w:r>
        <w:rPr>
          <w:color w:val="231F20"/>
        </w:rPr>
        <w:t> Strom</w:t>
      </w:r>
      <w:r>
        <w:rPr>
          <w:color w:val="231F20"/>
          <w:spacing w:val="8"/>
        </w:rPr>
        <w:t> </w:t>
      </w:r>
      <w:r>
        <w:rPr>
          <w:color w:val="231F20"/>
        </w:rPr>
        <w:t>oder</w:t>
      </w:r>
      <w:r>
        <w:rPr>
          <w:color w:val="231F20"/>
          <w:spacing w:val="8"/>
        </w:rPr>
        <w:t> </w:t>
      </w:r>
      <w:r>
        <w:rPr>
          <w:color w:val="231F20"/>
        </w:rPr>
        <w:t>rund</w:t>
      </w:r>
      <w:r>
        <w:rPr>
          <w:color w:val="231F20"/>
          <w:spacing w:val="8"/>
        </w:rPr>
        <w:t> </w:t>
      </w:r>
      <w:r>
        <w:rPr>
          <w:color w:val="231F20"/>
        </w:rPr>
        <w:t>12</w:t>
      </w:r>
      <w:r>
        <w:rPr>
          <w:color w:val="231F20"/>
          <w:spacing w:val="8"/>
        </w:rPr>
        <w:t> </w:t>
      </w:r>
      <w:r>
        <w:rPr>
          <w:color w:val="231F20"/>
        </w:rPr>
        <w:t>Liter</w:t>
      </w:r>
      <w:r>
        <w:rPr>
          <w:color w:val="231F20"/>
          <w:spacing w:val="8"/>
        </w:rPr>
        <w:t> </w:t>
      </w:r>
      <w:r>
        <w:rPr>
          <w:color w:val="231F20"/>
        </w:rPr>
        <w:t>Heizöl-Äquivalent</w:t>
      </w:r>
      <w:r>
        <w:rPr>
          <w:color w:val="231F20"/>
        </w:rPr>
        <w:t> pro m</w:t>
      </w:r>
      <w:r>
        <w:rPr>
          <w:color w:val="231F20"/>
          <w:position w:val="6"/>
          <w:sz w:val="10"/>
        </w:rPr>
        <w:t>2</w:t>
      </w:r>
      <w:r>
        <w:rPr>
          <w:color w:val="231F20"/>
          <w:spacing w:val="21"/>
          <w:position w:val="6"/>
          <w:sz w:val="10"/>
        </w:rPr>
        <w:t> </w:t>
      </w:r>
      <w:r>
        <w:rPr>
          <w:color w:val="231F20"/>
        </w:rPr>
        <w:t>Dachfläche</w:t>
      </w:r>
      <w:r>
        <w:rPr>
          <w:color w:val="231F20"/>
          <w:spacing w:val="1"/>
        </w:rPr>
        <w:t> </w:t>
      </w:r>
      <w:r>
        <w:rPr>
          <w:color w:val="231F20"/>
        </w:rPr>
        <w:t>CO</w:t>
      </w:r>
      <w:r>
        <w:rPr>
          <w:color w:val="231F20"/>
          <w:spacing w:val="13"/>
        </w:rPr>
        <w:t> </w:t>
      </w:r>
      <w:r>
        <w:rPr>
          <w:color w:val="231F20"/>
        </w:rPr>
        <w:t>-frei</w:t>
      </w:r>
      <w:r>
        <w:rPr>
          <w:color w:val="231F20"/>
          <w:spacing w:val="1"/>
        </w:rPr>
        <w:t> </w:t>
      </w:r>
      <w:r>
        <w:rPr>
          <w:color w:val="231F20"/>
        </w:rPr>
        <w:t>erzeugt.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Dieser</w:t>
      </w:r>
      <w:r>
        <w:rPr>
          <w:color w:val="231F20"/>
          <w:spacing w:val="23"/>
        </w:rPr>
        <w:t> </w:t>
      </w:r>
      <w:r>
        <w:rPr>
          <w:color w:val="231F20"/>
        </w:rPr>
        <w:t>innovative</w:t>
      </w:r>
      <w:r>
        <w:rPr>
          <w:color w:val="231F20"/>
          <w:spacing w:val="23"/>
        </w:rPr>
        <w:t> </w:t>
      </w:r>
      <w:r>
        <w:rPr>
          <w:color w:val="231F20"/>
        </w:rPr>
        <w:t>PlusEnergieBau</w:t>
      </w:r>
      <w:r>
        <w:rPr>
          <w:color w:val="231F20"/>
          <w:spacing w:val="23"/>
        </w:rPr>
        <w:t> </w:t>
      </w:r>
      <w:r>
        <w:rPr>
          <w:color w:val="231F20"/>
        </w:rPr>
        <w:t>aus</w:t>
      </w:r>
      <w:r>
        <w:rPr>
          <w:color w:val="231F20"/>
        </w:rPr>
        <w:t> einheimischen</w:t>
      </w:r>
      <w:r>
        <w:rPr>
          <w:color w:val="231F20"/>
          <w:spacing w:val="1"/>
        </w:rPr>
        <w:t> </w:t>
      </w:r>
      <w:r>
        <w:rPr>
          <w:color w:val="231F20"/>
        </w:rPr>
        <w:t>Materialien</w:t>
      </w:r>
      <w:r>
        <w:rPr>
          <w:color w:val="231F20"/>
          <w:spacing w:val="1"/>
        </w:rPr>
        <w:t> </w:t>
      </w:r>
      <w:r>
        <w:rPr>
          <w:color w:val="231F20"/>
        </w:rPr>
        <w:t>fügt</w:t>
      </w:r>
      <w:r>
        <w:rPr>
          <w:color w:val="231F20"/>
          <w:spacing w:val="1"/>
        </w:rPr>
        <w:t> </w:t>
      </w:r>
      <w:r>
        <w:rPr>
          <w:color w:val="231F20"/>
        </w:rPr>
        <w:t>sich</w:t>
      </w:r>
      <w:r>
        <w:rPr>
          <w:color w:val="231F20"/>
          <w:spacing w:val="1"/>
        </w:rPr>
        <w:t> </w:t>
      </w:r>
      <w:r>
        <w:rPr>
          <w:color w:val="231F20"/>
        </w:rPr>
        <w:t>optimal</w:t>
      </w:r>
      <w:r>
        <w:rPr>
          <w:color w:val="231F20"/>
        </w:rPr>
        <w:t> in</w:t>
      </w:r>
      <w:r>
        <w:rPr>
          <w:color w:val="231F20"/>
          <w:spacing w:val="13"/>
        </w:rPr>
        <w:t> </w:t>
      </w:r>
      <w:r>
        <w:rPr>
          <w:color w:val="231F20"/>
        </w:rPr>
        <w:t>die</w:t>
      </w:r>
      <w:r>
        <w:rPr>
          <w:color w:val="231F20"/>
          <w:spacing w:val="13"/>
        </w:rPr>
        <w:t> </w:t>
      </w:r>
      <w:r>
        <w:rPr>
          <w:color w:val="231F20"/>
        </w:rPr>
        <w:t>Berglandschaft</w:t>
      </w:r>
      <w:r>
        <w:rPr>
          <w:color w:val="231F20"/>
          <w:spacing w:val="13"/>
        </w:rPr>
        <w:t> </w:t>
      </w:r>
      <w:r>
        <w:rPr>
          <w:color w:val="231F20"/>
        </w:rPr>
        <w:t>der</w:t>
      </w:r>
      <w:r>
        <w:rPr>
          <w:color w:val="231F20"/>
          <w:spacing w:val="13"/>
        </w:rPr>
        <w:t> </w:t>
      </w:r>
      <w:r>
        <w:rPr>
          <w:color w:val="231F20"/>
        </w:rPr>
        <w:t>Surselva</w:t>
      </w:r>
      <w:r>
        <w:rPr>
          <w:color w:val="231F20"/>
          <w:spacing w:val="13"/>
        </w:rPr>
        <w:t> </w:t>
      </w:r>
      <w:r>
        <w:rPr>
          <w:color w:val="231F20"/>
        </w:rPr>
        <w:t>ein</w:t>
      </w:r>
      <w:r>
        <w:rPr>
          <w:color w:val="231F20"/>
          <w:spacing w:val="13"/>
        </w:rPr>
        <w:t> </w:t>
      </w:r>
      <w:r>
        <w:rPr>
          <w:color w:val="231F20"/>
        </w:rPr>
        <w:t>und</w:t>
      </w:r>
      <w:r>
        <w:rPr>
          <w:color w:val="231F20"/>
        </w:rPr>
        <w:t> wird</w:t>
      </w:r>
      <w:r>
        <w:rPr>
          <w:color w:val="231F20"/>
          <w:spacing w:val="25"/>
        </w:rPr>
        <w:t> </w:t>
      </w:r>
      <w:r>
        <w:rPr>
          <w:color w:val="231F20"/>
        </w:rPr>
        <w:t>mit</w:t>
      </w:r>
      <w:r>
        <w:rPr>
          <w:color w:val="231F20"/>
          <w:spacing w:val="26"/>
        </w:rPr>
        <w:t> </w:t>
      </w:r>
      <w:r>
        <w:rPr>
          <w:color w:val="231F20"/>
        </w:rPr>
        <w:t>dem</w:t>
      </w:r>
      <w:r>
        <w:rPr>
          <w:color w:val="231F20"/>
          <w:spacing w:val="25"/>
        </w:rPr>
        <w:t> </w:t>
      </w:r>
      <w:r>
        <w:rPr>
          <w:color w:val="231F20"/>
        </w:rPr>
        <w:t>Norman</w:t>
      </w:r>
      <w:r>
        <w:rPr>
          <w:color w:val="231F20"/>
          <w:spacing w:val="26"/>
        </w:rPr>
        <w:t> </w:t>
      </w:r>
      <w:r>
        <w:rPr>
          <w:color w:val="231F20"/>
        </w:rPr>
        <w:t>Foster</w:t>
      </w:r>
      <w:r>
        <w:rPr>
          <w:color w:val="231F20"/>
          <w:spacing w:val="26"/>
        </w:rPr>
        <w:t> </w:t>
      </w:r>
      <w:r>
        <w:rPr>
          <w:color w:val="231F20"/>
        </w:rPr>
        <w:t>Solar</w:t>
      </w:r>
      <w:r>
        <w:rPr>
          <w:color w:val="231F20"/>
          <w:spacing w:val="25"/>
        </w:rPr>
        <w:t> </w:t>
      </w:r>
      <w:r>
        <w:rPr>
          <w:color w:val="231F20"/>
        </w:rPr>
        <w:t>Award</w:t>
      </w:r>
      <w:r>
        <w:rPr>
          <w:color w:val="231F20"/>
        </w:rPr>
        <w:t> 2015 ausgezeichnet.</w:t>
      </w:r>
      <w:r>
        <w:rPr/>
      </w:r>
    </w:p>
    <w:p>
      <w:pPr>
        <w:spacing w:line="230" w:lineRule="exact" w:before="52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L’immeuble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étages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où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trouvent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bureaux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société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Cavigelli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Ingenieure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SA,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Ilanz,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porte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nom: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«Monoli-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the»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impose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taille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conception.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administratif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238%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confère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vigelli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Ingenieure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l’image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employeur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innovant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attractif.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24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collaboratrices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collaborateurs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disposent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locaux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agréa-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bles, économes en énergie et écologiques.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concept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distingue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architec-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ture,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technique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utilisée.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L’instal-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28,6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recouvre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plat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presque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238%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besoins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éner-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gétiques.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Orientés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est-ouest,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175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intégrés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façon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fine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couche 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neige 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glisse facilement.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L’isolation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thermique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béton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isolant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assure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faible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belles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lamel-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mélèze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évitent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surchauffe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permettent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d’utiliser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passive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l’hiver.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pompe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géothermique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fournit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chaude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chauffage.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sys-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ventilation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double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flux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maintient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frais.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Grâce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planification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intelli-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gente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artisanat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professionnel,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exemple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parfait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l’architecture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XXI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siècle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133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kWh/m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l’équivalent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mazout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position w:val="6"/>
          <w:sz w:val="10"/>
          <w:szCs w:val="10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toit,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élégam-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ment et sans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émettre 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innovant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construit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maté-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riaux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locaux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s’intègre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très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pay-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sage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district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Surselva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reçoit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Norman Foster Solar Award 2015.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tabs>
          <w:tab w:pos="3438" w:val="left" w:leader="none"/>
        </w:tabs>
        <w:spacing w:before="73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b/>
          <w:color w:val="231F20"/>
          <w:sz w:val="14"/>
          <w:u w:val="dotted" w:color="231F20"/>
        </w:rPr>
        <w:t>Technische </w:t>
      </w:r>
      <w:r>
        <w:rPr>
          <w:rFonts w:ascii="Theinhardt Black"/>
          <w:b/>
          <w:color w:val="231F20"/>
          <w:spacing w:val="1"/>
          <w:sz w:val="14"/>
          <w:u w:val="dotted" w:color="231F20"/>
        </w:rPr>
        <w:t>Daten</w:t>
      </w:r>
      <w:r>
        <w:rPr>
          <w:rFonts w:ascii="Theinhardt Black"/>
          <w:b/>
          <w:color w:val="231F20"/>
          <w:sz w:val="14"/>
          <w:u w:val="dotted" w:color="231F20"/>
        </w:rPr>
        <w:t> </w:t>
        <w:tab/>
      </w:r>
      <w:r>
        <w:rPr>
          <w:rFonts w:ascii="Theinhardt Black"/>
          <w:b/>
          <w:color w:val="231F20"/>
          <w:sz w:val="14"/>
        </w:rPr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tabs>
          <w:tab w:pos="3443" w:val="left" w:leader="none"/>
        </w:tabs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316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</w:r>
      <w:r>
        <w:rPr>
          <w:rFonts w:ascii="Theinhardt Regular"/>
          <w:color w:val="231F20"/>
          <w:spacing w:val="1"/>
          <w:sz w:val="14"/>
        </w:rPr>
        <w:t>50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17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2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pacing w:val="-3"/>
          <w:sz w:val="14"/>
        </w:rPr>
        <w:t>47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-7"/>
          <w:sz w:val="14"/>
        </w:rPr>
        <w:t>0.11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201" w:val="left" w:leader="none"/>
        </w:tabs>
        <w:spacing w:line="207" w:lineRule="auto" w:before="5"/>
        <w:ind w:left="106" w:right="29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</w:r>
      <w:r>
        <w:rPr>
          <w:rFonts w:ascii="Theinhardt Regular"/>
          <w:color w:val="231F20"/>
          <w:sz w:val="14"/>
        </w:rPr>
        <w:t>65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17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Fenster:</w:t>
        <w:tab/>
        <w:t>dreifach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32"/>
          <w:sz w:val="14"/>
        </w:rPr>
        <w:t> </w:t>
      </w:r>
      <w:r>
        <w:rPr>
          <w:rFonts w:ascii="Theinhardt Regular"/>
          <w:color w:val="231F20"/>
          <w:sz w:val="14"/>
        </w:rPr>
        <w:t>0.80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730"/>
        <w:gridCol w:w="486"/>
        <w:gridCol w:w="646"/>
      </w:tblGrid>
      <w:tr>
        <w:trPr>
          <w:trHeight w:val="292" w:hRule="exact"/>
        </w:trPr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EBF: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707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  <w:p>
            <w:pPr>
              <w:pStyle w:val="TableParagraph"/>
              <w:spacing w:line="16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Heizung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2"/>
                <w:sz w:val="14"/>
              </w:rPr>
              <w:t>(WP):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5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42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3.0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198" w:right="0" w:firstLine="27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19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17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230" w:right="0" w:hanging="42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  <w:p>
            <w:pPr>
              <w:pStyle w:val="TableParagraph"/>
              <w:spacing w:line="168" w:lineRule="exact"/>
              <w:ind w:left="23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2’150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Warmwasser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2"/>
                <w:sz w:val="14"/>
              </w:rPr>
              <w:t>(WP):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34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0.78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7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34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550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</w:t>
            </w:r>
            <w:r>
              <w:rPr>
                <w:rFonts w:ascii="Theinhardt Regular" w:hAnsi="Theinhardt Regular"/>
                <w:color w:val="231F20"/>
                <w:sz w:val="14"/>
              </w:rPr>
              <w:t> </w:t>
            </w: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Lüftung: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35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2.12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9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2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1’500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35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11.9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8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67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2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8’398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90" w:hRule="exact"/>
        </w:trPr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GesamtEB: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343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3"/>
                <w:sz w:val="14"/>
              </w:rPr>
              <w:t>17.8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0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31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12’598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329" w:hRule="exact"/>
        </w:trPr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6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Energieversorgung</w:t>
            </w:r>
            <w:r>
              <w:rPr>
                <w:rFonts w:ascii="Theinhardt Bold"/>
                <w:sz w:val="14"/>
              </w:rPr>
            </w:r>
          </w:p>
          <w:p>
            <w:pPr>
              <w:pStyle w:val="TableParagraph"/>
              <w:spacing w:line="15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Eigen-EV: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33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     </w:t>
            </w:r>
            <w:r>
              <w:rPr>
                <w:rFonts w:ascii="Theinhardt Regular"/>
                <w:color w:val="231F20"/>
                <w:spacing w:val="21"/>
                <w:position w:val="5"/>
                <w:sz w:val="8"/>
              </w:rPr>
              <w:t> </w:t>
            </w:r>
            <w:r>
              <w:rPr>
                <w:rFonts w:ascii="Theinhardt Regular"/>
                <w:color w:val="231F20"/>
                <w:sz w:val="14"/>
              </w:rPr>
              <w:t>kWp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heinhardt Bold" w:hAnsi="Theinhardt Bold" w:cs="Theinhardt Bold" w:eastAsia="Theinhardt 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162" w:lineRule="exact"/>
              <w:ind w:left="5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heinhardt Bold" w:hAnsi="Theinhardt Bold" w:cs="Theinhardt Bold" w:eastAsia="Theinhardt 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162" w:lineRule="exact"/>
              <w:ind w:left="22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heinhardt Bold" w:hAnsi="Theinhardt Bold" w:cs="Theinhardt Bold" w:eastAsia="Theinhardt 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162" w:lineRule="exact"/>
              <w:ind w:left="18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</w:tbl>
    <w:p>
      <w:pPr>
        <w:tabs>
          <w:tab w:pos="1853" w:val="left" w:leader="none"/>
          <w:tab w:pos="2299" w:val="left" w:leader="none"/>
          <w:tab w:pos="2800" w:val="left" w:leader="none"/>
        </w:tabs>
        <w:spacing w:line="172" w:lineRule="exact" w:before="21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175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28.6</w:t>
        <w:tab/>
      </w:r>
      <w:r>
        <w:rPr>
          <w:rFonts w:ascii="Theinhardt Regular" w:hAnsi="Theinhardt Regular" w:cs="Theinhardt Regular" w:eastAsia="Theinhardt Regular"/>
          <w:color w:val="231F20"/>
          <w:spacing w:val="-5"/>
          <w:sz w:val="14"/>
          <w:szCs w:val="14"/>
        </w:rPr>
        <w:t>171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29’963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1845" w:val="left" w:leader="none"/>
          <w:tab w:pos="2299" w:val="left" w:leader="none"/>
          <w:tab w:pos="2813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Dach*: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 226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28.6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w w:val="95"/>
          <w:sz w:val="14"/>
          <w:szCs w:val="14"/>
        </w:rPr>
        <w:t>133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29’963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18" w:val="left" w:leader="none"/>
          <w:tab w:pos="2867" w:val="left" w:leader="none"/>
        </w:tabs>
        <w:spacing w:line="172" w:lineRule="exact" w:before="35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2294" w:val="left" w:leader="none"/>
          <w:tab w:pos="2800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238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29’963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299" w:val="left" w:leader="none"/>
          <w:tab w:pos="2810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12’598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00" w:val="left" w:leader="none"/>
          <w:tab w:pos="2811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138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17’365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* </w:t>
      </w:r>
      <w:r>
        <w:rPr>
          <w:rFonts w:ascii="Theinhardt Regular" w:hAnsi="Theinhardt Regular"/>
          <w:color w:val="231F20"/>
          <w:spacing w:val="2"/>
          <w:sz w:val="14"/>
        </w:rPr>
        <w:t>gesamte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Dachfläche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43"/>
        <w:ind w:left="106" w:right="98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Repower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4"/>
          <w:sz w:val="14"/>
        </w:rPr>
        <w:t>11.06.2015</w:t>
      </w:r>
      <w:r>
        <w:rPr>
          <w:rFonts w:ascii="Theinhardt Regular" w:hAnsi="Theinhardt Regular"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Josef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Ackermann,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081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926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26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26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Standort: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32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Cavigelli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Ingenieure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2"/>
          <w:sz w:val="14"/>
        </w:rPr>
        <w:t>Via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3"/>
          <w:sz w:val="14"/>
        </w:rPr>
        <w:t>Sorts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27,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7130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Ilanz</w:t>
      </w:r>
      <w:r>
        <w:rPr>
          <w:rFonts w:ascii="Theinhardt Regular"/>
          <w:color w:val="231F20"/>
          <w:spacing w:val="42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920 </w:t>
      </w:r>
      <w:r>
        <w:rPr>
          <w:rFonts w:ascii="Theinhardt Regular"/>
          <w:color w:val="231F20"/>
          <w:spacing w:val="1"/>
          <w:sz w:val="14"/>
        </w:rPr>
        <w:t>09</w:t>
      </w:r>
      <w:r>
        <w:rPr>
          <w:rFonts w:ascii="Theinhardt Regular"/>
          <w:color w:val="231F20"/>
          <w:sz w:val="14"/>
        </w:rPr>
        <w:t> 20</w:t>
      </w:r>
      <w:hyperlink r:id="rId5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info@cavigelli.ch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41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32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Vincenz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Weishaupt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Architekten,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Via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Centrala</w:t>
      </w:r>
      <w:r>
        <w:rPr>
          <w:rFonts w:ascii="Theinhardt Regular"/>
          <w:color w:val="231F20"/>
          <w:sz w:val="14"/>
        </w:rPr>
        <w:t> 4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7130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Ilanz,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925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22</w:t>
      </w:r>
      <w:r>
        <w:rPr>
          <w:rFonts w:ascii="Theinhardt Regular"/>
          <w:sz w:val="14"/>
        </w:rPr>
      </w:r>
    </w:p>
    <w:p>
      <w:pPr>
        <w:spacing w:line="172" w:lineRule="exact" w:before="41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Solarstrom-Netzverbundanlage: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29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Electro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Wettstein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Postfach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160,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7012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Felsberg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252</w:t>
      </w:r>
      <w:r>
        <w:rPr>
          <w:rFonts w:ascii="Theinhardt Regular"/>
          <w:color w:val="231F20"/>
          <w:sz w:val="14"/>
        </w:rPr>
        <w:t> 85 </w:t>
      </w:r>
      <w:r>
        <w:rPr>
          <w:rFonts w:ascii="Theinhardt Regular"/>
          <w:color w:val="231F20"/>
          <w:spacing w:val="-1"/>
          <w:sz w:val="14"/>
        </w:rPr>
        <w:t>70</w:t>
      </w:r>
      <w:r>
        <w:rPr>
          <w:rFonts w:ascii="Theinhardt Regular"/>
          <w:sz w:val="14"/>
        </w:rPr>
      </w:r>
    </w:p>
    <w:p>
      <w:pPr>
        <w:spacing w:line="172" w:lineRule="exact" w:before="41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PV-Module: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Polykristalline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Module,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TSM-PC05A,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Trinasolar</w:t>
      </w:r>
      <w:r>
        <w:rPr>
          <w:rFonts w:ascii="Theinhardt Regular"/>
          <w:sz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Bauphysik: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Bernhard-Bauexperte,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Masanserstrasse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84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7000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Chur,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252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42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14</w:t>
      </w:r>
      <w:r>
        <w:rPr>
          <w:rFonts w:ascii="Theinhardt Regular"/>
          <w:sz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HLS-Planung: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98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Hendry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Via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Alpsu</w:t>
      </w:r>
      <w:r>
        <w:rPr>
          <w:rFonts w:ascii="Theinhardt Regular"/>
          <w:color w:val="231F20"/>
          <w:sz w:val="14"/>
        </w:rPr>
        <w:t> 3, </w:t>
      </w:r>
      <w:r>
        <w:rPr>
          <w:rFonts w:ascii="Theinhardt Regular"/>
          <w:color w:val="231F20"/>
          <w:spacing w:val="-3"/>
          <w:sz w:val="14"/>
        </w:rPr>
        <w:t>7188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Sedrun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949 </w:t>
      </w:r>
      <w:r>
        <w:rPr>
          <w:rFonts w:ascii="Theinhardt Regular"/>
          <w:color w:val="231F20"/>
          <w:spacing w:val="-4"/>
          <w:sz w:val="14"/>
        </w:rPr>
        <w:t>12</w:t>
      </w:r>
      <w:r>
        <w:rPr>
          <w:rFonts w:ascii="Theinhardt Regular"/>
          <w:color w:val="231F20"/>
          <w:sz w:val="14"/>
        </w:rPr>
        <w:t> 07</w:t>
      </w:r>
      <w:r>
        <w:rPr>
          <w:rFonts w:ascii="Theinhardt Regular"/>
          <w:sz w:val="14"/>
        </w:rPr>
      </w:r>
    </w:p>
    <w:p>
      <w:pPr>
        <w:spacing w:line="172" w:lineRule="exact" w:before="41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Elektro-Planung: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69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8.38224pt;width:167.25pt;height:.45pt;mso-position-horizontal-relative:page;mso-position-vertical-relative:paragraph;z-index:1192" coordorigin="7710,368" coordsize="3345,9">
            <v:group style="position:absolute;left:7732;top:372;width:3311;height:2" coordorigin="7732,372" coordsize="3311,2">
              <v:shape style="position:absolute;left:7732;top:372;width:3311;height:2" coordorigin="7732,372" coordsize="3311,0" path="m7732,372l11042,372e" filled="false" stroked="true" strokeweight=".425pt" strokecolor="#231f20">
                <v:path arrowok="t"/>
                <v:stroke dashstyle="dash"/>
              </v:shape>
            </v:group>
            <v:group style="position:absolute;left:7714;top:372;width:2;height:2" coordorigin="7714,372" coordsize="2,2">
              <v:shape style="position:absolute;left:7714;top:372;width:2;height:2" coordorigin="7714,372" coordsize="0,0" path="m7714,372l7714,372e" filled="false" stroked="true" strokeweight=".425pt" strokecolor="#231f20">
                <v:path arrowok="t"/>
              </v:shape>
            </v:group>
            <v:group style="position:absolute;left:11051;top:372;width:2;height:2" coordorigin="11051,372" coordsize="2,2">
              <v:shape style="position:absolute;left:11051;top:372;width:2;height:2" coordorigin="11051,372" coordsize="0,0" path="m11051,372l11051,372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1"/>
          <w:sz w:val="14"/>
        </w:rPr>
        <w:t>energia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alpina,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Via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Alpsu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62,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7188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Sedrun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920 </w:t>
      </w:r>
      <w:r>
        <w:rPr>
          <w:rFonts w:ascii="Theinhardt Regular"/>
          <w:color w:val="231F20"/>
          <w:spacing w:val="1"/>
          <w:sz w:val="14"/>
        </w:rPr>
        <w:t>40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00</w:t>
      </w:r>
      <w:r>
        <w:rPr>
          <w:rFonts w:ascii="Theinhardt Regular"/>
          <w:sz w:val="14"/>
        </w:rPr>
      </w:r>
    </w:p>
    <w:p>
      <w:pPr>
        <w:spacing w:after="0" w:line="207" w:lineRule="auto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8"/>
            <w:col w:w="3453" w:space="119"/>
            <w:col w:w="3567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2"/>
        <w:rPr>
          <w:rFonts w:ascii="Theinhardt Regular" w:hAnsi="Theinhardt Regular" w:cs="Theinhardt Regular" w:eastAsia="Theinhardt Regular"/>
          <w:sz w:val="26"/>
          <w:szCs w:val="26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46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0889" cy="5955792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889" cy="595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7253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4396801" cy="266090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801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2126314" cy="2660904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314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7253" w:val="left" w:leader="none"/>
        </w:tabs>
        <w:spacing w:before="11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9"/>
        <w:rPr>
          <w:rFonts w:ascii="Theinhardt Bold" w:hAnsi="Theinhardt Bold" w:cs="Theinhardt Bold" w:eastAsia="Theinhardt Bold"/>
          <w:b/>
          <w:bCs/>
          <w:sz w:val="11"/>
          <w:szCs w:val="11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1"/>
          <w:szCs w:val="11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Gesamtansicht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des Bürogebäudes in Ilanz/GR</w:t>
      </w:r>
      <w:r>
        <w:rPr>
          <w:rFonts w:ascii="Theinhardt Bold" w:hAnsi="Theinhardt Bold" w:cs="Theinhardt Bold" w:eastAsia="Theinhardt Bold"/>
          <w:b/>
          <w:bCs/>
          <w:color w:val="231F20"/>
          <w:spacing w:val="4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der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28.6 kW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starken,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ganzflächig seitenbün-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dig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integrierten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Ost-West-PV-Flachdach-Anlage,</w:t>
      </w:r>
      <w:r>
        <w:rPr>
          <w:rFonts w:ascii="Theinhardt Bold" w:hAnsi="Theinhardt Bold" w:cs="Theinhardt Bold" w:eastAsia="Theinhardt Bold"/>
          <w:b/>
          <w:bCs/>
          <w:color w:val="231F20"/>
          <w:spacing w:val="6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30’000 kWh produziert.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207" w:lineRule="auto" w:before="8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Nord-Ost-Ansicht des «Monoliths» in Ilanz.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von 17’400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5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können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12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Elektrofahrzeuge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12’000 km</w:t>
      </w:r>
      <w:r>
        <w:rPr>
          <w:rFonts w:ascii="Theinhardt Bold" w:hAnsi="Theinhardt Bold" w:cs="Theinhardt Bold" w:eastAsia="Theinhardt Bold"/>
          <w:b/>
          <w:bCs/>
          <w:color w:val="231F20"/>
          <w:spacing w:val="4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position w:val="-4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-frei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fahren.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240" w:hanging="227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Lärchenlamellen nutzen im Winterhalbjahr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pacing w:val="27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Solarenergie</w:t>
      </w:r>
      <w:r>
        <w:rPr>
          <w:rFonts w:ascii="Theinhardt Bold" w:hAnsi="Theinhardt Bold"/>
          <w:b/>
          <w:color w:val="231F20"/>
          <w:sz w:val="14"/>
        </w:rPr>
        <w:t> passiv und schützen im Sommer-</w:t>
      </w:r>
      <w:r>
        <w:rPr>
          <w:rFonts w:ascii="Theinhardt Bold" w:hAnsi="Theinhardt Bold"/>
          <w:b/>
          <w:color w:val="231F20"/>
          <w:spacing w:val="3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halbjahr vor Hitze.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both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41" w:space="131"/>
            <w:col w:w="3387" w:space="185"/>
            <w:col w:w="3566"/>
          </w:cols>
        </w:sectPr>
      </w:pPr>
    </w:p>
    <w:p>
      <w:pPr>
        <w:spacing w:line="240" w:lineRule="auto" w:before="9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47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7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8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88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99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09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19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fo@cavigelli.ch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2015-09-02T11:57:00Z</dcterms:created>
  <dcterms:modified xsi:type="dcterms:W3CDTF">2015-09-02T11:57:00Z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2015-09-02T00:00:00Z</vt:filetime>
  </property>
  <property fmtid="{D5CDD505-2E9C-101B-9397-08002B2CF9AE}" pid="3" name="LastSaved">
    <vt:filetime>2015-09-02T00:00:00Z</vt:filetime>
  </property>
</Properties>
</file>