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6955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ABBDD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61342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D9C20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B4699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046A8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3643C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93D65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51F3C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C2EF0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1ADD8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6E63A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AFFBB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19FC6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23BC3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B8BB8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BF08D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841D7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2AF2B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6EB34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9D0A1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586CE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17044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CBBF7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3D5B6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A7EEE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146C2B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68343" w14:textId="77777777" w:rsidR="006B6521" w:rsidRDefault="006B6521">
      <w:pPr>
        <w:rPr>
          <w:rFonts w:ascii="Times New Roman" w:eastAsia="Times New Roman" w:hAnsi="Times New Roman" w:cs="Times New Roman"/>
          <w:sz w:val="20"/>
          <w:szCs w:val="20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space="720"/>
        </w:sectPr>
      </w:pPr>
    </w:p>
    <w:p w14:paraId="226692C9" w14:textId="77777777" w:rsidR="006B6521" w:rsidRDefault="006B652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419DCCB" w14:textId="77777777" w:rsidR="006B6521" w:rsidRDefault="000B01F8">
      <w:pPr>
        <w:tabs>
          <w:tab w:val="left" w:pos="2546"/>
        </w:tabs>
        <w:spacing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71944D2A">
          <v:group id="_x0000_s1039" style="position:absolute;left:0;text-align:left;margin-left:28.55pt;margin-top:12.25pt;width:.1pt;height:.1pt;z-index:-4696;mso-position-horizontal-relative:page" coordorigin="571,245" coordsize="2,2">
            <v:shape id="_x0000_s1040" style="position:absolute;left:571;top:245;width:2;height:2" coordorigin="571,245" coordsize="0,0" path="m571,245r,e" filled="f" strokecolor="#231f20" strokeweight=".14994mm">
              <v:path arrowok="t"/>
            </v:shape>
            <w10:wrap anchorx="page"/>
          </v:group>
        </w:pict>
      </w:r>
      <w:r>
        <w:pict w14:anchorId="616131E0">
          <v:group id="_x0000_s1037" style="position:absolute;left:0;text-align:left;margin-left:150.75pt;margin-top:12.25pt;width:.1pt;height:.1pt;z-index:1096;mso-position-horizontal-relative:page" coordorigin="3015,245" coordsize="2,2">
            <v:shape id="_x0000_s1038" style="position:absolute;left:3015;top:245;width:2;height:2" coordorigin="3015,245" coordsize="0,0" path="m3015,245r,e" filled="f" strokecolor="#231f20" strokeweight=".14994mm">
              <v:path arrowok="t"/>
            </v:shape>
            <w10:wrap anchorx="page"/>
          </v:group>
        </w:pict>
      </w:r>
      <w:r>
        <w:pict w14:anchorId="68C354AF">
          <v:group id="_x0000_s1035" style="position:absolute;left:0;text-align:left;margin-left:28.55pt;margin-top:23.75pt;width:.1pt;height:.1pt;z-index:-4648;mso-position-horizontal-relative:page" coordorigin="571,475" coordsize="2,2">
            <v:shape id="_x0000_s1036" style="position:absolute;left:571;top:475;width:2;height:2" coordorigin="571,475" coordsize="0,0" path="m571,475r,e" filled="f" strokecolor="#231f20" strokeweight=".14994mm">
              <v:path arrowok="t"/>
            </v:shape>
            <w10:wrap anchorx="page"/>
          </v:group>
        </w:pict>
      </w:r>
      <w:r>
        <w:pict w14:anchorId="2894B683">
          <v:group id="_x0000_s1033" style="position:absolute;left:0;text-align:left;margin-left:150.75pt;margin-top:23.75pt;width:.1pt;height:.1pt;z-index:1144;mso-position-horizontal-relative:page" coordorigin="3015,475" coordsize="2,2">
            <v:shape id="_x0000_s1034" style="position:absolute;left:3015;top:475;width:2;height:2" coordorigin="3015,475" coordsize="0,0" path="m3015,475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proofErr w:type="spellEnd"/>
      <w:r>
        <w:rPr>
          <w:rFonts w:asci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/>
          <w:b/>
          <w:color w:val="231F20"/>
          <w:sz w:val="18"/>
          <w:u w:val="dotted" w:color="231F20"/>
        </w:rPr>
        <w:tab/>
      </w:r>
      <w:r>
        <w:rPr>
          <w:rFonts w:asci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/>
          <w:b/>
          <w:color w:val="231F20"/>
          <w:spacing w:val="1"/>
          <w:sz w:val="18"/>
          <w:u w:val="dotted" w:color="231F20"/>
        </w:rPr>
        <w:t>PlusEnergieBauten</w:t>
      </w:r>
      <w:proofErr w:type="spellEnd"/>
      <w:r>
        <w:rPr>
          <w:rFonts w:asci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/>
          <w:b/>
          <w:color w:val="231F20"/>
          <w:sz w:val="18"/>
          <w:u w:val="dotted" w:color="231F20"/>
        </w:rPr>
        <w:tab/>
      </w:r>
      <w:r>
        <w:rPr>
          <w:rFonts w:ascii="Theinhardt Black"/>
          <w:b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8"/>
        </w:rPr>
        <w:t>Solarpreis-Diplom</w:t>
      </w:r>
      <w:proofErr w:type="spellEnd"/>
      <w:r>
        <w:rPr>
          <w:rFonts w:ascii="Theinhardt Regular"/>
          <w:color w:val="231F20"/>
          <w:sz w:val="18"/>
        </w:rPr>
        <w:t xml:space="preserve"> 2021</w:t>
      </w:r>
    </w:p>
    <w:p w14:paraId="7F38454A" w14:textId="77777777" w:rsidR="006B6521" w:rsidRDefault="000B01F8">
      <w:pPr>
        <w:spacing w:before="11"/>
        <w:rPr>
          <w:rFonts w:ascii="Theinhardt Regular" w:eastAsia="Theinhardt Regular" w:hAnsi="Theinhardt Regular" w:cs="Theinhardt Regular"/>
          <w:sz w:val="15"/>
          <w:szCs w:val="15"/>
        </w:rPr>
      </w:pPr>
      <w:r>
        <w:br w:type="column"/>
      </w:r>
    </w:p>
    <w:p w14:paraId="2CC71727" w14:textId="77777777" w:rsidR="006B6521" w:rsidRDefault="000B01F8">
      <w:pPr>
        <w:spacing w:line="230" w:lineRule="exact"/>
        <w:ind w:left="106" w:right="99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2019/2020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erstellte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Gewerbegebäude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Haag/SG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energiesparender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Hybridbauweise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4"/>
          <w:w w:val="9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Holz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Sandwichpanelen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gebaut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sehr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guten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Wärmedämmung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44"/>
          <w:w w:val="9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U-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bis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0.10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W/m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K,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stromsparender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>IT,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sparsamem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Elektrowerkzeug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LED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Beleuchtung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1"/>
          <w:w w:val="9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A+++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Haushaltsgeräten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insgesamt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bloss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4’200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Süd-Ost-West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PV-Fassa-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w w:val="9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denanlage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5’900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solarbetriebene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Gewerbegebäude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versorgt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alle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Geräte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78"/>
          <w:w w:val="9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tels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Solarenergie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energieautark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netzunabhängig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Mittels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Speicherung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überschüssigen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6"/>
          <w:w w:val="9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1’700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Batterien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wird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ganzjährig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netzunabhängig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betrieben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</w:p>
    <w:p w14:paraId="6CD002F7" w14:textId="77777777" w:rsidR="006B6521" w:rsidRDefault="006B6521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num="2" w:space="720" w:equalWidth="0">
            <w:col w:w="2547" w:space="161"/>
            <w:col w:w="8022"/>
          </w:cols>
        </w:sectPr>
      </w:pPr>
    </w:p>
    <w:p w14:paraId="030EA8BB" w14:textId="77777777" w:rsidR="006B6521" w:rsidRDefault="000B01F8">
      <w:pPr>
        <w:spacing w:before="26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proofErr w:type="spellStart"/>
      <w:r>
        <w:rPr>
          <w:rFonts w:ascii="Theinhardt Black" w:hAnsi="Theinhardt Black"/>
          <w:b/>
          <w:color w:val="0067B1"/>
          <w:spacing w:val="-3"/>
          <w:sz w:val="40"/>
        </w:rPr>
        <w:t>Solarbetriebenes</w:t>
      </w:r>
      <w:proofErr w:type="spellEnd"/>
      <w:r>
        <w:rPr>
          <w:rFonts w:ascii="Theinhardt Black" w:hAnsi="Theinhardt Black"/>
          <w:b/>
          <w:color w:val="0067B1"/>
          <w:spacing w:val="-16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pacing w:val="-5"/>
          <w:sz w:val="40"/>
        </w:rPr>
        <w:t>Gewerbegebäude</w:t>
      </w:r>
      <w:proofErr w:type="spellEnd"/>
      <w:r>
        <w:rPr>
          <w:rFonts w:ascii="Theinhardt Black" w:hAnsi="Theinhardt Black"/>
          <w:b/>
          <w:color w:val="0067B1"/>
          <w:spacing w:val="-5"/>
          <w:sz w:val="40"/>
        </w:rPr>
        <w:t>,</w:t>
      </w:r>
      <w:r>
        <w:rPr>
          <w:rFonts w:ascii="Theinhardt Black" w:hAnsi="Theinhardt Black"/>
          <w:b/>
          <w:color w:val="0067B1"/>
          <w:spacing w:val="-40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6"/>
          <w:sz w:val="40"/>
        </w:rPr>
        <w:t>9469</w:t>
      </w:r>
      <w:r>
        <w:rPr>
          <w:rFonts w:ascii="Theinhardt Black" w:hAnsi="Theinhardt Black"/>
          <w:b/>
          <w:color w:val="0067B1"/>
          <w:spacing w:val="-16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sz w:val="40"/>
        </w:rPr>
        <w:t>Haag/SG</w:t>
      </w:r>
    </w:p>
    <w:p w14:paraId="646BD018" w14:textId="77777777" w:rsidR="006B6521" w:rsidRDefault="006B6521">
      <w:pPr>
        <w:rPr>
          <w:rFonts w:ascii="Theinhardt Black" w:eastAsia="Theinhardt Black" w:hAnsi="Theinhardt Black" w:cs="Theinhardt Black"/>
          <w:sz w:val="40"/>
          <w:szCs w:val="40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space="720"/>
        </w:sectPr>
      </w:pPr>
    </w:p>
    <w:p w14:paraId="171B1179" w14:textId="77777777" w:rsidR="006B6521" w:rsidRDefault="000B01F8">
      <w:pPr>
        <w:pStyle w:val="Textkrper"/>
        <w:spacing w:line="232" w:lineRule="auto"/>
        <w:jc w:val="both"/>
      </w:pPr>
      <w:proofErr w:type="spellStart"/>
      <w:r>
        <w:rPr>
          <w:color w:val="231F20"/>
          <w:spacing w:val="-5"/>
        </w:rPr>
        <w:t>L’architecture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bâtiment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commercial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situé</w:t>
      </w:r>
      <w:proofErr w:type="spellEnd"/>
      <w:r>
        <w:rPr>
          <w:color w:val="231F20"/>
          <w:spacing w:val="38"/>
          <w:w w:val="9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Haag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(SG)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réalisé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2019/2020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repose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1"/>
        </w:rPr>
        <w:t>une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structure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2"/>
        </w:rPr>
        <w:t>hybride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1"/>
        </w:rPr>
        <w:t>efficiente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2"/>
        </w:rPr>
        <w:t>composée</w:t>
      </w:r>
      <w:proofErr w:type="spellEnd"/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bois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panneaux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sandwichs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Grâce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0"/>
          <w:w w:val="99"/>
        </w:rPr>
        <w:t xml:space="preserve"> </w:t>
      </w:r>
      <w:proofErr w:type="spellStart"/>
      <w:r>
        <w:rPr>
          <w:color w:val="231F20"/>
          <w:spacing w:val="-1"/>
        </w:rPr>
        <w:t>une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très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bonne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isolation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thermique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  <w:spacing w:val="-1"/>
        </w:rPr>
        <w:t>valeurs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atteignant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0,10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W/m</w:t>
      </w:r>
      <w:r>
        <w:rPr>
          <w:color w:val="231F20"/>
          <w:spacing w:val="-4"/>
          <w:position w:val="6"/>
          <w:sz w:val="10"/>
          <w:szCs w:val="10"/>
        </w:rPr>
        <w:t>2</w:t>
      </w:r>
      <w:r>
        <w:rPr>
          <w:color w:val="231F20"/>
          <w:spacing w:val="-5"/>
        </w:rPr>
        <w:t>K,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ou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tillage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électrique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économique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2"/>
        </w:rPr>
        <w:t>éclairage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LED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électroménager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+++,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consomme</w:t>
      </w:r>
      <w:proofErr w:type="spellEnd"/>
    </w:p>
    <w:p w14:paraId="047A16E4" w14:textId="77777777" w:rsidR="006B6521" w:rsidRDefault="000B01F8">
      <w:pPr>
        <w:pStyle w:val="Textkrper"/>
        <w:spacing w:line="232" w:lineRule="auto"/>
        <w:jc w:val="both"/>
      </w:pPr>
      <w:r>
        <w:br w:type="column"/>
      </w:r>
      <w:r>
        <w:rPr>
          <w:color w:val="231F20"/>
          <w:spacing w:val="-1"/>
        </w:rPr>
        <w:t>que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4’200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kWh/a.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façade,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l’installation</w:t>
      </w:r>
      <w:proofErr w:type="spellEnd"/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1"/>
        </w:rPr>
        <w:t xml:space="preserve"> de 12 kW </w:t>
      </w:r>
      <w:proofErr w:type="spellStart"/>
      <w:r>
        <w:rPr>
          <w:color w:val="231F20"/>
          <w:spacing w:val="-1"/>
        </w:rPr>
        <w:t>orientée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sud-est-ouest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génère</w:t>
      </w:r>
      <w:proofErr w:type="spellEnd"/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5’900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kWh/a.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Le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bâtiment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Bächi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1"/>
        </w:rPr>
        <w:t>alimente</w:t>
      </w:r>
      <w:proofErr w:type="spellEnd"/>
      <w:r>
        <w:rPr>
          <w:color w:val="231F20"/>
          <w:spacing w:val="20"/>
          <w:w w:val="99"/>
        </w:rPr>
        <w:t xml:space="preserve"> </w:t>
      </w:r>
      <w:proofErr w:type="spellStart"/>
      <w:r>
        <w:rPr>
          <w:color w:val="231F20"/>
          <w:spacing w:val="-1"/>
        </w:rPr>
        <w:t>ainsi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tous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appareils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3"/>
        </w:rPr>
        <w:t>l’énergie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solaire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totale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2"/>
        </w:rPr>
        <w:t>autarcie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2"/>
        </w:rPr>
        <w:t>réseau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Grâce</w:t>
      </w:r>
      <w:proofErr w:type="spellEnd"/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accumulateurs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permettant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stocker</w:t>
      </w:r>
      <w:r>
        <w:rPr>
          <w:color w:val="231F20"/>
          <w:spacing w:val="20"/>
          <w:w w:val="99"/>
        </w:rPr>
        <w:t xml:space="preserve"> </w:t>
      </w:r>
      <w:proofErr w:type="spellStart"/>
      <w:r>
        <w:rPr>
          <w:color w:val="231F20"/>
          <w:spacing w:val="-3"/>
        </w:rPr>
        <w:t>l’énergie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solaire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1’700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kWh/a,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fonction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façon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toute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l’année</w:t>
      </w:r>
      <w:proofErr w:type="spellEnd"/>
      <w:r>
        <w:rPr>
          <w:color w:val="231F20"/>
          <w:spacing w:val="-2"/>
        </w:rPr>
        <w:t>.</w:t>
      </w:r>
    </w:p>
    <w:p w14:paraId="5ACCEAB0" w14:textId="77777777" w:rsidR="006B6521" w:rsidRDefault="000B01F8">
      <w:pPr>
        <w:spacing w:before="9"/>
        <w:rPr>
          <w:rFonts w:ascii="Theinhardt Regular" w:eastAsia="Theinhardt Regular" w:hAnsi="Theinhardt Regular" w:cs="Theinhardt Regular"/>
          <w:sz w:val="11"/>
          <w:szCs w:val="11"/>
        </w:rPr>
      </w:pPr>
      <w:r>
        <w:br w:type="column"/>
      </w:r>
    </w:p>
    <w:p w14:paraId="0254552E" w14:textId="77777777" w:rsidR="006B6521" w:rsidRDefault="000B01F8">
      <w:pPr>
        <w:tabs>
          <w:tab w:val="left" w:pos="3438"/>
        </w:tabs>
        <w:ind w:left="106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z w:val="14"/>
          <w:u w:val="dotted" w:color="231F20"/>
        </w:rPr>
        <w:t>Technische</w:t>
      </w:r>
      <w:proofErr w:type="spellEnd"/>
      <w:r>
        <w:rPr>
          <w:rFonts w:ascii="Theinhardt Black"/>
          <w:b/>
          <w:color w:val="231F20"/>
          <w:sz w:val="14"/>
          <w:u w:val="dotted" w:color="231F20"/>
        </w:rPr>
        <w:t xml:space="preserve">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 xml:space="preserve"> </w:t>
      </w:r>
      <w:r>
        <w:rPr>
          <w:rFonts w:ascii="Theinhardt Black"/>
          <w:b/>
          <w:color w:val="231F20"/>
          <w:sz w:val="14"/>
          <w:u w:val="dotted" w:color="231F20"/>
        </w:rPr>
        <w:tab/>
      </w:r>
    </w:p>
    <w:p w14:paraId="7854871F" w14:textId="77777777" w:rsidR="006B6521" w:rsidRDefault="006B6521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DD0A00E" w14:textId="77777777" w:rsidR="006B6521" w:rsidRDefault="000B01F8">
      <w:pPr>
        <w:tabs>
          <w:tab w:val="left" w:pos="3442"/>
        </w:tabs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348459BA">
          <v:group id="_x0000_s1030" style="width:.45pt;height:.45pt;mso-position-horizontal-relative:char;mso-position-vertical-relative:line" coordsize="9,9">
            <v:group id="_x0000_s1031" style="position:absolute;left:4;top:4;width:2;height:2" coordorigin="4,4" coordsize="2,2">
              <v:shape id="_x0000_s1032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5B8CB45E">
          <v:group id="_x0000_s1027" style="width:.45pt;height:.45pt;mso-position-horizontal-relative:char;mso-position-vertical-relative:line" coordsize="9,9">
            <v:group id="_x0000_s1028" style="position:absolute;left:4;top:4;width:2;height:2" coordorigin="4,4" coordsize="2,2">
              <v:shape id="_x0000_s1029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27992A4E" w14:textId="77777777" w:rsidR="006B6521" w:rsidRDefault="000B01F8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proofErr w:type="spellEnd"/>
    </w:p>
    <w:p w14:paraId="39F8B76C" w14:textId="77777777" w:rsidR="006B6521" w:rsidRDefault="000B01F8">
      <w:pPr>
        <w:tabs>
          <w:tab w:val="left" w:pos="1191"/>
          <w:tab w:val="left" w:pos="1788"/>
          <w:tab w:val="left" w:pos="2660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20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15A16FD8" w14:textId="77777777" w:rsidR="006B6521" w:rsidRDefault="000B01F8">
      <w:pPr>
        <w:tabs>
          <w:tab w:val="left" w:pos="1198"/>
          <w:tab w:val="left" w:pos="1788"/>
          <w:tab w:val="left" w:pos="2663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6D4C817D" w14:textId="77777777" w:rsidR="006B6521" w:rsidRDefault="000B01F8">
      <w:pPr>
        <w:tabs>
          <w:tab w:val="left" w:pos="1075"/>
          <w:tab w:val="left" w:pos="1788"/>
          <w:tab w:val="left" w:pos="2642"/>
        </w:tabs>
        <w:spacing w:before="5" w:line="207" w:lineRule="auto"/>
        <w:ind w:left="106" w:right="18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0.25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proofErr w:type="spellStart"/>
      <w:r>
        <w:rPr>
          <w:rFonts w:ascii="Theinhardt Regular"/>
          <w:color w:val="231F20"/>
          <w:w w:val="95"/>
          <w:sz w:val="14"/>
        </w:rPr>
        <w:t>dreifach</w:t>
      </w:r>
      <w:proofErr w:type="spellEnd"/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0.60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2B109850" w14:textId="77777777" w:rsidR="006B6521" w:rsidRDefault="000B01F8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proofErr w:type="spellEnd"/>
    </w:p>
    <w:p w14:paraId="36B0114D" w14:textId="77777777" w:rsidR="006B6521" w:rsidRDefault="000B01F8">
      <w:pPr>
        <w:tabs>
          <w:tab w:val="left" w:pos="1693"/>
          <w:tab w:val="left" w:pos="2529"/>
          <w:tab w:val="left" w:pos="2992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300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1B948174" w14:textId="77777777" w:rsidR="006B6521" w:rsidRDefault="000B01F8">
      <w:pPr>
        <w:tabs>
          <w:tab w:val="left" w:pos="1975"/>
          <w:tab w:val="left" w:pos="3023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29.8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4’200</w:t>
      </w:r>
    </w:p>
    <w:p w14:paraId="2B3707BF" w14:textId="77777777" w:rsidR="006B6521" w:rsidRDefault="000B01F8">
      <w:pPr>
        <w:tabs>
          <w:tab w:val="left" w:pos="1965"/>
          <w:tab w:val="left" w:pos="3014"/>
        </w:tabs>
        <w:spacing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29.8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4’200</w:t>
      </w:r>
    </w:p>
    <w:p w14:paraId="79310499" w14:textId="77777777" w:rsidR="006B6521" w:rsidRDefault="000B01F8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Energieversorgung</w:t>
      </w:r>
      <w:proofErr w:type="spellEnd"/>
    </w:p>
    <w:p w14:paraId="688A5618" w14:textId="77777777" w:rsidR="006B6521" w:rsidRDefault="000B01F8">
      <w:pPr>
        <w:tabs>
          <w:tab w:val="left" w:pos="879"/>
          <w:tab w:val="left" w:pos="1423"/>
          <w:tab w:val="left" w:pos="2032"/>
          <w:tab w:val="left" w:pos="2529"/>
          <w:tab w:val="left" w:pos="2981"/>
          <w:tab w:val="left" w:pos="3011"/>
        </w:tabs>
        <w:spacing w:before="6" w:line="207" w:lineRule="auto"/>
        <w:ind w:left="106" w:right="18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12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152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5’900</w:t>
      </w:r>
    </w:p>
    <w:p w14:paraId="1E15C1F2" w14:textId="77777777" w:rsidR="006B6521" w:rsidRDefault="006B6521">
      <w:pPr>
        <w:spacing w:line="207" w:lineRule="auto"/>
        <w:rPr>
          <w:rFonts w:ascii="Theinhardt Bold" w:eastAsia="Theinhardt Bold" w:hAnsi="Theinhardt Bold" w:cs="Theinhardt Bold"/>
          <w:sz w:val="14"/>
          <w:szCs w:val="14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num="3" w:space="720" w:equalWidth="0">
            <w:col w:w="3452" w:space="119"/>
            <w:col w:w="3463" w:space="109"/>
            <w:col w:w="3587"/>
          </w:cols>
        </w:sectPr>
      </w:pPr>
    </w:p>
    <w:p w14:paraId="43BE119E" w14:textId="77777777" w:rsidR="006B6521" w:rsidRDefault="006B6521">
      <w:pPr>
        <w:spacing w:before="7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tbl>
      <w:tblPr>
        <w:tblStyle w:val="TableNormal"/>
        <w:tblW w:w="0" w:type="auto"/>
        <w:tblInd w:w="7194" w:type="dxa"/>
        <w:tblLayout w:type="fixed"/>
        <w:tblLook w:val="01E0" w:firstRow="1" w:lastRow="1" w:firstColumn="1" w:lastColumn="1" w:noHBand="0" w:noVBand="0"/>
      </w:tblPr>
      <w:tblGrid>
        <w:gridCol w:w="2101"/>
        <w:gridCol w:w="673"/>
        <w:gridCol w:w="625"/>
      </w:tblGrid>
      <w:tr w:rsidR="006B6521" w14:paraId="11F80FB0" w14:textId="77777777">
        <w:trPr>
          <w:trHeight w:hRule="exact" w:val="187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DB6B6C8" w14:textId="77777777" w:rsidR="006B6521" w:rsidRDefault="000B01F8">
            <w:pPr>
              <w:pStyle w:val="TableParagraph"/>
              <w:spacing w:before="4" w:line="18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proofErr w:type="spellEnd"/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</w:t>
            </w:r>
            <w:proofErr w:type="spellStart"/>
            <w:r>
              <w:rPr>
                <w:rFonts w:ascii="Theinhardt Bold"/>
                <w:b/>
                <w:color w:val="231F20"/>
                <w:spacing w:val="1"/>
                <w:sz w:val="14"/>
              </w:rPr>
              <w:t>Endenergie</w:t>
            </w:r>
            <w:proofErr w:type="spellEnd"/>
            <w:r>
              <w:rPr>
                <w:rFonts w:ascii="Theinhardt Bold"/>
                <w:b/>
                <w:color w:val="231F20"/>
                <w:spacing w:val="1"/>
                <w:sz w:val="14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158F1570" w14:textId="77777777" w:rsidR="006B6521" w:rsidRDefault="000B01F8">
            <w:pPr>
              <w:pStyle w:val="TableParagraph"/>
              <w:spacing w:before="4" w:line="182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D362A0D" w14:textId="77777777" w:rsidR="006B6521" w:rsidRDefault="000B01F8">
            <w:pPr>
              <w:pStyle w:val="TableParagraph"/>
              <w:spacing w:before="4" w:line="182" w:lineRule="exact"/>
              <w:ind w:left="16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6B6521" w14:paraId="1720C0CC" w14:textId="77777777">
        <w:trPr>
          <w:trHeight w:hRule="exact" w:val="15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747E9A0B" w14:textId="77777777" w:rsidR="006B6521" w:rsidRDefault="000B01F8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</w:t>
            </w:r>
            <w:proofErr w:type="spellEnd"/>
            <w:r>
              <w:rPr>
                <w:rFonts w:ascii="Theinhardt Bold"/>
                <w:b/>
                <w:color w:val="231F20"/>
                <w:spacing w:val="1"/>
                <w:sz w:val="14"/>
              </w:rPr>
              <w:t>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7E8804C" w14:textId="77777777" w:rsidR="006B6521" w:rsidRDefault="000B01F8">
            <w:pPr>
              <w:pStyle w:val="TableParagraph"/>
              <w:spacing w:line="159" w:lineRule="exact"/>
              <w:ind w:left="26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D8EB774" w14:textId="77777777" w:rsidR="006B6521" w:rsidRDefault="000B01F8">
            <w:pPr>
              <w:pStyle w:val="TableParagraph"/>
              <w:spacing w:line="159" w:lineRule="exact"/>
              <w:ind w:left="18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5’900</w:t>
            </w:r>
          </w:p>
        </w:tc>
      </w:tr>
      <w:tr w:rsidR="006B6521" w14:paraId="7B6F846E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5E911C10" w14:textId="77777777" w:rsidR="006B6521" w:rsidRDefault="000B01F8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231F20"/>
                <w:spacing w:val="2"/>
                <w:sz w:val="14"/>
              </w:rPr>
              <w:t>Gesamtenergiebedarf</w:t>
            </w:r>
            <w:proofErr w:type="spellEnd"/>
            <w:r>
              <w:rPr>
                <w:rFonts w:ascii="Theinhardt Regular"/>
                <w:color w:val="231F20"/>
                <w:spacing w:val="2"/>
                <w:sz w:val="14"/>
              </w:rPr>
              <w:t>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FEE765D" w14:textId="77777777" w:rsidR="006B6521" w:rsidRDefault="000B01F8">
            <w:pPr>
              <w:pStyle w:val="TableParagraph"/>
              <w:spacing w:line="160" w:lineRule="exact"/>
              <w:ind w:left="25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A3FC4D8" w14:textId="77777777" w:rsidR="006B6521" w:rsidRDefault="000B01F8">
            <w:pPr>
              <w:pStyle w:val="TableParagraph"/>
              <w:spacing w:line="160" w:lineRule="exact"/>
              <w:ind w:left="18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4’200</w:t>
            </w:r>
          </w:p>
        </w:tc>
      </w:tr>
      <w:tr w:rsidR="006B6521" w14:paraId="1C213179" w14:textId="77777777">
        <w:trPr>
          <w:trHeight w:hRule="exact" w:val="251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00387ACF" w14:textId="77777777" w:rsidR="006B6521" w:rsidRDefault="000B01F8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</w:t>
            </w:r>
            <w:proofErr w:type="spellEnd"/>
            <w:r>
              <w:rPr>
                <w:rFonts w:ascii="Theinhardt Regular" w:hAnsi="Theinhardt Regular"/>
                <w:color w:val="231F20"/>
                <w:sz w:val="14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für</w:t>
            </w:r>
            <w:proofErr w:type="spellEnd"/>
            <w:r>
              <w:rPr>
                <w:rFonts w:ascii="Theinhardt Regular" w:hAnsi="Theinhardt Regular"/>
                <w:color w:val="231F20"/>
                <w:sz w:val="14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Batterien</w:t>
            </w:r>
            <w:proofErr w:type="spellEnd"/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11CBFAA5" w14:textId="77777777" w:rsidR="006B6521" w:rsidRDefault="000B01F8">
            <w:pPr>
              <w:pStyle w:val="TableParagraph"/>
              <w:spacing w:line="164" w:lineRule="exact"/>
              <w:ind w:left="34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95B3C32" w14:textId="77777777" w:rsidR="006B6521" w:rsidRDefault="000B01F8">
            <w:pPr>
              <w:pStyle w:val="TableParagraph"/>
              <w:spacing w:line="164" w:lineRule="exact"/>
              <w:ind w:left="19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1’700</w:t>
            </w:r>
          </w:p>
        </w:tc>
      </w:tr>
    </w:tbl>
    <w:p w14:paraId="4073BCCF" w14:textId="77777777" w:rsidR="006B6521" w:rsidRDefault="000B01F8">
      <w:pPr>
        <w:spacing w:before="72" w:line="160" w:lineRule="exact"/>
        <w:ind w:left="7250" w:right="364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3FF0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-59.15pt;width:345.85pt;height:134.8pt;z-index:1168;mso-position-horizontal-relative:page;mso-position-vertical-relative:text">
            <v:imagedata r:id="rId4" o:title=""/>
            <w10:wrap anchorx="page"/>
          </v:shape>
        </w:pict>
      </w: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BÄCHI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POWER,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eigener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Zähler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Bächi</w:t>
      </w:r>
      <w:proofErr w:type="spellEnd"/>
    </w:p>
    <w:p w14:paraId="331F2079" w14:textId="77777777" w:rsidR="006B6521" w:rsidRDefault="006B6521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space="720"/>
        </w:sectPr>
      </w:pPr>
    </w:p>
    <w:p w14:paraId="4C2DA28A" w14:textId="77777777" w:rsidR="006B6521" w:rsidRDefault="006B652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0DC16725" w14:textId="77777777" w:rsidR="006B6521" w:rsidRDefault="006B652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4F9EB634" w14:textId="77777777" w:rsidR="006B6521" w:rsidRDefault="006B652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16C0D8D6" w14:textId="77777777" w:rsidR="006B6521" w:rsidRDefault="006B652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7F4B4B73" w14:textId="77777777" w:rsidR="006B6521" w:rsidRDefault="006B652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069A8673" w14:textId="77777777" w:rsidR="006B6521" w:rsidRDefault="006B6521">
      <w:pPr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71248D11" w14:textId="77777777" w:rsidR="006B6521" w:rsidRDefault="000B01F8">
      <w:pPr>
        <w:spacing w:line="160" w:lineRule="exact"/>
        <w:ind w:left="106" w:right="16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Das </w:t>
      </w:r>
      <w:proofErr w:type="spellStart"/>
      <w:r>
        <w:rPr>
          <w:rFonts w:ascii="Theinhardt Bold" w:hAnsi="Theinhardt Bold"/>
          <w:b/>
          <w:color w:val="231F20"/>
          <w:sz w:val="14"/>
        </w:rPr>
        <w:t>solarbetriebene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Gewerbegebäude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läuft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als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eines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ersten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Industriegebäude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weltweit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auschliesslich</w:t>
      </w:r>
      <w:proofErr w:type="spellEnd"/>
      <w:r>
        <w:rPr>
          <w:rFonts w:ascii="Theinhardt Bold" w:hAnsi="Theinhardt Bold"/>
          <w:b/>
          <w:color w:val="231F20"/>
          <w:spacing w:val="64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mit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vom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Gebäude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produzierten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und </w:t>
      </w:r>
      <w:proofErr w:type="spellStart"/>
      <w:r>
        <w:rPr>
          <w:rFonts w:ascii="Theinhardt Bold" w:hAnsi="Theinhardt Bold"/>
          <w:b/>
          <w:color w:val="231F20"/>
          <w:sz w:val="14"/>
        </w:rPr>
        <w:t>im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Gebäude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gespeichertem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Solarstrom</w:t>
      </w:r>
      <w:proofErr w:type="spellEnd"/>
      <w:r>
        <w:rPr>
          <w:rFonts w:ascii="Theinhardt Bold" w:hAnsi="Theinhardt Bold"/>
          <w:b/>
          <w:color w:val="231F20"/>
          <w:spacing w:val="-1"/>
          <w:sz w:val="14"/>
        </w:rPr>
        <w:t>.</w:t>
      </w:r>
    </w:p>
    <w:p w14:paraId="2244B439" w14:textId="77777777" w:rsidR="006B6521" w:rsidRDefault="000B01F8">
      <w:pPr>
        <w:rPr>
          <w:rFonts w:ascii="Theinhardt Bold" w:eastAsia="Theinhardt Bold" w:hAnsi="Theinhardt Bold" w:cs="Theinhardt Bold"/>
          <w:b/>
          <w:bCs/>
          <w:sz w:val="10"/>
          <w:szCs w:val="10"/>
        </w:rPr>
      </w:pPr>
      <w:r>
        <w:br w:type="column"/>
      </w:r>
    </w:p>
    <w:p w14:paraId="40C2A9AD" w14:textId="77777777" w:rsidR="006B6521" w:rsidRDefault="000B01F8">
      <w:pPr>
        <w:spacing w:line="18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Beteiligte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Personen</w:t>
      </w:r>
      <w:proofErr w:type="spellEnd"/>
    </w:p>
    <w:p w14:paraId="06F429D1" w14:textId="77777777" w:rsidR="006B6521" w:rsidRDefault="000B01F8">
      <w:pPr>
        <w:spacing w:line="18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Bächi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BÄCHI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POWER,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Haag,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color w:val="231F20"/>
          <w:sz w:val="14"/>
        </w:rPr>
        <w:t xml:space="preserve"> 299 </w:t>
      </w:r>
      <w:r>
        <w:rPr>
          <w:rFonts w:ascii="Theinhardt Regular" w:hAnsi="Theinhardt Regular"/>
          <w:color w:val="231F20"/>
          <w:spacing w:val="-4"/>
          <w:sz w:val="14"/>
        </w:rPr>
        <w:t>14</w:t>
      </w:r>
      <w:r>
        <w:rPr>
          <w:rFonts w:ascii="Theinhardt Regular" w:hAnsi="Theinhardt Regular"/>
          <w:color w:val="231F20"/>
          <w:sz w:val="14"/>
        </w:rPr>
        <w:t xml:space="preserve"> 8</w:t>
      </w:r>
    </w:p>
    <w:p w14:paraId="5FF4F3D7" w14:textId="77777777" w:rsidR="006B6521" w:rsidRDefault="000B01F8">
      <w:pPr>
        <w:spacing w:line="18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1"/>
          <w:sz w:val="14"/>
        </w:rPr>
        <w:t>Alpiger</w:t>
      </w:r>
      <w:proofErr w:type="spellEnd"/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z w:val="14"/>
        </w:rPr>
        <w:t>AG,</w:t>
      </w:r>
      <w:r>
        <w:rPr>
          <w:rFonts w:ascii="Theinhardt Regular"/>
          <w:color w:val="231F20"/>
          <w:spacing w:val="-1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Sennwald</w:t>
      </w:r>
      <w:proofErr w:type="spellEnd"/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757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color w:val="231F20"/>
          <w:spacing w:val="-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44</w:t>
      </w:r>
    </w:p>
    <w:p w14:paraId="533B72CB" w14:textId="77777777" w:rsidR="006B6521" w:rsidRDefault="000B01F8">
      <w:pPr>
        <w:spacing w:line="18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w w:val="95"/>
          <w:sz w:val="14"/>
        </w:rPr>
        <w:t>Marty</w:t>
      </w:r>
      <w:r>
        <w:rPr>
          <w:rFonts w:ascii="Theinhardt Regular"/>
          <w:color w:val="231F20"/>
          <w:spacing w:val="-8"/>
          <w:w w:val="95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w w:val="95"/>
          <w:sz w:val="14"/>
        </w:rPr>
        <w:t>Bauleistungen</w:t>
      </w:r>
      <w:proofErr w:type="spellEnd"/>
      <w:r>
        <w:rPr>
          <w:rFonts w:ascii="Theinhardt Regular"/>
          <w:color w:val="231F20"/>
          <w:spacing w:val="-8"/>
          <w:w w:val="95"/>
          <w:sz w:val="14"/>
        </w:rPr>
        <w:t xml:space="preserve"> </w:t>
      </w:r>
      <w:r>
        <w:rPr>
          <w:rFonts w:ascii="Theinhardt Regular"/>
          <w:color w:val="231F20"/>
          <w:w w:val="95"/>
          <w:sz w:val="14"/>
        </w:rPr>
        <w:t>AG,</w:t>
      </w:r>
      <w:r>
        <w:rPr>
          <w:rFonts w:ascii="Theinhardt Regular"/>
          <w:color w:val="231F20"/>
          <w:spacing w:val="-7"/>
          <w:w w:val="95"/>
          <w:sz w:val="14"/>
        </w:rPr>
        <w:t xml:space="preserve"> </w:t>
      </w:r>
      <w:proofErr w:type="spellStart"/>
      <w:r>
        <w:rPr>
          <w:rFonts w:ascii="Theinhardt Regular"/>
          <w:color w:val="231F20"/>
          <w:w w:val="95"/>
          <w:sz w:val="14"/>
        </w:rPr>
        <w:t>Sennwald</w:t>
      </w:r>
      <w:proofErr w:type="spellEnd"/>
      <w:r>
        <w:rPr>
          <w:rFonts w:ascii="Theinhardt Regular"/>
          <w:color w:val="231F20"/>
          <w:w w:val="95"/>
          <w:sz w:val="14"/>
        </w:rPr>
        <w:t>,</w:t>
      </w:r>
      <w:r>
        <w:rPr>
          <w:rFonts w:ascii="Theinhardt Regular"/>
          <w:color w:val="231F20"/>
          <w:spacing w:val="-8"/>
          <w:w w:val="95"/>
          <w:sz w:val="14"/>
        </w:rPr>
        <w:t xml:space="preserve"> </w:t>
      </w:r>
      <w:r>
        <w:rPr>
          <w:rFonts w:ascii="Theinhardt Regular"/>
          <w:color w:val="231F20"/>
          <w:spacing w:val="-3"/>
          <w:w w:val="95"/>
          <w:sz w:val="14"/>
        </w:rPr>
        <w:t>Tel.</w:t>
      </w:r>
      <w:r>
        <w:rPr>
          <w:rFonts w:ascii="Theinhardt Regular"/>
          <w:color w:val="231F20"/>
          <w:spacing w:val="-7"/>
          <w:w w:val="95"/>
          <w:sz w:val="14"/>
        </w:rPr>
        <w:t xml:space="preserve"> +41</w:t>
      </w:r>
      <w:r>
        <w:rPr>
          <w:rFonts w:ascii="Theinhardt Regular"/>
          <w:color w:val="231F20"/>
          <w:spacing w:val="-14"/>
          <w:w w:val="95"/>
          <w:sz w:val="14"/>
        </w:rPr>
        <w:t xml:space="preserve"> </w:t>
      </w:r>
      <w:r>
        <w:rPr>
          <w:rFonts w:ascii="Theinhardt Regular"/>
          <w:color w:val="231F20"/>
          <w:spacing w:val="-5"/>
          <w:w w:val="95"/>
          <w:sz w:val="14"/>
        </w:rPr>
        <w:t>81</w:t>
      </w:r>
      <w:r>
        <w:rPr>
          <w:rFonts w:ascii="Theinhardt Regular"/>
          <w:color w:val="231F20"/>
          <w:spacing w:val="-13"/>
          <w:w w:val="95"/>
          <w:sz w:val="14"/>
        </w:rPr>
        <w:t xml:space="preserve"> </w:t>
      </w:r>
      <w:r>
        <w:rPr>
          <w:rFonts w:ascii="Theinhardt Regular"/>
          <w:color w:val="231F20"/>
          <w:spacing w:val="-3"/>
          <w:w w:val="95"/>
          <w:sz w:val="14"/>
        </w:rPr>
        <w:t>750</w:t>
      </w:r>
      <w:r>
        <w:rPr>
          <w:rFonts w:ascii="Theinhardt Regular"/>
          <w:color w:val="231F20"/>
          <w:spacing w:val="-13"/>
          <w:w w:val="95"/>
          <w:sz w:val="14"/>
        </w:rPr>
        <w:t xml:space="preserve"> </w:t>
      </w:r>
      <w:r>
        <w:rPr>
          <w:rFonts w:ascii="Theinhardt Regular"/>
          <w:color w:val="231F20"/>
          <w:spacing w:val="-1"/>
          <w:w w:val="95"/>
          <w:sz w:val="14"/>
        </w:rPr>
        <w:t>43</w:t>
      </w:r>
      <w:r>
        <w:rPr>
          <w:rFonts w:ascii="Theinhardt Regular"/>
          <w:color w:val="231F20"/>
          <w:spacing w:val="-14"/>
          <w:w w:val="95"/>
          <w:sz w:val="14"/>
        </w:rPr>
        <w:t xml:space="preserve"> </w:t>
      </w:r>
      <w:r>
        <w:rPr>
          <w:rFonts w:ascii="Theinhardt Regular"/>
          <w:color w:val="231F20"/>
          <w:spacing w:val="-1"/>
          <w:w w:val="95"/>
          <w:sz w:val="14"/>
        </w:rPr>
        <w:t>43</w:t>
      </w:r>
    </w:p>
    <w:p w14:paraId="2AAFC0F8" w14:textId="77777777" w:rsidR="006B6521" w:rsidRDefault="000B01F8">
      <w:pPr>
        <w:spacing w:line="18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Kolb </w:t>
      </w:r>
      <w:proofErr w:type="spellStart"/>
      <w:r>
        <w:rPr>
          <w:rFonts w:ascii="Theinhardt Regular"/>
          <w:color w:val="231F20"/>
          <w:spacing w:val="2"/>
          <w:sz w:val="14"/>
        </w:rPr>
        <w:t>Elektro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SBW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Haag,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763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</w:t>
      </w:r>
    </w:p>
    <w:p w14:paraId="338AC129" w14:textId="77777777" w:rsidR="006B6521" w:rsidRDefault="000B01F8">
      <w:pPr>
        <w:spacing w:line="18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2"/>
          <w:sz w:val="14"/>
        </w:rPr>
        <w:t>Egeter&amp;Partner</w:t>
      </w:r>
      <w:proofErr w:type="spellEnd"/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Haag,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750 36 66</w:t>
      </w:r>
    </w:p>
    <w:p w14:paraId="6D211E47" w14:textId="77777777" w:rsidR="006B6521" w:rsidRDefault="006B6521">
      <w:pPr>
        <w:spacing w:line="18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6B6521">
          <w:type w:val="continuous"/>
          <w:pgSz w:w="11910" w:h="16840"/>
          <w:pgMar w:top="1580" w:right="720" w:bottom="280" w:left="460" w:header="720" w:footer="720" w:gutter="0"/>
          <w:cols w:num="2" w:space="720" w:equalWidth="0">
            <w:col w:w="7024" w:space="119"/>
            <w:col w:w="3587"/>
          </w:cols>
        </w:sectPr>
      </w:pPr>
    </w:p>
    <w:p w14:paraId="2A938893" w14:textId="77777777" w:rsidR="006B6521" w:rsidRDefault="006B6521">
      <w:pPr>
        <w:spacing w:before="7"/>
        <w:rPr>
          <w:rFonts w:ascii="Theinhardt Regular" w:eastAsia="Theinhardt Regular" w:hAnsi="Theinhardt Regular" w:cs="Theinhardt Regular"/>
          <w:sz w:val="26"/>
          <w:szCs w:val="26"/>
        </w:rPr>
      </w:pPr>
    </w:p>
    <w:p w14:paraId="78EB2FC3" w14:textId="77777777" w:rsidR="006B6521" w:rsidRDefault="000B01F8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76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6B6521">
      <w:type w:val="continuous"/>
      <w:pgSz w:w="11910" w:h="16840"/>
      <w:pgMar w:top="158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21"/>
    <w:rsid w:val="000B01F8"/>
    <w:rsid w:val="006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04F1ACBC"/>
  <w15:docId w15:val="{07453D5B-8398-49EA-AB37-538E37B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1"/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2021-10-19T13:42:00Z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