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DF03" w14:textId="77777777" w:rsidR="005F6E6D" w:rsidRDefault="00BB3E5B">
      <w:pPr>
        <w:pStyle w:val="Textkrper"/>
        <w:tabs>
          <w:tab w:val="left" w:pos="2537"/>
        </w:tabs>
        <w:spacing w:line="230" w:lineRule="exact"/>
        <w:jc w:val="both"/>
        <w:rPr>
          <w:rFonts w:ascii="Theinhardt Regular" w:eastAsia="Theinhardt Regular" w:hAnsi="Theinhardt Regular" w:cs="Theinhardt Regular"/>
          <w:b w:val="0"/>
          <w:bCs w:val="0"/>
        </w:rPr>
      </w:pPr>
      <w:r>
        <w:pict w14:anchorId="4E878DB7">
          <v:group id="_x0000_s1062" style="position:absolute;left:0;text-align:left;margin-left:28.55pt;margin-top:13.65pt;width:.1pt;height:.1pt;z-index:-5848;mso-position-horizontal-relative:page" coordorigin="571,273" coordsize="2,2">
            <v:shape id="_x0000_s1063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41548B02">
          <v:group id="_x0000_s1060" style="position:absolute;left:0;text-align:left;margin-left:150.3pt;margin-top:13.65pt;width:.1pt;height:.1pt;z-index:1120;mso-position-horizontal-relative:page" coordorigin="3006,273" coordsize="2,2">
            <v:shape id="_x0000_s1061" style="position:absolute;left:3006;top:273;width:2;height:2" coordorigin="3006,273" coordsize="0,0" path="m3006,273r,e" filled="f" strokecolor="#231f20" strokeweight=".14994mm">
              <v:path arrowok="t"/>
            </v:shape>
            <w10:wrap anchorx="page"/>
          </v:group>
        </w:pict>
      </w:r>
      <w:r>
        <w:pict w14:anchorId="6365AA49">
          <v:group id="_x0000_s1058" style="position:absolute;left:0;text-align:left;margin-left:28.55pt;margin-top:25.15pt;width:.1pt;height:.1pt;z-index:-5800;mso-position-horizontal-relative:page" coordorigin="571,503" coordsize="2,2">
            <v:shape id="_x0000_s1059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4E429533">
          <v:group id="_x0000_s1056" style="position:absolute;left:0;text-align:left;margin-left:150.3pt;margin-top:25.15pt;width:.1pt;height:.1pt;z-index:1168;mso-position-horizontal-relative:page" coordorigin="3006,503" coordsize="2,2">
            <v:shape id="_x0000_s1057" style="position:absolute;left:3006;top:503;width:2;height:2" coordorigin="3006,503" coordsize="0,0" path="m3006,503r,e" filled="f" strokecolor="#231f20" strokeweight=".14994mm">
              <v:path arrowok="t"/>
            </v:shape>
            <w10:wrap anchorx="page"/>
          </v:group>
        </w:pict>
      </w:r>
      <w:r>
        <w:pict w14:anchorId="6B62A7D5">
          <v:group id="_x0000_s1049" style="position:absolute;left:0;text-align:left;margin-left:28.35pt;margin-top:36.45pt;width:122.2pt;height:.45pt;z-index:1192;mso-position-horizontal-relative:page" coordorigin="567,729" coordsize="2444,9">
            <v:group id="_x0000_s1054" style="position:absolute;left:588;top:733;width:2410;height:2" coordorigin="588,733" coordsize="2410,2">
              <v:shape id="_x0000_s1055" style="position:absolute;left:588;top:733;width:2410;height:2" coordorigin="588,733" coordsize="2410,0" path="m588,733r2409,e" filled="f" strokecolor="#231f20" strokeweight=".14994mm">
                <v:stroke dashstyle="dash"/>
                <v:path arrowok="t"/>
              </v:shape>
            </v:group>
            <v:group id="_x0000_s1052" style="position:absolute;left:571;top:733;width:2;height:2" coordorigin="571,733" coordsize="2,2">
              <v:shape id="_x0000_s1053" style="position:absolute;left:571;top:733;width:2;height:2" coordorigin="571,733" coordsize="0,0" path="m571,733r,e" filled="f" strokecolor="#231f20" strokeweight=".14994mm">
                <v:path arrowok="t"/>
              </v:shape>
            </v:group>
            <v:group id="_x0000_s1050" style="position:absolute;left:3006;top:733;width:2;height:2" coordorigin="3006,733" coordsize="2,2">
              <v:shape id="_x0000_s1051" style="position:absolute;left:3006;top:733;width:2;height:2" coordorigin="3006,733" coordsize="0,0" path="m3006,733r,e" filled="f" strokecolor="#231f20" strokeweight=".14994mm">
                <v:path arrowok="t"/>
              </v:shape>
            </v:group>
            <w10:wrap anchorx="page"/>
          </v:group>
        </w:pict>
      </w:r>
      <w:r>
        <w:pict w14:anchorId="42CD7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8.35pt;margin-top:52.4pt;width:82.2pt;height:58.3pt;z-index:1240;mso-position-horizontal-relative:page">
            <v:imagedata r:id="rId4" o:title=""/>
            <w10:wrap anchorx="page"/>
          </v:shape>
        </w:pict>
      </w:r>
      <w:r>
        <w:rPr>
          <w:rFonts w:ascii="Theinhardt Black" w:hAnsi="Theinhardt Black"/>
          <w:color w:val="231F20"/>
          <w:spacing w:val="2"/>
          <w:u w:val="dotted" w:color="231F20"/>
        </w:rPr>
        <w:t>Catégorie</w:t>
      </w:r>
      <w:r>
        <w:rPr>
          <w:rFonts w:ascii="Theinhardt Black" w:hAnsi="Theinhardt Black"/>
          <w:color w:val="231F20"/>
          <w:u w:val="dotted" w:color="231F20"/>
        </w:rPr>
        <w:t xml:space="preserve">                         </w:t>
      </w:r>
      <w:r>
        <w:rPr>
          <w:rFonts w:ascii="Theinhardt Black" w:hAnsi="Theinhardt Black"/>
          <w:color w:val="231F20"/>
          <w:spacing w:val="10"/>
          <w:u w:val="dotted" w:color="231F20"/>
        </w:rPr>
        <w:t xml:space="preserve"> </w:t>
      </w:r>
      <w:r>
        <w:rPr>
          <w:rFonts w:ascii="Theinhardt Black" w:hAnsi="Theinhardt Black"/>
          <w:color w:val="231F20"/>
          <w:u w:val="dotted" w:color="231F20"/>
        </w:rPr>
        <w:t xml:space="preserve">B </w:t>
      </w:r>
      <w:r>
        <w:rPr>
          <w:rFonts w:ascii="Theinhardt Black" w:hAnsi="Theinhardt Black"/>
          <w:color w:val="231F20"/>
          <w:u w:val="dotted" w:color="231F20"/>
        </w:rPr>
        <w:tab/>
      </w:r>
      <w:r>
        <w:rPr>
          <w:rFonts w:ascii="Theinhardt Black" w:hAnsi="Theinhardt Black"/>
          <w:color w:val="231F20"/>
          <w:spacing w:val="21"/>
        </w:rPr>
        <w:t xml:space="preserve"> </w:t>
      </w:r>
      <w:r>
        <w:rPr>
          <w:rFonts w:ascii="Theinhardt Black" w:hAnsi="Theinhardt Black"/>
          <w:color w:val="231F20"/>
          <w:spacing w:val="3"/>
          <w:u w:val="dotted" w:color="231F20"/>
        </w:rPr>
        <w:t>Bât.</w:t>
      </w:r>
      <w:r>
        <w:rPr>
          <w:rFonts w:ascii="Theinhardt Black" w:hAnsi="Theinhardt Black"/>
          <w:color w:val="231F20"/>
          <w:spacing w:val="-11"/>
          <w:u w:val="dotted" w:color="231F20"/>
        </w:rPr>
        <w:t xml:space="preserve"> </w:t>
      </w:r>
      <w:r>
        <w:rPr>
          <w:rFonts w:ascii="Theinhardt Black" w:hAnsi="Theinhardt Black"/>
          <w:color w:val="231F20"/>
          <w:u w:val="dotted" w:color="231F20"/>
        </w:rPr>
        <w:t xml:space="preserve">à Énergie </w:t>
      </w:r>
      <w:r>
        <w:rPr>
          <w:rFonts w:ascii="Theinhardt Black" w:hAnsi="Theinhardt Black"/>
          <w:color w:val="231F20"/>
          <w:spacing w:val="1"/>
          <w:u w:val="dotted" w:color="231F20"/>
        </w:rPr>
        <w:t>Positive</w:t>
      </w:r>
      <w:r>
        <w:rPr>
          <w:rFonts w:ascii="Theinhardt Black" w:hAnsi="Theinhardt Black"/>
          <w:color w:val="231F20"/>
          <w:u w:val="dotted" w:color="231F20"/>
        </w:rPr>
        <w:t xml:space="preserve">          </w:t>
      </w:r>
      <w:r>
        <w:rPr>
          <w:rFonts w:ascii="Theinhardt Black" w:hAnsi="Theinhardt Black"/>
          <w:color w:val="231F20"/>
          <w:spacing w:val="1"/>
          <w:u w:val="dotted" w:color="231F20"/>
        </w:rPr>
        <w:t xml:space="preserve"> </w:t>
      </w:r>
      <w:r>
        <w:rPr>
          <w:rFonts w:ascii="Theinhardt Black" w:hAnsi="Theinhardt Black"/>
          <w:color w:val="231F20"/>
          <w:spacing w:val="25"/>
        </w:rPr>
        <w:t xml:space="preserve"> </w:t>
      </w:r>
      <w:r>
        <w:rPr>
          <w:rFonts w:ascii="Theinhardt Regular" w:hAnsi="Theinhardt Regular"/>
          <w:b w:val="0"/>
          <w:color w:val="231F20"/>
          <w:spacing w:val="-1"/>
        </w:rPr>
        <w:t>Diplôme</w:t>
      </w:r>
      <w:r>
        <w:rPr>
          <w:rFonts w:ascii="Theinhardt Regular" w:hAnsi="Theinhardt Regular"/>
          <w:b w:val="0"/>
          <w:color w:val="231F20"/>
          <w:spacing w:val="1"/>
        </w:rPr>
        <w:t xml:space="preserve"> </w:t>
      </w:r>
      <w:r>
        <w:rPr>
          <w:rFonts w:ascii="Theinhardt Regular" w:hAnsi="Theinhardt Regular"/>
          <w:b w:val="0"/>
          <w:color w:val="231F20"/>
          <w:spacing w:val="-1"/>
        </w:rPr>
        <w:t>BEP</w:t>
      </w:r>
      <w:r>
        <w:rPr>
          <w:rFonts w:ascii="Theinhardt Regular" w:hAnsi="Theinhardt Regular"/>
          <w:b w:val="0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b w:val="0"/>
          <w:color w:val="231F20"/>
          <w:spacing w:val="23"/>
          <w:position w:val="6"/>
          <w:sz w:val="10"/>
        </w:rPr>
        <w:t xml:space="preserve"> </w:t>
      </w:r>
      <w:r>
        <w:rPr>
          <w:rFonts w:ascii="Theinhardt Regular" w:hAnsi="Theinhardt Regular"/>
          <w:b w:val="0"/>
          <w:color w:val="231F20"/>
        </w:rPr>
        <w:t>2021</w:t>
      </w:r>
    </w:p>
    <w:p w14:paraId="31D04F68" w14:textId="77777777" w:rsidR="005F6E6D" w:rsidRDefault="00BB3E5B">
      <w:pPr>
        <w:pStyle w:val="Textkrper"/>
        <w:spacing w:line="230" w:lineRule="exact"/>
        <w:ind w:right="108"/>
        <w:jc w:val="both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383638"/>
          <w:spacing w:val="-1"/>
        </w:rPr>
        <w:t>Construite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en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2019,</w:t>
      </w:r>
      <w:r>
        <w:rPr>
          <w:color w:val="383638"/>
          <w:spacing w:val="-17"/>
        </w:rPr>
        <w:t xml:space="preserve"> </w:t>
      </w:r>
      <w:r>
        <w:rPr>
          <w:color w:val="383638"/>
        </w:rPr>
        <w:t>la</w:t>
      </w:r>
      <w:r>
        <w:rPr>
          <w:color w:val="383638"/>
          <w:spacing w:val="-9"/>
        </w:rPr>
        <w:t xml:space="preserve"> </w:t>
      </w:r>
      <w:r>
        <w:rPr>
          <w:color w:val="383638"/>
        </w:rPr>
        <w:t>villa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-9"/>
        </w:rPr>
        <w:t xml:space="preserve"> </w:t>
      </w:r>
      <w:r>
        <w:rPr>
          <w:color w:val="383638"/>
        </w:rPr>
        <w:t>la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famille</w:t>
      </w:r>
      <w:r>
        <w:rPr>
          <w:color w:val="383638"/>
          <w:spacing w:val="-9"/>
        </w:rPr>
        <w:t xml:space="preserve"> </w:t>
      </w:r>
      <w:r>
        <w:rPr>
          <w:color w:val="383638"/>
        </w:rPr>
        <w:t>Donzallaz,</w:t>
      </w:r>
      <w:r>
        <w:rPr>
          <w:color w:val="383638"/>
          <w:spacing w:val="-17"/>
        </w:rPr>
        <w:t xml:space="preserve"> </w:t>
      </w:r>
      <w:r>
        <w:rPr>
          <w:color w:val="383638"/>
        </w:rPr>
        <w:t>à</w:t>
      </w:r>
      <w:r>
        <w:rPr>
          <w:color w:val="383638"/>
          <w:spacing w:val="-17"/>
        </w:rPr>
        <w:t xml:space="preserve"> </w:t>
      </w:r>
      <w:r>
        <w:rPr>
          <w:color w:val="383638"/>
          <w:spacing w:val="-2"/>
        </w:rPr>
        <w:t>Vuadens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(FR),</w:t>
      </w:r>
      <w:r>
        <w:rPr>
          <w:color w:val="383638"/>
          <w:spacing w:val="-17"/>
        </w:rPr>
        <w:t xml:space="preserve"> </w:t>
      </w:r>
      <w:r>
        <w:rPr>
          <w:color w:val="383638"/>
          <w:spacing w:val="-1"/>
        </w:rPr>
        <w:t>est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une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maison</w:t>
      </w:r>
      <w:r>
        <w:rPr>
          <w:color w:val="383638"/>
          <w:spacing w:val="-9"/>
        </w:rPr>
        <w:t xml:space="preserve"> </w:t>
      </w:r>
      <w:r>
        <w:rPr>
          <w:color w:val="383638"/>
        </w:rPr>
        <w:t>à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ossature</w:t>
      </w:r>
      <w:r>
        <w:rPr>
          <w:color w:val="383638"/>
          <w:spacing w:val="-9"/>
        </w:rPr>
        <w:t xml:space="preserve"> </w:t>
      </w:r>
      <w:r>
        <w:rPr>
          <w:color w:val="383638"/>
          <w:spacing w:val="-1"/>
        </w:rPr>
        <w:t>bois</w:t>
      </w:r>
      <w:r>
        <w:rPr>
          <w:color w:val="383638"/>
          <w:spacing w:val="28"/>
        </w:rPr>
        <w:t xml:space="preserve"> </w:t>
      </w:r>
      <w:r>
        <w:rPr>
          <w:color w:val="383638"/>
          <w:spacing w:val="-1"/>
        </w:rPr>
        <w:t>a</w:t>
      </w:r>
      <w:r>
        <w:rPr>
          <w:color w:val="383638"/>
        </w:rPr>
        <w:t>u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2"/>
        </w:rPr>
        <w:t>s</w:t>
      </w:r>
      <w:r>
        <w:rPr>
          <w:color w:val="383638"/>
        </w:rPr>
        <w:t>ta</w:t>
      </w:r>
      <w:r>
        <w:rPr>
          <w:color w:val="383638"/>
          <w:spacing w:val="-1"/>
        </w:rPr>
        <w:t>n</w:t>
      </w:r>
      <w:r>
        <w:rPr>
          <w:color w:val="383638"/>
        </w:rPr>
        <w:t>da</w:t>
      </w:r>
      <w:r>
        <w:rPr>
          <w:color w:val="383638"/>
          <w:spacing w:val="-2"/>
        </w:rPr>
        <w:t>r</w:t>
      </w:r>
      <w:r>
        <w:rPr>
          <w:color w:val="383638"/>
        </w:rPr>
        <w:t>d</w:t>
      </w:r>
      <w:r>
        <w:rPr>
          <w:color w:val="383638"/>
          <w:spacing w:val="14"/>
        </w:rPr>
        <w:t xml:space="preserve"> </w:t>
      </w:r>
      <w:r>
        <w:rPr>
          <w:color w:val="383638"/>
        </w:rPr>
        <w:t>M</w:t>
      </w:r>
      <w:r>
        <w:rPr>
          <w:color w:val="383638"/>
          <w:spacing w:val="-1"/>
        </w:rPr>
        <w:t>ine</w:t>
      </w:r>
      <w:r>
        <w:rPr>
          <w:color w:val="383638"/>
          <w:spacing w:val="-2"/>
        </w:rPr>
        <w:t>r</w:t>
      </w:r>
      <w:r>
        <w:rPr>
          <w:color w:val="383638"/>
          <w:spacing w:val="-1"/>
        </w:rPr>
        <w:t>g</w:t>
      </w:r>
      <w:r>
        <w:rPr>
          <w:color w:val="383638"/>
          <w:spacing w:val="-2"/>
        </w:rPr>
        <w:t>i</w:t>
      </w:r>
      <w:r>
        <w:rPr>
          <w:color w:val="383638"/>
          <w:spacing w:val="-1"/>
        </w:rPr>
        <w:t>e</w:t>
      </w:r>
      <w:r>
        <w:rPr>
          <w:color w:val="383638"/>
        </w:rPr>
        <w:t>-</w:t>
      </w:r>
      <w:r>
        <w:rPr>
          <w:color w:val="383638"/>
          <w:spacing w:val="-27"/>
        </w:rPr>
        <w:t>P</w:t>
      </w:r>
      <w:r>
        <w:rPr>
          <w:color w:val="383638"/>
        </w:rPr>
        <w:t>.</w:t>
      </w:r>
      <w:r>
        <w:rPr>
          <w:color w:val="383638"/>
          <w:spacing w:val="7"/>
        </w:rPr>
        <w:t xml:space="preserve"> </w:t>
      </w:r>
      <w:r>
        <w:rPr>
          <w:color w:val="383638"/>
        </w:rPr>
        <w:t>U</w:t>
      </w:r>
      <w:r>
        <w:rPr>
          <w:color w:val="383638"/>
          <w:spacing w:val="-1"/>
        </w:rPr>
        <w:t>n</w:t>
      </w:r>
      <w:r>
        <w:rPr>
          <w:color w:val="383638"/>
        </w:rPr>
        <w:t>e</w:t>
      </w:r>
      <w:r>
        <w:rPr>
          <w:color w:val="383638"/>
          <w:spacing w:val="14"/>
        </w:rPr>
        <w:t xml:space="preserve"> </w:t>
      </w:r>
      <w:r>
        <w:rPr>
          <w:color w:val="383638"/>
        </w:rPr>
        <w:t>b</w:t>
      </w:r>
      <w:r>
        <w:rPr>
          <w:color w:val="383638"/>
          <w:spacing w:val="-1"/>
        </w:rPr>
        <w:t>onn</w:t>
      </w:r>
      <w:r>
        <w:rPr>
          <w:color w:val="383638"/>
        </w:rPr>
        <w:t>e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1"/>
        </w:rPr>
        <w:t>iso</w:t>
      </w:r>
      <w:r>
        <w:rPr>
          <w:color w:val="383638"/>
        </w:rPr>
        <w:t>l</w:t>
      </w:r>
      <w:r>
        <w:rPr>
          <w:color w:val="383638"/>
          <w:spacing w:val="-1"/>
        </w:rPr>
        <w:t>a</w:t>
      </w:r>
      <w:r>
        <w:rPr>
          <w:color w:val="383638"/>
        </w:rPr>
        <w:t>t</w:t>
      </w:r>
      <w:r>
        <w:rPr>
          <w:color w:val="383638"/>
          <w:spacing w:val="-2"/>
        </w:rPr>
        <w:t>i</w:t>
      </w:r>
      <w:r>
        <w:rPr>
          <w:color w:val="383638"/>
          <w:spacing w:val="-1"/>
        </w:rPr>
        <w:t>o</w:t>
      </w:r>
      <w:r>
        <w:rPr>
          <w:color w:val="383638"/>
        </w:rPr>
        <w:t>n</w:t>
      </w:r>
      <w:r>
        <w:rPr>
          <w:color w:val="383638"/>
          <w:spacing w:val="14"/>
        </w:rPr>
        <w:t xml:space="preserve"> </w:t>
      </w:r>
      <w:r>
        <w:rPr>
          <w:color w:val="383638"/>
        </w:rPr>
        <w:t>t</w:t>
      </w:r>
      <w:r>
        <w:rPr>
          <w:color w:val="383638"/>
          <w:spacing w:val="-1"/>
        </w:rPr>
        <w:t>herm</w:t>
      </w:r>
      <w:r>
        <w:rPr>
          <w:color w:val="383638"/>
          <w:spacing w:val="-2"/>
        </w:rPr>
        <w:t>i</w:t>
      </w:r>
      <w:r>
        <w:rPr>
          <w:color w:val="383638"/>
          <w:spacing w:val="-1"/>
        </w:rPr>
        <w:t>qu</w:t>
      </w:r>
      <w:r>
        <w:rPr>
          <w:color w:val="383638"/>
        </w:rPr>
        <w:t>e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3"/>
        </w:rPr>
        <w:t>a</w:t>
      </w:r>
      <w:r>
        <w:rPr>
          <w:color w:val="383638"/>
          <w:spacing w:val="-1"/>
        </w:rPr>
        <w:t>v</w:t>
      </w:r>
      <w:r>
        <w:rPr>
          <w:color w:val="383638"/>
          <w:spacing w:val="1"/>
        </w:rPr>
        <w:t>e</w:t>
      </w:r>
      <w:r>
        <w:rPr>
          <w:color w:val="383638"/>
        </w:rPr>
        <w:t>c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2"/>
        </w:rPr>
        <w:t>d</w:t>
      </w:r>
      <w:r>
        <w:rPr>
          <w:color w:val="383638"/>
        </w:rPr>
        <w:t>es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1"/>
        </w:rPr>
        <w:t>va</w:t>
      </w:r>
      <w:r>
        <w:rPr>
          <w:color w:val="383638"/>
          <w:spacing w:val="-2"/>
        </w:rPr>
        <w:t>l</w:t>
      </w:r>
      <w:r>
        <w:rPr>
          <w:color w:val="383638"/>
        </w:rPr>
        <w:t>e</w:t>
      </w:r>
      <w:r>
        <w:rPr>
          <w:color w:val="383638"/>
          <w:spacing w:val="-1"/>
        </w:rPr>
        <w:t>u</w:t>
      </w:r>
      <w:r>
        <w:rPr>
          <w:color w:val="383638"/>
          <w:spacing w:val="-2"/>
        </w:rPr>
        <w:t>r</w:t>
      </w:r>
      <w:r>
        <w:rPr>
          <w:color w:val="383638"/>
        </w:rPr>
        <w:t>s</w:t>
      </w:r>
      <w:r>
        <w:rPr>
          <w:color w:val="383638"/>
          <w:spacing w:val="14"/>
        </w:rPr>
        <w:t xml:space="preserve"> </w:t>
      </w:r>
      <w:r>
        <w:rPr>
          <w:color w:val="383638"/>
        </w:rPr>
        <w:t>U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1"/>
        </w:rPr>
        <w:t>a</w:t>
      </w:r>
      <w:r>
        <w:rPr>
          <w:color w:val="383638"/>
          <w:spacing w:val="4"/>
        </w:rPr>
        <w:t>t</w:t>
      </w:r>
      <w:r>
        <w:rPr>
          <w:color w:val="383638"/>
          <w:spacing w:val="-1"/>
        </w:rPr>
        <w:t>te</w:t>
      </w:r>
      <w:r>
        <w:rPr>
          <w:color w:val="383638"/>
          <w:spacing w:val="-2"/>
        </w:rPr>
        <w:t>i</w:t>
      </w:r>
      <w:r>
        <w:rPr>
          <w:color w:val="383638"/>
          <w:spacing w:val="-1"/>
        </w:rPr>
        <w:t>gn</w:t>
      </w:r>
      <w:r>
        <w:rPr>
          <w:color w:val="383638"/>
        </w:rPr>
        <w:t>a</w:t>
      </w:r>
      <w:r>
        <w:rPr>
          <w:color w:val="383638"/>
          <w:spacing w:val="-1"/>
        </w:rPr>
        <w:t>n</w:t>
      </w:r>
      <w:r>
        <w:rPr>
          <w:color w:val="383638"/>
        </w:rPr>
        <w:t>t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2"/>
        </w:rPr>
        <w:t>l</w:t>
      </w:r>
      <w:r>
        <w:rPr>
          <w:color w:val="383638"/>
        </w:rPr>
        <w:t>es</w:t>
      </w:r>
      <w:r>
        <w:rPr>
          <w:color w:val="383638"/>
          <w:spacing w:val="14"/>
        </w:rPr>
        <w:t xml:space="preserve"> </w:t>
      </w:r>
      <w:r>
        <w:rPr>
          <w:color w:val="383638"/>
          <w:spacing w:val="-1"/>
        </w:rPr>
        <w:t xml:space="preserve">0,12 </w:t>
      </w:r>
      <w:r>
        <w:rPr>
          <w:color w:val="383638"/>
          <w:spacing w:val="-5"/>
        </w:rPr>
        <w:t>W/m</w:t>
      </w:r>
      <w:r>
        <w:rPr>
          <w:color w:val="383638"/>
          <w:spacing w:val="-5"/>
          <w:position w:val="6"/>
          <w:sz w:val="10"/>
          <w:szCs w:val="10"/>
        </w:rPr>
        <w:t>2</w:t>
      </w:r>
      <w:r>
        <w:rPr>
          <w:color w:val="383638"/>
          <w:spacing w:val="-5"/>
        </w:rPr>
        <w:t>K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limite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sa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consommation</w:t>
      </w:r>
      <w:r>
        <w:rPr>
          <w:color w:val="383638"/>
          <w:spacing w:val="3"/>
        </w:rPr>
        <w:t xml:space="preserve"> </w:t>
      </w:r>
      <w:r>
        <w:rPr>
          <w:color w:val="383638"/>
        </w:rPr>
        <w:t>à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5’600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3"/>
        </w:rPr>
        <w:t>kWh/a.</w:t>
      </w:r>
      <w:r>
        <w:rPr>
          <w:color w:val="383638"/>
          <w:spacing w:val="-4"/>
        </w:rPr>
        <w:t xml:space="preserve"> </w:t>
      </w:r>
      <w:r>
        <w:rPr>
          <w:color w:val="383638"/>
        </w:rPr>
        <w:t>Sur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le</w:t>
      </w:r>
      <w:r>
        <w:rPr>
          <w:color w:val="383638"/>
          <w:spacing w:val="3"/>
        </w:rPr>
        <w:t xml:space="preserve"> </w:t>
      </w:r>
      <w:r>
        <w:rPr>
          <w:color w:val="383638"/>
        </w:rPr>
        <w:t>toit,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l’installation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1"/>
        </w:rPr>
        <w:t>PV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8,5</w:t>
      </w:r>
      <w:r>
        <w:rPr>
          <w:color w:val="383638"/>
          <w:spacing w:val="4"/>
        </w:rPr>
        <w:t xml:space="preserve"> </w:t>
      </w:r>
      <w:r>
        <w:rPr>
          <w:color w:val="383638"/>
          <w:spacing w:val="-2"/>
        </w:rPr>
        <w:t>kWc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orientée</w:t>
      </w:r>
      <w:r>
        <w:rPr>
          <w:color w:val="383638"/>
          <w:spacing w:val="49"/>
        </w:rPr>
        <w:t xml:space="preserve"> </w:t>
      </w:r>
      <w:r>
        <w:rPr>
          <w:color w:val="383638"/>
          <w:spacing w:val="-1"/>
        </w:rPr>
        <w:t>sud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génère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10’400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3"/>
        </w:rPr>
        <w:t>kWh/a,</w:t>
      </w:r>
      <w:r>
        <w:rPr>
          <w:color w:val="383638"/>
          <w:spacing w:val="-12"/>
        </w:rPr>
        <w:t xml:space="preserve"> </w:t>
      </w:r>
      <w:r>
        <w:rPr>
          <w:color w:val="383638"/>
          <w:spacing w:val="-1"/>
        </w:rPr>
        <w:t>soit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une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autoproduction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185%.</w:t>
      </w:r>
      <w:r>
        <w:rPr>
          <w:color w:val="383638"/>
          <w:spacing w:val="-12"/>
        </w:rPr>
        <w:t xml:space="preserve"> </w:t>
      </w:r>
      <w:r>
        <w:rPr>
          <w:color w:val="383638"/>
          <w:spacing w:val="-4"/>
        </w:rPr>
        <w:t>L’excédent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solaire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1"/>
        </w:rPr>
        <w:t>4’800</w:t>
      </w:r>
      <w:r>
        <w:rPr>
          <w:color w:val="383638"/>
          <w:spacing w:val="-5"/>
        </w:rPr>
        <w:t xml:space="preserve"> </w:t>
      </w:r>
      <w:r>
        <w:rPr>
          <w:color w:val="383638"/>
          <w:spacing w:val="-3"/>
        </w:rPr>
        <w:t>kWh/a</w:t>
      </w:r>
      <w:r>
        <w:rPr>
          <w:color w:val="383638"/>
          <w:spacing w:val="57"/>
        </w:rPr>
        <w:t xml:space="preserve"> </w:t>
      </w:r>
      <w:r>
        <w:rPr>
          <w:color w:val="383638"/>
          <w:spacing w:val="-1"/>
        </w:rPr>
        <w:t>alimente</w:t>
      </w:r>
      <w:r>
        <w:rPr>
          <w:color w:val="383638"/>
          <w:spacing w:val="-3"/>
        </w:rPr>
        <w:t xml:space="preserve"> </w:t>
      </w:r>
      <w:r>
        <w:rPr>
          <w:color w:val="383638"/>
        </w:rPr>
        <w:t>la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voiture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électrique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-3"/>
        </w:rPr>
        <w:t xml:space="preserve"> </w:t>
      </w:r>
      <w:r>
        <w:rPr>
          <w:color w:val="383638"/>
        </w:rPr>
        <w:t>la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famille,</w:t>
      </w:r>
      <w:r>
        <w:rPr>
          <w:color w:val="383638"/>
          <w:spacing w:val="-10"/>
        </w:rPr>
        <w:t xml:space="preserve"> </w:t>
      </w:r>
      <w:r>
        <w:rPr>
          <w:color w:val="383638"/>
          <w:spacing w:val="-1"/>
        </w:rPr>
        <w:t>mais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permettrait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encore</w:t>
      </w:r>
      <w:r>
        <w:rPr>
          <w:color w:val="383638"/>
          <w:spacing w:val="-3"/>
        </w:rPr>
        <w:t xml:space="preserve"> </w:t>
      </w:r>
      <w:r>
        <w:rPr>
          <w:color w:val="383638"/>
        </w:rPr>
        <w:t>à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deux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autres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e-véhicules</w:t>
      </w:r>
      <w:r>
        <w:rPr>
          <w:color w:val="383638"/>
          <w:spacing w:val="-3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59"/>
        </w:rPr>
        <w:t xml:space="preserve"> </w:t>
      </w:r>
      <w:r>
        <w:rPr>
          <w:color w:val="383638"/>
          <w:spacing w:val="-1"/>
        </w:rPr>
        <w:t>parcourir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chacun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12’000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3"/>
        </w:rPr>
        <w:t>km/a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sans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émettre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4"/>
        </w:rPr>
        <w:t xml:space="preserve"> </w:t>
      </w:r>
      <w:r>
        <w:rPr>
          <w:color w:val="383638"/>
          <w:spacing w:val="-2"/>
        </w:rPr>
        <w:t>CO</w:t>
      </w:r>
      <w:r>
        <w:rPr>
          <w:color w:val="383638"/>
          <w:spacing w:val="-2"/>
          <w:position w:val="-5"/>
          <w:sz w:val="10"/>
          <w:szCs w:val="10"/>
        </w:rPr>
        <w:t>2</w:t>
      </w:r>
      <w:r>
        <w:rPr>
          <w:color w:val="383638"/>
          <w:spacing w:val="-2"/>
        </w:rPr>
        <w:t>.</w:t>
      </w:r>
      <w:r>
        <w:rPr>
          <w:color w:val="383638"/>
          <w:spacing w:val="-4"/>
        </w:rPr>
        <w:t xml:space="preserve"> </w:t>
      </w:r>
      <w:r>
        <w:rPr>
          <w:color w:val="383638"/>
        </w:rPr>
        <w:t>Si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toutes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les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familles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et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les</w:t>
      </w:r>
      <w:r>
        <w:rPr>
          <w:color w:val="383638"/>
          <w:spacing w:val="4"/>
        </w:rPr>
        <w:t xml:space="preserve"> </w:t>
      </w:r>
      <w:r>
        <w:rPr>
          <w:color w:val="383638"/>
          <w:spacing w:val="-1"/>
        </w:rPr>
        <w:t>PME</w:t>
      </w:r>
      <w:r>
        <w:rPr>
          <w:color w:val="383638"/>
          <w:spacing w:val="3"/>
        </w:rPr>
        <w:t xml:space="preserve"> </w:t>
      </w:r>
      <w:r>
        <w:rPr>
          <w:color w:val="383638"/>
          <w:spacing w:val="-1"/>
        </w:rPr>
        <w:t>approvisi-</w:t>
      </w:r>
      <w:r>
        <w:rPr>
          <w:color w:val="383638"/>
          <w:spacing w:val="61"/>
        </w:rPr>
        <w:t xml:space="preserve"> </w:t>
      </w:r>
      <w:r>
        <w:rPr>
          <w:color w:val="383638"/>
          <w:spacing w:val="-1"/>
        </w:rPr>
        <w:t>naient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1"/>
        </w:rPr>
        <w:t>leurs</w:t>
      </w:r>
      <w:r>
        <w:rPr>
          <w:color w:val="383638"/>
          <w:spacing w:val="10"/>
        </w:rPr>
        <w:t xml:space="preserve"> </w:t>
      </w:r>
      <w:r>
        <w:rPr>
          <w:color w:val="383638"/>
          <w:spacing w:val="-1"/>
        </w:rPr>
        <w:t>logements,</w:t>
      </w:r>
      <w:r>
        <w:rPr>
          <w:color w:val="383638"/>
          <w:spacing w:val="2"/>
        </w:rPr>
        <w:t xml:space="preserve"> </w:t>
      </w:r>
      <w:r>
        <w:rPr>
          <w:color w:val="383638"/>
          <w:spacing w:val="-1"/>
        </w:rPr>
        <w:t>bâtiments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1"/>
        </w:rPr>
        <w:t>et</w:t>
      </w:r>
      <w:r>
        <w:rPr>
          <w:color w:val="383638"/>
          <w:spacing w:val="10"/>
        </w:rPr>
        <w:t xml:space="preserve"> </w:t>
      </w:r>
      <w:r>
        <w:rPr>
          <w:color w:val="383638"/>
          <w:spacing w:val="-1"/>
        </w:rPr>
        <w:t>véhicules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1"/>
        </w:rPr>
        <w:t>électriques</w:t>
      </w:r>
      <w:r>
        <w:rPr>
          <w:color w:val="383638"/>
          <w:spacing w:val="10"/>
        </w:rPr>
        <w:t xml:space="preserve"> </w:t>
      </w:r>
      <w:r>
        <w:rPr>
          <w:color w:val="383638"/>
          <w:spacing w:val="-1"/>
        </w:rPr>
        <w:t>avec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2"/>
        </w:rPr>
        <w:t>l’énergie</w:t>
      </w:r>
      <w:r>
        <w:rPr>
          <w:color w:val="383638"/>
          <w:spacing w:val="10"/>
        </w:rPr>
        <w:t xml:space="preserve"> </w:t>
      </w:r>
      <w:r>
        <w:rPr>
          <w:color w:val="383638"/>
        </w:rPr>
        <w:t>verte</w:t>
      </w:r>
      <w:r>
        <w:rPr>
          <w:color w:val="383638"/>
          <w:spacing w:val="10"/>
        </w:rPr>
        <w:t xml:space="preserve"> </w:t>
      </w:r>
      <w:r>
        <w:rPr>
          <w:color w:val="383638"/>
          <w:spacing w:val="-1"/>
        </w:rPr>
        <w:t>produite</w:t>
      </w:r>
      <w:r>
        <w:rPr>
          <w:color w:val="383638"/>
          <w:spacing w:val="9"/>
        </w:rPr>
        <w:t xml:space="preserve"> </w:t>
      </w:r>
      <w:r>
        <w:rPr>
          <w:color w:val="383638"/>
          <w:spacing w:val="-1"/>
        </w:rPr>
        <w:t>sur</w:t>
      </w:r>
      <w:r>
        <w:rPr>
          <w:color w:val="383638"/>
          <w:spacing w:val="46"/>
        </w:rPr>
        <w:t xml:space="preserve"> </w:t>
      </w:r>
      <w:r>
        <w:rPr>
          <w:color w:val="383638"/>
          <w:spacing w:val="-1"/>
        </w:rPr>
        <w:t>place,</w:t>
      </w:r>
      <w:r>
        <w:rPr>
          <w:color w:val="383638"/>
          <w:spacing w:val="-9"/>
        </w:rPr>
        <w:t xml:space="preserve"> </w:t>
      </w:r>
      <w:r>
        <w:rPr>
          <w:color w:val="383638"/>
        </w:rPr>
        <w:t>la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Suisse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réduirait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de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près de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85%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ses</w:t>
      </w:r>
      <w:r>
        <w:rPr>
          <w:color w:val="383638"/>
          <w:spacing w:val="-2"/>
        </w:rPr>
        <w:t xml:space="preserve"> émissions </w:t>
      </w:r>
      <w:r>
        <w:rPr>
          <w:color w:val="383638"/>
          <w:spacing w:val="-1"/>
        </w:rPr>
        <w:t>globales de</w:t>
      </w:r>
      <w:r>
        <w:rPr>
          <w:color w:val="383638"/>
          <w:spacing w:val="-2"/>
        </w:rPr>
        <w:t xml:space="preserve"> </w:t>
      </w:r>
      <w:r>
        <w:rPr>
          <w:color w:val="383638"/>
          <w:spacing w:val="-1"/>
        </w:rPr>
        <w:t>CO</w:t>
      </w:r>
      <w:r>
        <w:rPr>
          <w:color w:val="383638"/>
          <w:spacing w:val="-1"/>
          <w:position w:val="-5"/>
          <w:sz w:val="10"/>
          <w:szCs w:val="10"/>
        </w:rPr>
        <w:t>2</w:t>
      </w:r>
      <w:r>
        <w:rPr>
          <w:color w:val="383638"/>
          <w:spacing w:val="-1"/>
        </w:rPr>
        <w:t>.</w:t>
      </w:r>
    </w:p>
    <w:p w14:paraId="1F83100A" w14:textId="77777777" w:rsidR="005F6E6D" w:rsidRDefault="005F6E6D">
      <w:pPr>
        <w:spacing w:line="230" w:lineRule="exact"/>
        <w:jc w:val="both"/>
        <w:sectPr w:rsidR="005F6E6D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38" w:space="141"/>
            <w:col w:w="8031"/>
          </w:cols>
        </w:sectPr>
      </w:pPr>
    </w:p>
    <w:p w14:paraId="7FC489D3" w14:textId="77777777" w:rsidR="005F6E6D" w:rsidRDefault="005F6E6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1E86E6C" w14:textId="77777777" w:rsidR="005F6E6D" w:rsidRDefault="005F6E6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EA64D94" w14:textId="77777777" w:rsidR="005F6E6D" w:rsidRDefault="005F6E6D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6CFAD9CA" w14:textId="77777777" w:rsidR="005F6E6D" w:rsidRDefault="00BB3E5B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Villa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10"/>
          <w:sz w:val="40"/>
        </w:rPr>
        <w:t>BEP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9"/>
          <w:sz w:val="40"/>
        </w:rPr>
        <w:t>185%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5"/>
          <w:sz w:val="40"/>
        </w:rPr>
        <w:t>de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la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7"/>
          <w:sz w:val="40"/>
        </w:rPr>
        <w:t>famille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8"/>
          <w:sz w:val="40"/>
        </w:rPr>
        <w:t>Donzallaz,</w:t>
      </w:r>
      <w:r>
        <w:rPr>
          <w:rFonts w:ascii="Theinhardt Black"/>
          <w:b/>
          <w:color w:val="0067B1"/>
          <w:spacing w:val="-49"/>
          <w:sz w:val="40"/>
        </w:rPr>
        <w:t xml:space="preserve"> </w:t>
      </w:r>
      <w:r>
        <w:rPr>
          <w:rFonts w:ascii="Theinhardt Black"/>
          <w:b/>
          <w:color w:val="0067B1"/>
          <w:spacing w:val="-9"/>
          <w:sz w:val="40"/>
        </w:rPr>
        <w:t>1628</w:t>
      </w:r>
      <w:r>
        <w:rPr>
          <w:rFonts w:ascii="Theinhardt Black"/>
          <w:b/>
          <w:color w:val="0067B1"/>
          <w:spacing w:val="-49"/>
          <w:sz w:val="40"/>
        </w:rPr>
        <w:t xml:space="preserve"> </w:t>
      </w:r>
      <w:r>
        <w:rPr>
          <w:rFonts w:ascii="Theinhardt Black"/>
          <w:b/>
          <w:color w:val="0067B1"/>
          <w:spacing w:val="-7"/>
          <w:sz w:val="40"/>
        </w:rPr>
        <w:t>Vuadens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(FR)</w:t>
      </w:r>
    </w:p>
    <w:p w14:paraId="6E820EF8" w14:textId="77777777" w:rsidR="005F6E6D" w:rsidRDefault="005F6E6D">
      <w:pPr>
        <w:spacing w:before="5"/>
        <w:rPr>
          <w:rFonts w:ascii="Theinhardt Black" w:eastAsia="Theinhardt Black" w:hAnsi="Theinhardt Black" w:cs="Theinhardt Black"/>
          <w:b/>
          <w:bCs/>
        </w:rPr>
      </w:pPr>
    </w:p>
    <w:p w14:paraId="0E853236" w14:textId="77777777" w:rsidR="005F6E6D" w:rsidRDefault="005F6E6D">
      <w:pPr>
        <w:rPr>
          <w:rFonts w:ascii="Theinhardt Black" w:eastAsia="Theinhardt Black" w:hAnsi="Theinhardt Black" w:cs="Theinhardt Black"/>
        </w:rPr>
        <w:sectPr w:rsidR="005F6E6D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26E40DAC" w14:textId="77777777" w:rsidR="005F6E6D" w:rsidRDefault="00BB3E5B">
      <w:pPr>
        <w:spacing w:before="71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La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villa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la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famille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Donzallaz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été</w:t>
      </w:r>
      <w:r>
        <w:rPr>
          <w:rFonts w:ascii="Theinhardt Regular" w:eastAsia="Theinhardt Regular" w:hAnsi="Theinhardt Regular" w:cs="Theinhardt Regular"/>
          <w:color w:val="231F20"/>
          <w:spacing w:val="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érigée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en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2019,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Vuadens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(FR),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selon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le</w:t>
      </w:r>
      <w:r>
        <w:rPr>
          <w:rFonts w:ascii="Theinhardt Regular" w:eastAsia="Theinhardt Regular" w:hAnsi="Theinhardt Regular" w:cs="Theinhardt Regular"/>
          <w:color w:val="231F20"/>
          <w:spacing w:val="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standard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Mine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>r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gie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-</w:t>
      </w:r>
      <w:r>
        <w:rPr>
          <w:rFonts w:ascii="Theinhardt Regular" w:eastAsia="Theinhardt Regular" w:hAnsi="Theinhardt Regular" w:cs="Theinhardt Regular"/>
          <w:color w:val="231F20"/>
          <w:spacing w:val="-29"/>
          <w:sz w:val="18"/>
          <w:szCs w:val="18"/>
        </w:rPr>
        <w:t>P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C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onstru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i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te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vec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du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bois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suis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s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e, elle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est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très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bien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isolée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et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orientée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au</w:t>
      </w:r>
      <w:r>
        <w:rPr>
          <w:rFonts w:ascii="Theinhardt Regular" w:eastAsia="Theinhardt Regular" w:hAnsi="Theinhardt Regular" w:cs="Theinhardt Regular"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sud,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ce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qui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permet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d’exploiter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au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mieux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le</w:t>
      </w:r>
      <w:r>
        <w:rPr>
          <w:rFonts w:ascii="Theinhardt Regular" w:eastAsia="Theinhardt Regular" w:hAnsi="Theinhardt Regular" w:cs="Theinhardt Regular"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poten-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tiel de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l’énergie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solaire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passive.</w:t>
      </w:r>
      <w:r>
        <w:rPr>
          <w:rFonts w:ascii="Theinhardt Regular" w:eastAsia="Theinhardt Regular" w:hAnsi="Theinhardt Regular" w:cs="Theinhardt Regular"/>
          <w:color w:val="231F20"/>
          <w:spacing w:val="-1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La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consom-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mation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se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limite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ainsi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5’600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pour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200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9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surface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référence</w:t>
      </w:r>
      <w:r>
        <w:rPr>
          <w:rFonts w:ascii="Theinhardt Regular" w:eastAsia="Theinhardt Regular" w:hAnsi="Theinhardt Regular" w:cs="Theinhardt Regular"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énergé-</w:t>
      </w:r>
      <w:r>
        <w:rPr>
          <w:rFonts w:ascii="Theinhardt Regular" w:eastAsia="Theinhardt Regular" w:hAnsi="Theinhardt Regular" w:cs="Theinhardt Regular"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tique.</w:t>
      </w:r>
      <w:r>
        <w:rPr>
          <w:rFonts w:ascii="Theinhardt Regular" w:eastAsia="Theinhardt Regular" w:hAnsi="Theinhardt Regular" w:cs="Theinhardt Regular"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Intégrée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à la moitié sud-ouest du toit,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l’installation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PV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8,5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kWc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génère</w:t>
      </w:r>
      <w:r>
        <w:rPr>
          <w:rFonts w:ascii="Theinhardt Regular" w:eastAsia="Theinhardt Regular" w:hAnsi="Theinhardt Regular" w:cs="Theinhardt Regular"/>
          <w:color w:val="231F20"/>
          <w:spacing w:val="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10’400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et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assure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une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autoproduction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185%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la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il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la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8"/>
          <w:szCs w:val="18"/>
        </w:rPr>
        <w:t>B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E</w:t>
      </w:r>
      <w:r>
        <w:rPr>
          <w:rFonts w:ascii="Theinhardt Regular" w:eastAsia="Theinhardt Regular" w:hAnsi="Theinhardt Regular" w:cs="Theinhardt Regular"/>
          <w:color w:val="231F20"/>
          <w:spacing w:val="-29"/>
          <w:sz w:val="18"/>
          <w:szCs w:val="18"/>
        </w:rPr>
        <w:t>P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>n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vi</w:t>
      </w:r>
      <w:r>
        <w:rPr>
          <w:rFonts w:ascii="Theinhardt Regular" w:eastAsia="Theinhardt Regular" w:hAnsi="Theinhardt Regular" w:cs="Theinhardt Regular"/>
          <w:color w:val="231F20"/>
          <w:spacing w:val="-6"/>
          <w:sz w:val="18"/>
          <w:szCs w:val="18"/>
        </w:rPr>
        <w:t>r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on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50%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de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l’excédent solaire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4’800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 xml:space="preserve"> kWh/a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alimente</w:t>
      </w:r>
      <w:r>
        <w:rPr>
          <w:rFonts w:ascii="Theinhardt Regular" w:eastAsia="Theinhardt Regular" w:hAnsi="Theinhardt Regular" w:cs="Theinhardt Regular"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la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voiture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électrique de la famille.</w:t>
      </w:r>
    </w:p>
    <w:p w14:paraId="15ED40F9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9E260DB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CAA8794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5200053" w14:textId="77777777" w:rsidR="005F6E6D" w:rsidRDefault="005F6E6D">
      <w:pPr>
        <w:spacing w:before="9"/>
        <w:rPr>
          <w:rFonts w:ascii="Theinhardt Regular" w:eastAsia="Theinhardt Regular" w:hAnsi="Theinhardt Regular" w:cs="Theinhardt Regular"/>
          <w:sz w:val="19"/>
          <w:szCs w:val="19"/>
        </w:rPr>
      </w:pPr>
    </w:p>
    <w:p w14:paraId="37B93589" w14:textId="77777777" w:rsidR="005F6E6D" w:rsidRDefault="00BB3E5B">
      <w:pPr>
        <w:spacing w:line="200" w:lineRule="atLeast"/>
        <w:ind w:left="106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6022D166" wp14:editId="32C80F38">
            <wp:extent cx="2125293" cy="118871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293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A40" w14:textId="77777777" w:rsidR="005F6E6D" w:rsidRDefault="00BB3E5B">
      <w:pPr>
        <w:spacing w:before="15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3FFCB707">
          <v:shape id="_x0000_s1047" type="#_x0000_t75" style="position:absolute;left:0;text-align:left;margin-left:28.35pt;margin-top:11.25pt;width:345.85pt;height:170.1pt;z-index:1216;mso-position-horizontal-relative:page">
            <v:imagedata r:id="rId6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</w:p>
    <w:p w14:paraId="735B3F26" w14:textId="77777777" w:rsidR="005F6E6D" w:rsidRDefault="00BB3E5B">
      <w:pPr>
        <w:spacing w:before="71" w:line="230" w:lineRule="exact"/>
        <w:ind w:left="106" w:right="4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Das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2019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erbaute</w:t>
      </w:r>
      <w:r>
        <w:rPr>
          <w:rFonts w:ascii="Theinhardt Regular Italic" w:hAnsi="Theinhardt Regular Italic"/>
          <w:i/>
          <w:color w:val="231F20"/>
          <w:spacing w:val="-1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Einfamilienhaus</w:t>
      </w:r>
      <w:r>
        <w:rPr>
          <w:rFonts w:ascii="Theinhardt Regular Italic" w:hAnsi="Theinhardt Regular Italic"/>
          <w:i/>
          <w:color w:val="231F20"/>
          <w:spacing w:val="-14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Donzallaz</w:t>
      </w:r>
      <w:r>
        <w:rPr>
          <w:rFonts w:ascii="Theinhardt Regular Italic" w:hAnsi="Theinhardt Regular Italic"/>
          <w:i/>
          <w:color w:val="231F20"/>
          <w:spacing w:val="50"/>
          <w:w w:val="99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in</w:t>
      </w:r>
      <w:r>
        <w:rPr>
          <w:rFonts w:ascii="Theinhardt Regular Italic" w:hAnsi="Theinhardt Regular Italic"/>
          <w:i/>
          <w:color w:val="231F20"/>
          <w:spacing w:val="-1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Vuadens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ist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ein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Minergie-P-Holzbau.</w:t>
      </w:r>
      <w:r>
        <w:rPr>
          <w:rFonts w:ascii="Theinhardt Regular Italic" w:hAnsi="Theinhardt Regular Italic"/>
          <w:i/>
          <w:color w:val="231F20"/>
          <w:spacing w:val="-1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Dank</w:t>
      </w:r>
      <w:r>
        <w:rPr>
          <w:rFonts w:ascii="Theinhardt Regular Italic" w:hAnsi="Theinhardt Regular Italic"/>
          <w:i/>
          <w:color w:val="231F20"/>
          <w:spacing w:val="29"/>
          <w:sz w:val="18"/>
        </w:rPr>
        <w:t xml:space="preserve"> </w:t>
      </w:r>
      <w:proofErr w:type="gramStart"/>
      <w:r>
        <w:rPr>
          <w:rFonts w:ascii="Theinhardt Regular Italic" w:hAnsi="Theinhardt Regular Italic"/>
          <w:i/>
          <w:color w:val="231F20"/>
          <w:spacing w:val="-1"/>
          <w:sz w:val="18"/>
        </w:rPr>
        <w:t>guter</w:t>
      </w:r>
      <w:r>
        <w:rPr>
          <w:rFonts w:ascii="Theinhardt Regular Italic" w:hAnsi="Theinhardt Regular Italic"/>
          <w:i/>
          <w:color w:val="231F2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Wärmedämmung</w:t>
      </w:r>
      <w:proofErr w:type="gramEnd"/>
      <w:r>
        <w:rPr>
          <w:rFonts w:ascii="Theinhardt Regular Italic" w:hAnsi="Theinhardt Regular Italic"/>
          <w:i/>
          <w:color w:val="231F2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 xml:space="preserve">mit 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U-Werten</w:t>
      </w:r>
      <w:r>
        <w:rPr>
          <w:rFonts w:ascii="Theinhardt Regular Italic" w:hAnsi="Theinhardt Regular Italic"/>
          <w:i/>
          <w:color w:val="231F2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23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bis</w:t>
      </w:r>
    </w:p>
    <w:p w14:paraId="0E929636" w14:textId="77777777" w:rsidR="005F6E6D" w:rsidRDefault="00BB3E5B">
      <w:pPr>
        <w:spacing w:line="230" w:lineRule="exact"/>
        <w:ind w:left="106" w:hanging="1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0.12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W/m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position w:val="6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benötigt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nur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5’600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integrierte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8.5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Dachanlage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zeugt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allein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südseitig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10’400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kWh/a.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>Damit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erreicht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PEB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eine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-freie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Eigenener-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gieversorgung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185%.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Solar-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stromüberschuss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4’800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könnten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zum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Elektroauto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Familie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Donzallaz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noch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weitere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E-Autos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jährlich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je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12’000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emis-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w w:val="9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sionsfrei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fahren.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Folgen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Schweizer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Famili-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inkl.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KMU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diesem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PEB-Beispiel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freier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Gesamtenergieversorgung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Gebäuden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und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E-Mobilität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kann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Schweiz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w w:val="9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etwa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85%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Gesamtemissionen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reduzieren.</w:t>
      </w:r>
    </w:p>
    <w:p w14:paraId="28993D68" w14:textId="77777777" w:rsidR="005F6E6D" w:rsidRDefault="005F6E6D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19D58391" w14:textId="77777777" w:rsidR="005F6E6D" w:rsidRDefault="005F6E6D">
      <w:pPr>
        <w:spacing w:before="11"/>
        <w:rPr>
          <w:rFonts w:ascii="Theinhardt Regular Italic" w:eastAsia="Theinhardt Regular Italic" w:hAnsi="Theinhardt Regular Italic" w:cs="Theinhardt Regular Italic"/>
          <w:i/>
          <w:sz w:val="24"/>
          <w:szCs w:val="24"/>
        </w:rPr>
      </w:pPr>
    </w:p>
    <w:p w14:paraId="2F2521C7" w14:textId="77777777" w:rsidR="005F6E6D" w:rsidRDefault="00BB3E5B">
      <w:pPr>
        <w:spacing w:line="200" w:lineRule="atLeast"/>
        <w:ind w:left="106"/>
        <w:rPr>
          <w:rFonts w:ascii="Theinhardt Regular Italic" w:eastAsia="Theinhardt Regular Italic" w:hAnsi="Theinhardt Regular Italic" w:cs="Theinhardt Regular Italic"/>
          <w:sz w:val="20"/>
          <w:szCs w:val="20"/>
        </w:rPr>
      </w:pPr>
      <w:r>
        <w:rPr>
          <w:rFonts w:ascii="Theinhardt Regular Italic" w:eastAsia="Theinhardt Regular Italic" w:hAnsi="Theinhardt Regular Italic" w:cs="Theinhardt Regular Italic"/>
          <w:noProof/>
          <w:sz w:val="20"/>
          <w:szCs w:val="20"/>
        </w:rPr>
        <w:drawing>
          <wp:inline distT="0" distB="0" distL="0" distR="0" wp14:anchorId="5D065FA8" wp14:editId="5890A13F">
            <wp:extent cx="2128115" cy="1194815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115" cy="11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8970" w14:textId="77777777" w:rsidR="005F6E6D" w:rsidRDefault="00BB3E5B">
      <w:pPr>
        <w:spacing w:before="5"/>
        <w:ind w:left="10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</w:p>
    <w:p w14:paraId="56DE65BA" w14:textId="77777777" w:rsidR="005F6E6D" w:rsidRDefault="00BB3E5B">
      <w:pPr>
        <w:spacing w:before="67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 xml:space="preserve"> techniques</w:t>
      </w:r>
    </w:p>
    <w:p w14:paraId="2CF17AD2" w14:textId="77777777" w:rsidR="005F6E6D" w:rsidRDefault="005F6E6D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701937E" w14:textId="77777777" w:rsidR="005F6E6D" w:rsidRDefault="00BB3E5B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34C7DDA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2284345F" w14:textId="77777777" w:rsidR="005F6E6D" w:rsidRDefault="00BB3E5B">
      <w:pPr>
        <w:spacing w:before="20"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thermique</w:t>
      </w:r>
    </w:p>
    <w:p w14:paraId="44D9F40F" w14:textId="77777777" w:rsidR="005F6E6D" w:rsidRDefault="00BB3E5B">
      <w:pPr>
        <w:tabs>
          <w:tab w:val="left" w:pos="1191"/>
          <w:tab w:val="left" w:pos="2664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Mur: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36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7874AB3A" w14:textId="77777777" w:rsidR="005F6E6D" w:rsidRDefault="00BB3E5B">
      <w:pPr>
        <w:tabs>
          <w:tab w:val="left" w:pos="1193"/>
          <w:tab w:val="left" w:pos="2663"/>
        </w:tabs>
        <w:spacing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Toit:</w:t>
      </w:r>
      <w:r>
        <w:rPr>
          <w:rFonts w:ascii="Theinhardt Regular"/>
          <w:color w:val="231F20"/>
          <w:spacing w:val="-1"/>
          <w:sz w:val="14"/>
        </w:rPr>
        <w:tab/>
        <w:t>32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0.13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2ED9D0B9" w14:textId="77777777" w:rsidR="005F6E6D" w:rsidRDefault="00BB3E5B">
      <w:pPr>
        <w:tabs>
          <w:tab w:val="left" w:pos="1199"/>
          <w:tab w:val="left" w:pos="2663"/>
        </w:tabs>
        <w:spacing w:before="5" w:line="207" w:lineRule="auto"/>
        <w:ind w:left="106" w:right="165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Sol:</w:t>
      </w:r>
      <w:r>
        <w:rPr>
          <w:rFonts w:ascii="Theinhardt Regular" w:hAnsi="Theinhardt Regular"/>
          <w:color w:val="231F20"/>
          <w:spacing w:val="1"/>
          <w:sz w:val="14"/>
        </w:rPr>
        <w:tab/>
      </w:r>
      <w:r>
        <w:rPr>
          <w:rFonts w:ascii="Theinhardt Regular" w:hAnsi="Theinhardt Regular"/>
          <w:color w:val="231F20"/>
          <w:spacing w:val="-4"/>
          <w:sz w:val="14"/>
        </w:rPr>
        <w:t>16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cm</w:t>
      </w:r>
      <w:r>
        <w:rPr>
          <w:rFonts w:ascii="Theinhardt Regular" w:hAnsi="Theinhardt Regular"/>
          <w:color w:val="231F20"/>
          <w:sz w:val="14"/>
        </w:rPr>
        <w:t xml:space="preserve">  </w:t>
      </w:r>
      <w:r>
        <w:rPr>
          <w:rFonts w:ascii="Theinhardt Regular" w:hAnsi="Theinhardt Regular"/>
          <w:color w:val="231F20"/>
          <w:spacing w:val="14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Valeur U:</w:t>
      </w:r>
      <w:r>
        <w:rPr>
          <w:rFonts w:ascii="Theinhardt Regular" w:hAnsi="Theinhardt Regular"/>
          <w:color w:val="231F20"/>
          <w:sz w:val="14"/>
        </w:rPr>
        <w:tab/>
      </w:r>
      <w:r>
        <w:rPr>
          <w:rFonts w:ascii="Theinhardt Regular" w:hAnsi="Theinhardt Regular"/>
          <w:color w:val="231F20"/>
          <w:spacing w:val="-5"/>
          <w:sz w:val="14"/>
        </w:rPr>
        <w:t>0.14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Fenêtre:</w:t>
      </w:r>
      <w:r>
        <w:rPr>
          <w:rFonts w:ascii="Theinhardt Regular" w:hAnsi="Theinhardt Regular"/>
          <w:color w:val="231F20"/>
          <w:sz w:val="14"/>
        </w:rPr>
        <w:t xml:space="preserve">   </w:t>
      </w:r>
      <w:r>
        <w:rPr>
          <w:rFonts w:ascii="Theinhardt Regular" w:hAnsi="Theinhardt Regular"/>
          <w:color w:val="231F20"/>
          <w:spacing w:val="18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triple-vitrage</w:t>
      </w:r>
      <w:r>
        <w:rPr>
          <w:rFonts w:ascii="Theinhardt Regular" w:hAnsi="Theinhardt Regular"/>
          <w:color w:val="231F20"/>
          <w:sz w:val="14"/>
        </w:rPr>
        <w:t xml:space="preserve">  </w:t>
      </w:r>
      <w:r>
        <w:rPr>
          <w:rFonts w:ascii="Theinhardt Regular" w:hAnsi="Theinhardt Regular"/>
          <w:color w:val="231F20"/>
          <w:spacing w:val="14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Valeur U:</w:t>
      </w:r>
      <w:r>
        <w:rPr>
          <w:rFonts w:ascii="Theinhardt Regular" w:hAnsi="Theinhardt Regular"/>
          <w:color w:val="231F20"/>
          <w:sz w:val="14"/>
        </w:rPr>
        <w:tab/>
      </w:r>
      <w:r>
        <w:rPr>
          <w:rFonts w:ascii="Theinhardt Regular" w:hAnsi="Theinhardt Regular"/>
          <w:color w:val="231F20"/>
          <w:spacing w:val="-3"/>
          <w:sz w:val="14"/>
        </w:rPr>
        <w:t>0.7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</w:p>
    <w:p w14:paraId="75291E66" w14:textId="77777777" w:rsidR="005F6E6D" w:rsidRDefault="005F6E6D">
      <w:pPr>
        <w:spacing w:before="8"/>
        <w:rPr>
          <w:rFonts w:ascii="Theinhardt Regular" w:eastAsia="Theinhardt Regular" w:hAnsi="Theinhardt Regular" w:cs="Theinhardt Regular"/>
          <w:sz w:val="7"/>
          <w:szCs w:val="7"/>
        </w:rPr>
      </w:pPr>
    </w:p>
    <w:tbl>
      <w:tblPr>
        <w:tblStyle w:val="TableNormal"/>
        <w:tblW w:w="0" w:type="auto"/>
        <w:tblInd w:w="51" w:type="dxa"/>
        <w:tblLayout w:type="fixed"/>
        <w:tblLook w:val="01E0" w:firstRow="1" w:lastRow="1" w:firstColumn="1" w:lastColumn="1" w:noHBand="0" w:noVBand="0"/>
      </w:tblPr>
      <w:tblGrid>
        <w:gridCol w:w="1533"/>
        <w:gridCol w:w="751"/>
        <w:gridCol w:w="489"/>
        <w:gridCol w:w="625"/>
      </w:tblGrid>
      <w:tr w:rsidR="005F6E6D" w14:paraId="69C4DE43" w14:textId="77777777">
        <w:trPr>
          <w:trHeight w:hRule="exact" w:val="11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5801D0D" w14:textId="77777777" w:rsidR="005F6E6D" w:rsidRDefault="00BB3E5B">
            <w:pPr>
              <w:pStyle w:val="TableParagraph"/>
              <w:spacing w:line="117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Besoin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en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énergie</w:t>
            </w: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74813" w14:textId="77777777" w:rsidR="005F6E6D" w:rsidRDefault="005F6E6D"/>
        </w:tc>
      </w:tr>
      <w:tr w:rsidR="005F6E6D" w14:paraId="0F2847A9" w14:textId="77777777">
        <w:trPr>
          <w:trHeight w:hRule="exact" w:val="1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408F969E" w14:textId="77777777" w:rsidR="005F6E6D" w:rsidRDefault="00BB3E5B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SRE: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200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F9202EA" w14:textId="77777777" w:rsidR="005F6E6D" w:rsidRDefault="00BB3E5B">
            <w:pPr>
              <w:pStyle w:val="TableParagraph"/>
              <w:spacing w:line="160" w:lineRule="exact"/>
              <w:ind w:left="1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86AAD6" w14:textId="77777777" w:rsidR="005F6E6D" w:rsidRDefault="00BB3E5B">
            <w:pPr>
              <w:pStyle w:val="TableParagraph"/>
              <w:spacing w:line="160" w:lineRule="exact"/>
              <w:ind w:left="26"/>
              <w:jc w:val="center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C54E028" w14:textId="77777777" w:rsidR="005F6E6D" w:rsidRDefault="00BB3E5B">
            <w:pPr>
              <w:pStyle w:val="TableParagraph"/>
              <w:spacing w:line="160" w:lineRule="exact"/>
              <w:ind w:left="16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5F6E6D" w14:paraId="16AE113D" w14:textId="77777777">
        <w:trPr>
          <w:trHeight w:hRule="exact" w:val="1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1751CBE1" w14:textId="77777777" w:rsidR="005F6E6D" w:rsidRDefault="00BB3E5B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Electricité</w:t>
            </w:r>
            <w:r>
              <w:rPr>
                <w:rFonts w:ascii="Theinhardt Regular" w:hAnsi="Theinhardt Regular"/>
                <w:color w:val="231F20"/>
                <w:sz w:val="14"/>
              </w:rPr>
              <w:t xml:space="preserve"> PaC: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8073408" w14:textId="77777777" w:rsidR="005F6E6D" w:rsidRDefault="00BB3E5B">
            <w:pPr>
              <w:pStyle w:val="TableParagraph"/>
              <w:spacing w:line="160" w:lineRule="exact"/>
              <w:ind w:left="39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15.4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763E0B7" w14:textId="77777777" w:rsidR="005F6E6D" w:rsidRDefault="00BB3E5B">
            <w:pPr>
              <w:pStyle w:val="TableParagraph"/>
              <w:spacing w:line="160" w:lineRule="exact"/>
              <w:ind w:left="15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DB07CBD" w14:textId="77777777" w:rsidR="005F6E6D" w:rsidRDefault="00BB3E5B">
            <w:pPr>
              <w:pStyle w:val="TableParagraph"/>
              <w:spacing w:line="160" w:lineRule="exact"/>
              <w:ind w:left="19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3’080</w:t>
            </w:r>
          </w:p>
        </w:tc>
      </w:tr>
      <w:tr w:rsidR="005F6E6D" w14:paraId="03D35089" w14:textId="77777777">
        <w:trPr>
          <w:trHeight w:hRule="exact" w:val="160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2ED81BF1" w14:textId="77777777" w:rsidR="005F6E6D" w:rsidRDefault="00BB3E5B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Electricité: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3B4AAAB" w14:textId="77777777" w:rsidR="005F6E6D" w:rsidRDefault="00BB3E5B">
            <w:pPr>
              <w:pStyle w:val="TableParagraph"/>
              <w:spacing w:line="160" w:lineRule="exact"/>
              <w:ind w:left="40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12.7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5042BDA" w14:textId="77777777" w:rsidR="005F6E6D" w:rsidRDefault="00BB3E5B">
            <w:pPr>
              <w:pStyle w:val="TableParagraph"/>
              <w:spacing w:line="160" w:lineRule="exact"/>
              <w:ind w:left="15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4</w:t>
            </w:r>
            <w:r>
              <w:rPr>
                <w:rFonts w:ascii="Theinhardt Regular"/>
                <w:color w:val="231F20"/>
                <w:sz w:val="1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C1319D7" w14:textId="77777777" w:rsidR="005F6E6D" w:rsidRDefault="00BB3E5B">
            <w:pPr>
              <w:pStyle w:val="TableParagraph"/>
              <w:spacing w:line="160" w:lineRule="exact"/>
              <w:ind w:left="19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2’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2"/>
                <w:sz w:val="14"/>
                <w:szCs w:val="14"/>
              </w:rPr>
              <w:t>5</w:t>
            </w:r>
            <w:r>
              <w:rPr>
                <w:rFonts w:ascii="Theinhardt Regular" w:eastAsia="Theinhardt Regular" w:hAnsi="Theinhardt Regular" w:cs="Theinhardt Regular"/>
                <w:color w:val="231F20"/>
                <w:spacing w:val="3"/>
                <w:sz w:val="14"/>
                <w:szCs w:val="14"/>
              </w:rPr>
              <w:t>4</w:t>
            </w: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0</w:t>
            </w:r>
          </w:p>
        </w:tc>
      </w:tr>
      <w:tr w:rsidR="005F6E6D" w14:paraId="65E176DB" w14:textId="77777777">
        <w:trPr>
          <w:trHeight w:hRule="exact" w:val="189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14:paraId="5CC53BF5" w14:textId="77777777" w:rsidR="005F6E6D" w:rsidRDefault="00BB3E5B">
            <w:pPr>
              <w:pStyle w:val="TableParagraph"/>
              <w:spacing w:line="165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Total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besoins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énerg.: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59A1BF2" w14:textId="77777777" w:rsidR="005F6E6D" w:rsidRDefault="00BB3E5B">
            <w:pPr>
              <w:pStyle w:val="TableParagraph"/>
              <w:spacing w:line="165" w:lineRule="exact"/>
              <w:ind w:left="402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28.1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42EC2A4" w14:textId="77777777" w:rsidR="005F6E6D" w:rsidRDefault="00BB3E5B">
            <w:pPr>
              <w:pStyle w:val="TableParagraph"/>
              <w:spacing w:line="165" w:lineRule="exact"/>
              <w:ind w:left="7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0EE0278" w14:textId="77777777" w:rsidR="005F6E6D" w:rsidRDefault="00BB3E5B">
            <w:pPr>
              <w:pStyle w:val="TableParagraph"/>
              <w:spacing w:line="165" w:lineRule="exact"/>
              <w:ind w:left="19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5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’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2"/>
                <w:sz w:val="14"/>
                <w:szCs w:val="14"/>
              </w:rPr>
              <w:t>62</w:t>
            </w: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0</w:t>
            </w:r>
          </w:p>
        </w:tc>
      </w:tr>
    </w:tbl>
    <w:p w14:paraId="1599916B" w14:textId="77777777" w:rsidR="005F6E6D" w:rsidRDefault="00BB3E5B">
      <w:pPr>
        <w:spacing w:before="8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</w:p>
    <w:p w14:paraId="3F6C71E4" w14:textId="77777777" w:rsidR="005F6E6D" w:rsidRDefault="00BB3E5B">
      <w:pPr>
        <w:tabs>
          <w:tab w:val="left" w:pos="959"/>
          <w:tab w:val="left" w:pos="1375"/>
          <w:tab w:val="left" w:pos="2023"/>
          <w:tab w:val="left" w:pos="2529"/>
          <w:tab w:val="left" w:pos="2933"/>
        </w:tabs>
        <w:spacing w:before="6" w:line="207" w:lineRule="auto"/>
        <w:ind w:left="106" w:right="16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Autoprod.: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2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PV-Toit: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48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8.5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216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185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10’390</w:t>
      </w:r>
    </w:p>
    <w:p w14:paraId="3E59FE43" w14:textId="77777777" w:rsidR="005F6E6D" w:rsidRDefault="00BB3E5B">
      <w:pPr>
        <w:tabs>
          <w:tab w:val="left" w:pos="2529"/>
          <w:tab w:val="left" w:pos="2992"/>
        </w:tabs>
        <w:spacing w:before="38"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Bilan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énergétique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(énergie</w:t>
      </w:r>
      <w:r>
        <w:rPr>
          <w:rFonts w:ascii="Theinhardt Regular" w:hAnsi="Theinhardt Regular"/>
          <w:color w:val="231F20"/>
          <w:sz w:val="14"/>
        </w:rPr>
        <w:t xml:space="preserve"> finale)</w:t>
      </w:r>
      <w:r>
        <w:rPr>
          <w:rFonts w:ascii="Theinhardt Regular" w:hAnsi="Theinhardt Regular"/>
          <w:color w:val="231F20"/>
          <w:sz w:val="14"/>
        </w:rPr>
        <w:tab/>
        <w:t>%</w:t>
      </w:r>
      <w:r>
        <w:rPr>
          <w:rFonts w:ascii="Theinhardt Regular" w:hAnsi="Theinhardt Regular"/>
          <w:color w:val="231F20"/>
          <w:sz w:val="14"/>
        </w:rPr>
        <w:tab/>
        <w:t>kWh/a</w:t>
      </w:r>
    </w:p>
    <w:p w14:paraId="1D7C204A" w14:textId="77777777" w:rsidR="005F6E6D" w:rsidRDefault="00BB3E5B">
      <w:pPr>
        <w:tabs>
          <w:tab w:val="left" w:pos="2411"/>
          <w:tab w:val="left" w:pos="2933"/>
        </w:tabs>
        <w:spacing w:line="160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énergétique: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185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10’390</w:t>
      </w:r>
    </w:p>
    <w:p w14:paraId="3DEF8974" w14:textId="77777777" w:rsidR="005F6E6D" w:rsidRDefault="00BB3E5B">
      <w:pPr>
        <w:tabs>
          <w:tab w:val="left" w:pos="2410"/>
          <w:tab w:val="left" w:pos="3016"/>
        </w:tabs>
        <w:spacing w:line="160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Total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énerg.: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5’620</w:t>
      </w:r>
    </w:p>
    <w:p w14:paraId="2979076D" w14:textId="77777777" w:rsidR="005F6E6D" w:rsidRDefault="00BB3E5B">
      <w:pPr>
        <w:tabs>
          <w:tab w:val="left" w:pos="2490"/>
          <w:tab w:val="left" w:pos="3016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Surplus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d'électricité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solaire: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85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  <w:t>4’770</w:t>
      </w:r>
    </w:p>
    <w:p w14:paraId="231EA3BC" w14:textId="77777777" w:rsidR="005F6E6D" w:rsidRDefault="00BB3E5B">
      <w:pPr>
        <w:spacing w:before="39" w:line="160" w:lineRule="exact"/>
        <w:ind w:left="107" w:right="30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Groupe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E </w:t>
      </w:r>
      <w:r>
        <w:rPr>
          <w:rFonts w:ascii="Theinhardt Bold" w:hAnsi="Theinhardt Bold"/>
          <w:b/>
          <w:color w:val="231F20"/>
          <w:spacing w:val="1"/>
          <w:sz w:val="14"/>
        </w:rPr>
        <w:t>SA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z w:val="14"/>
        </w:rPr>
        <w:t xml:space="preserve"> 9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juillet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Service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Clients,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844</w:t>
      </w:r>
      <w:r>
        <w:rPr>
          <w:rFonts w:ascii="Theinhardt Regular" w:hAnsi="Theinhardt Regular"/>
          <w:color w:val="231F20"/>
          <w:sz w:val="14"/>
        </w:rPr>
        <w:t xml:space="preserve"> 20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</w:t>
      </w:r>
    </w:p>
    <w:p w14:paraId="697C338B" w14:textId="77777777" w:rsidR="005F6E6D" w:rsidRDefault="00BB3E5B">
      <w:pPr>
        <w:spacing w:before="105"/>
        <w:ind w:left="107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pacing w:val="1"/>
          <w:sz w:val="14"/>
        </w:rPr>
        <w:t>Personnes</w:t>
      </w:r>
      <w:r>
        <w:rPr>
          <w:rFonts w:ascii="Theinhardt Black" w:hAnsi="Theinhardt Black"/>
          <w:b/>
          <w:color w:val="231F20"/>
          <w:sz w:val="14"/>
        </w:rPr>
        <w:t xml:space="preserve"> impliquées</w:t>
      </w:r>
    </w:p>
    <w:p w14:paraId="5CD249F0" w14:textId="77777777" w:rsidR="005F6E6D" w:rsidRDefault="005F6E6D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0A6B725A" w14:textId="77777777" w:rsidR="005F6E6D" w:rsidRDefault="00BB3E5B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D3411E2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70EAB54" w14:textId="77777777" w:rsidR="005F6E6D" w:rsidRDefault="00BB3E5B">
      <w:pPr>
        <w:spacing w:before="28" w:line="160" w:lineRule="exact"/>
        <w:ind w:left="107" w:right="172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Adresse</w:t>
      </w:r>
      <w:r>
        <w:rPr>
          <w:rFonts w:ascii="Theinhardt Bold" w:hAnsi="Theinhardt Bold"/>
          <w:b/>
          <w:color w:val="231F20"/>
          <w:sz w:val="14"/>
        </w:rPr>
        <w:t xml:space="preserve"> du </w:t>
      </w:r>
      <w:r>
        <w:rPr>
          <w:rFonts w:ascii="Theinhardt Bold" w:hAnsi="Theinhardt Bold"/>
          <w:b/>
          <w:color w:val="231F20"/>
          <w:spacing w:val="1"/>
          <w:sz w:val="14"/>
        </w:rPr>
        <w:t>bâtiment</w:t>
      </w:r>
      <w:r>
        <w:rPr>
          <w:rFonts w:ascii="Theinhardt Bold" w:hAnsi="Theinhardt Bold"/>
          <w:b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Myriam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Julien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Donzallaz</w:t>
      </w:r>
      <w:r>
        <w:rPr>
          <w:rFonts w:ascii="Theinhardt Regular" w:hAnsi="Theinhardt Regular"/>
          <w:color w:val="231F20"/>
          <w:spacing w:val="25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Le </w:t>
      </w:r>
      <w:r>
        <w:rPr>
          <w:rFonts w:ascii="Theinhardt Regular" w:hAnsi="Theinhardt Regular"/>
          <w:color w:val="231F20"/>
          <w:spacing w:val="1"/>
          <w:sz w:val="14"/>
        </w:rPr>
        <w:t>Dally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311,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1628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Vuadens</w:t>
      </w:r>
    </w:p>
    <w:p w14:paraId="68CF9E0A" w14:textId="77777777" w:rsidR="005F6E6D" w:rsidRDefault="00BB3E5B">
      <w:pPr>
        <w:spacing w:before="49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Architectes</w:t>
      </w:r>
    </w:p>
    <w:p w14:paraId="7FEECE61" w14:textId="77777777" w:rsidR="005F6E6D" w:rsidRDefault="00BB3E5B">
      <w:pPr>
        <w:spacing w:before="6" w:line="207" w:lineRule="auto"/>
        <w:ind w:left="107" w:right="82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Atelier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d’architecture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Lutz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Associés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Sàrl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Rue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Jean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Prouvé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14,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1762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Givisiez</w:t>
      </w:r>
    </w:p>
    <w:p w14:paraId="07705CE6" w14:textId="77777777" w:rsidR="005F6E6D" w:rsidRDefault="00BB3E5B">
      <w:pPr>
        <w:spacing w:line="16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469 </w:t>
      </w:r>
      <w:r>
        <w:rPr>
          <w:rFonts w:ascii="Theinhardt Regular" w:hAnsi="Theinhardt Regular"/>
          <w:color w:val="231F20"/>
          <w:spacing w:val="-5"/>
          <w:sz w:val="14"/>
        </w:rPr>
        <w:t>74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00,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office</w:t>
      </w:r>
      <w:r>
        <w:rPr>
          <w:rFonts w:ascii="Theinhardt Regular" w:hAnsi="Theinhardt Regular"/>
          <w:color w:val="231F20"/>
          <w:sz w:val="14"/>
        </w:rPr>
        <w:t xml:space="preserve"> @ </w:t>
      </w:r>
      <w:r>
        <w:rPr>
          <w:rFonts w:ascii="Theinhardt Regular" w:hAnsi="Theinhardt Regular"/>
          <w:color w:val="231F20"/>
          <w:spacing w:val="2"/>
          <w:sz w:val="14"/>
        </w:rPr>
        <w:t>lutz-architectes.ch</w:t>
      </w:r>
    </w:p>
    <w:p w14:paraId="7CA88831" w14:textId="77777777" w:rsidR="005F6E6D" w:rsidRDefault="00BB3E5B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Ingénieur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physique</w:t>
      </w:r>
      <w:r>
        <w:rPr>
          <w:rFonts w:ascii="Theinhardt Bold" w:hAnsi="Theinhardt Bold"/>
          <w:b/>
          <w:color w:val="231F20"/>
          <w:sz w:val="14"/>
        </w:rPr>
        <w:t xml:space="preserve"> du </w:t>
      </w:r>
      <w:r>
        <w:rPr>
          <w:rFonts w:ascii="Theinhardt Bold" w:hAnsi="Theinhardt Bold"/>
          <w:b/>
          <w:color w:val="231F20"/>
          <w:spacing w:val="1"/>
          <w:sz w:val="14"/>
        </w:rPr>
        <w:t>bâtiment</w:t>
      </w:r>
    </w:p>
    <w:p w14:paraId="687DB92F" w14:textId="77777777" w:rsidR="005F6E6D" w:rsidRDefault="00BB3E5B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Effiteam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Sàrl</w:t>
      </w:r>
    </w:p>
    <w:p w14:paraId="3A3623CE" w14:textId="77777777" w:rsidR="005F6E6D" w:rsidRDefault="00BB3E5B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Jean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Prouvé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14,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1762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Givisiez</w:t>
      </w:r>
    </w:p>
    <w:p w14:paraId="4A08669C" w14:textId="77777777" w:rsidR="005F6E6D" w:rsidRDefault="00BB3E5B">
      <w:pPr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470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14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00</w:t>
      </w:r>
      <w:hyperlink r:id="rId8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info@effiteam.ch</w:t>
        </w:r>
      </w:hyperlink>
    </w:p>
    <w:p w14:paraId="3F55412B" w14:textId="77777777" w:rsidR="005F6E6D" w:rsidRDefault="00BB3E5B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photovoltaïque</w:t>
      </w:r>
    </w:p>
    <w:p w14:paraId="44B1E7F0" w14:textId="77777777" w:rsidR="005F6E6D" w:rsidRDefault="00BB3E5B">
      <w:pPr>
        <w:spacing w:before="6" w:line="207" w:lineRule="auto"/>
        <w:ind w:left="107" w:right="34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Etablissements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Techniques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Fragnière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–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ETF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Rue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Battentin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4"/>
          <w:szCs w:val="14"/>
        </w:rPr>
        <w:t>21,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1630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Bulle</w:t>
      </w:r>
    </w:p>
    <w:p w14:paraId="781BA971" w14:textId="77777777" w:rsidR="005F6E6D" w:rsidRDefault="00BB3E5B">
      <w:pPr>
        <w:spacing w:line="16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919</w:t>
      </w:r>
      <w:r>
        <w:rPr>
          <w:rFonts w:ascii="Theinhardt Regular" w:hAnsi="Theinhardt Regular"/>
          <w:color w:val="231F20"/>
          <w:sz w:val="14"/>
        </w:rPr>
        <w:t xml:space="preserve"> 20 30</w:t>
      </w:r>
      <w:hyperlink r:id="rId9">
        <w:r>
          <w:rPr>
            <w:rFonts w:ascii="Theinhardt Regular" w:hAnsi="Theinhardt Regular"/>
            <w:color w:val="231F20"/>
            <w:sz w:val="14"/>
          </w:rPr>
          <w:t xml:space="preserve">, </w:t>
        </w:r>
        <w:r>
          <w:rPr>
            <w:rFonts w:ascii="Theinhardt Regular" w:hAnsi="Theinhardt Regular"/>
            <w:color w:val="231F20"/>
            <w:spacing w:val="1"/>
            <w:sz w:val="14"/>
          </w:rPr>
          <w:t>infobulle@etf.ch</w:t>
        </w:r>
      </w:hyperlink>
    </w:p>
    <w:p w14:paraId="58404A49" w14:textId="77777777" w:rsidR="005F6E6D" w:rsidRDefault="00BB3E5B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Construction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bois</w:t>
      </w:r>
    </w:p>
    <w:p w14:paraId="356EC4A3" w14:textId="77777777" w:rsidR="005F6E6D" w:rsidRDefault="00BB3E5B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JPF-Ducret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SA</w:t>
      </w:r>
    </w:p>
    <w:p w14:paraId="757A6D30" w14:textId="77777777" w:rsidR="005F6E6D" w:rsidRDefault="00BB3E5B">
      <w:pPr>
        <w:spacing w:line="16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Chemin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Mosseires</w:t>
      </w:r>
      <w:r>
        <w:rPr>
          <w:rFonts w:ascii="Theinhardt Regular"/>
          <w:color w:val="231F20"/>
          <w:sz w:val="14"/>
        </w:rPr>
        <w:t xml:space="preserve"> 65, </w:t>
      </w:r>
      <w:r>
        <w:rPr>
          <w:rFonts w:ascii="Theinhardt Regular"/>
          <w:color w:val="231F20"/>
          <w:spacing w:val="-4"/>
          <w:sz w:val="14"/>
        </w:rPr>
        <w:t>CP,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1630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Bulle</w:t>
      </w:r>
    </w:p>
    <w:p w14:paraId="74BBD1AE" w14:textId="77777777" w:rsidR="005F6E6D" w:rsidRDefault="00BB3E5B">
      <w:pPr>
        <w:spacing w:line="172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919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8</w:t>
      </w:r>
      <w:hyperlink r:id="rId10">
        <w:r>
          <w:rPr>
            <w:rFonts w:ascii="Theinhardt Regular" w:hAnsi="Theinhardt Regular"/>
            <w:color w:val="231F20"/>
            <w:spacing w:val="-1"/>
            <w:sz w:val="14"/>
          </w:rPr>
          <w:t>2,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2"/>
            <w:sz w:val="14"/>
          </w:rPr>
          <w:t>secretariat@jpf-ducret.ch</w:t>
        </w:r>
      </w:hyperlink>
    </w:p>
    <w:p w14:paraId="6467FB2B" w14:textId="77777777" w:rsidR="005F6E6D" w:rsidRDefault="00BB3E5B">
      <w:pPr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Chauffage</w:t>
      </w:r>
    </w:p>
    <w:p w14:paraId="041B7D50" w14:textId="77777777" w:rsidR="005F6E6D" w:rsidRDefault="00BB3E5B">
      <w:pPr>
        <w:spacing w:before="6" w:line="207" w:lineRule="auto"/>
        <w:ind w:left="107" w:right="1313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Ackermann</w:t>
      </w:r>
      <w:r>
        <w:rPr>
          <w:rFonts w:ascii="Theinhardt Regular" w:hAnsi="Theinhardt Regular"/>
          <w:color w:val="231F20"/>
          <w:sz w:val="14"/>
        </w:rPr>
        <w:t xml:space="preserve"> AG</w:t>
      </w:r>
      <w:r>
        <w:rPr>
          <w:rFonts w:ascii="Theinhardt Regular" w:hAnsi="Theinhardt Regular"/>
          <w:color w:val="231F20"/>
          <w:spacing w:val="26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Chännelmattstrasse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7"/>
          <w:sz w:val="14"/>
        </w:rPr>
        <w:t>11,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3186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Guin</w:t>
      </w:r>
    </w:p>
    <w:p w14:paraId="2DA30DA0" w14:textId="77777777" w:rsidR="005F6E6D" w:rsidRDefault="00BB3E5B">
      <w:pPr>
        <w:spacing w:line="167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26</w:t>
      </w:r>
      <w:r>
        <w:rPr>
          <w:rFonts w:ascii="Theinhardt Regular" w:hAnsi="Theinhardt Regular"/>
          <w:color w:val="231F20"/>
          <w:sz w:val="14"/>
        </w:rPr>
        <w:t xml:space="preserve"> 492 55 </w:t>
      </w:r>
      <w:r>
        <w:rPr>
          <w:rFonts w:ascii="Theinhardt Regular" w:hAnsi="Theinhardt Regular"/>
          <w:color w:val="231F20"/>
          <w:spacing w:val="1"/>
          <w:sz w:val="14"/>
        </w:rPr>
        <w:t>88</w:t>
      </w:r>
      <w:hyperlink r:id="rId11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office@ackermannag.ch</w:t>
        </w:r>
      </w:hyperlink>
    </w:p>
    <w:p w14:paraId="634E895E" w14:textId="77777777" w:rsidR="005F6E6D" w:rsidRDefault="005F6E6D">
      <w:pPr>
        <w:spacing w:line="167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5F6E6D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63" w:space="109"/>
            <w:col w:w="3460" w:space="112"/>
            <w:col w:w="3566"/>
          </w:cols>
        </w:sectPr>
      </w:pPr>
    </w:p>
    <w:p w14:paraId="56F8B79C" w14:textId="77777777" w:rsidR="005F6E6D" w:rsidRDefault="005F6E6D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1EA8BB0F" w14:textId="77777777" w:rsidR="005F6E6D" w:rsidRDefault="00BB3E5B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181ADF37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A1CEAB1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26463A3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704F4E29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2D7674F4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4718A6F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2D89D58" w14:textId="77777777" w:rsidR="005F6E6D" w:rsidRDefault="005F6E6D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B18E45A" w14:textId="77777777" w:rsidR="005F6E6D" w:rsidRDefault="005F6E6D">
      <w:pPr>
        <w:spacing w:before="12"/>
        <w:rPr>
          <w:rFonts w:ascii="Theinhardt Regular" w:eastAsia="Theinhardt Regular" w:hAnsi="Theinhardt Regular" w:cs="Theinhardt Regular"/>
          <w:sz w:val="16"/>
          <w:szCs w:val="16"/>
        </w:rPr>
      </w:pPr>
    </w:p>
    <w:p w14:paraId="14FD310F" w14:textId="77777777" w:rsidR="005F6E6D" w:rsidRDefault="00BB3E5B">
      <w:pPr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</w:p>
    <w:p w14:paraId="504FC731" w14:textId="77777777" w:rsidR="005F6E6D" w:rsidRDefault="005F6E6D">
      <w:pPr>
        <w:rPr>
          <w:rFonts w:ascii="Theinhardt Bold" w:eastAsia="Theinhardt Bold" w:hAnsi="Theinhardt Bold" w:cs="Theinhardt Bold"/>
          <w:sz w:val="14"/>
          <w:szCs w:val="14"/>
        </w:rPr>
        <w:sectPr w:rsidR="005F6E6D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1F998C3A" w14:textId="77777777" w:rsidR="005F6E6D" w:rsidRDefault="005F6E6D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60A55659" w14:textId="77777777" w:rsidR="005F6E6D" w:rsidRDefault="00BB3E5B">
      <w:pPr>
        <w:spacing w:line="160" w:lineRule="exact"/>
        <w:ind w:left="333" w:hanging="22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   </w:t>
      </w:r>
      <w:r>
        <w:rPr>
          <w:rFonts w:ascii="Theinhardt Bold" w:hAnsi="Theinhardt Bold"/>
          <w:b/>
          <w:color w:val="231F20"/>
          <w:spacing w:val="4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La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villa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familiale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Minergie-P/BEP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à</w:t>
      </w:r>
      <w:r>
        <w:rPr>
          <w:rFonts w:ascii="Theinhardt Bold" w:hAnsi="Theinhardt Bold"/>
          <w:b/>
          <w:color w:val="231F20"/>
          <w:spacing w:val="3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Vuadens</w:t>
      </w:r>
      <w:r>
        <w:rPr>
          <w:rFonts w:ascii="Theinhardt Bold" w:hAnsi="Theinhardt Bold"/>
          <w:b/>
          <w:color w:val="231F20"/>
          <w:spacing w:val="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(FR)</w:t>
      </w:r>
      <w:r>
        <w:rPr>
          <w:rFonts w:ascii="Theinhardt Bold" w:hAnsi="Theinhardt Bold"/>
          <w:b/>
          <w:color w:val="231F20"/>
          <w:spacing w:val="2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et son </w:t>
      </w:r>
      <w:r>
        <w:rPr>
          <w:rFonts w:ascii="Theinhardt Bold" w:hAnsi="Theinhardt Bold"/>
          <w:b/>
          <w:color w:val="231F20"/>
          <w:spacing w:val="-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photovoltaïque</w:t>
      </w:r>
      <w:r>
        <w:rPr>
          <w:rFonts w:ascii="Theinhardt Bold" w:hAnsi="Theinhardt Bold"/>
          <w:b/>
          <w:color w:val="231F20"/>
          <w:sz w:val="14"/>
        </w:rPr>
        <w:t xml:space="preserve"> sur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z w:val="14"/>
        </w:rPr>
        <w:t xml:space="preserve"> toit.</w:t>
      </w:r>
    </w:p>
    <w:p w14:paraId="41EE86E6" w14:textId="77777777" w:rsidR="005F6E6D" w:rsidRDefault="00BB3E5B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76B9F4FA" w14:textId="77777777" w:rsidR="005F6E6D" w:rsidRDefault="00BB3E5B">
      <w:pPr>
        <w:spacing w:line="160" w:lineRule="exact"/>
        <w:ind w:left="333" w:right="3680" w:hanging="22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2/3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Avec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10’400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kWh/a,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l’installation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8,5</w:t>
      </w:r>
      <w:r>
        <w:rPr>
          <w:rFonts w:ascii="Theinhardt Bold" w:eastAsia="Theinhardt Bold" w:hAnsi="Theinhardt Bold" w:cs="Theinhardt Bold"/>
          <w:b/>
          <w:bCs/>
          <w:color w:val="231F20"/>
          <w:spacing w:val="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2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en toiture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assure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une autoproduction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185%.</w:t>
      </w:r>
    </w:p>
    <w:p w14:paraId="56F80957" w14:textId="77777777" w:rsidR="005F6E6D" w:rsidRDefault="005F6E6D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5F6E6D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3" w:space="119"/>
            <w:col w:w="7138"/>
          </w:cols>
        </w:sectPr>
      </w:pPr>
    </w:p>
    <w:p w14:paraId="048B2574" w14:textId="77777777" w:rsidR="005F6E6D" w:rsidRDefault="005F6E6D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9287442" w14:textId="77777777" w:rsidR="005F6E6D" w:rsidRDefault="005F6E6D">
      <w:pPr>
        <w:spacing w:before="4"/>
        <w:rPr>
          <w:rFonts w:ascii="Theinhardt Bold" w:eastAsia="Theinhardt Bold" w:hAnsi="Theinhardt Bold" w:cs="Theinhardt Bold"/>
          <w:b/>
          <w:bCs/>
          <w:sz w:val="29"/>
          <w:szCs w:val="29"/>
        </w:rPr>
      </w:pPr>
    </w:p>
    <w:p w14:paraId="5000ECC1" w14:textId="77777777" w:rsidR="005F6E6D" w:rsidRDefault="00BB3E5B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46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5F6E6D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E6D"/>
    <w:rsid w:val="005F6E6D"/>
    <w:rsid w:val="00B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;"/>
  <w14:docId w14:val="3604B298"/>
  <w15:docId w15:val="{4CD7AAE6-FCC9-468D-BB70-185A9CC2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8"/>
      <w:ind w:left="106"/>
    </w:pPr>
    <w:rPr>
      <w:rFonts w:ascii="Theinhardt Bold" w:eastAsia="Theinhardt Bold" w:hAnsi="Theinhardt Bold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fiteam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office@ackermannag.ch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ecretariat@jpf-ducret.ch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bulle@et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2021-10-19T13:49:00Z</dcterms:created>
  <dcterms:modified xsi:type="dcterms:W3CDTF">2021-10-19T11:50:00Z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