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AB46" w14:textId="77777777" w:rsidR="009373A3" w:rsidRDefault="009373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0C64F6" w14:textId="77777777" w:rsidR="009373A3" w:rsidRDefault="009373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8A049C" w14:textId="77777777" w:rsidR="009373A3" w:rsidRDefault="009373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DFCD4F" w14:textId="77777777" w:rsidR="009373A3" w:rsidRDefault="009373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D4141D" w14:textId="77777777" w:rsidR="009373A3" w:rsidRDefault="009373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1449CC" w14:textId="77777777" w:rsidR="009373A3" w:rsidRDefault="009373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5FBF7E" w14:textId="77777777" w:rsidR="009373A3" w:rsidRDefault="009373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42414E" w14:textId="77777777" w:rsidR="009373A3" w:rsidRDefault="009373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D022FA" w14:textId="77777777" w:rsidR="009373A3" w:rsidRDefault="009373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DAC244" w14:textId="77777777" w:rsidR="009373A3" w:rsidRDefault="009373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5B5E55" w14:textId="77777777" w:rsidR="009373A3" w:rsidRDefault="009373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3E9C20" w14:textId="77777777" w:rsidR="009373A3" w:rsidRDefault="009373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F848C6" w14:textId="77777777" w:rsidR="009373A3" w:rsidRDefault="009373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0CA2E8" w14:textId="77777777" w:rsidR="009373A3" w:rsidRDefault="009373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D262FE" w14:textId="77777777" w:rsidR="009373A3" w:rsidRDefault="009373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2C7367" w14:textId="77777777" w:rsidR="009373A3" w:rsidRDefault="009373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AF9AF3" w14:textId="77777777" w:rsidR="009373A3" w:rsidRDefault="009373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D83A2A" w14:textId="77777777" w:rsidR="009373A3" w:rsidRDefault="009373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3C2795" w14:textId="77777777" w:rsidR="009373A3" w:rsidRDefault="009373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C78687" w14:textId="77777777" w:rsidR="009373A3" w:rsidRDefault="009373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0A536" w14:textId="77777777" w:rsidR="009373A3" w:rsidRDefault="009373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4EDCFD" w14:textId="77777777" w:rsidR="009373A3" w:rsidRDefault="009373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809D9E" w14:textId="77777777" w:rsidR="009373A3" w:rsidRDefault="009373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2B89B8" w14:textId="77777777" w:rsidR="009373A3" w:rsidRDefault="009373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4F3115" w14:textId="77777777" w:rsidR="009373A3" w:rsidRDefault="009373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1AD948" w14:textId="77777777" w:rsidR="009373A3" w:rsidRDefault="009373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0E7326" w14:textId="77777777" w:rsidR="009373A3" w:rsidRDefault="009373A3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26646A66" w14:textId="77777777" w:rsidR="009373A3" w:rsidRDefault="009373A3">
      <w:pPr>
        <w:rPr>
          <w:rFonts w:ascii="Times New Roman" w:eastAsia="Times New Roman" w:hAnsi="Times New Roman" w:cs="Times New Roman"/>
          <w:sz w:val="20"/>
          <w:szCs w:val="20"/>
        </w:rPr>
        <w:sectPr w:rsidR="009373A3">
          <w:type w:val="continuous"/>
          <w:pgSz w:w="11910" w:h="16840"/>
          <w:pgMar w:top="1580" w:right="400" w:bottom="280" w:left="740" w:header="720" w:footer="720" w:gutter="0"/>
          <w:cols w:space="720"/>
        </w:sectPr>
      </w:pPr>
    </w:p>
    <w:p w14:paraId="75528C9D" w14:textId="77777777" w:rsidR="009373A3" w:rsidRDefault="009373A3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7AE960C3" w14:textId="77777777" w:rsidR="009373A3" w:rsidRDefault="00D7156A">
      <w:pPr>
        <w:spacing w:line="230" w:lineRule="exact"/>
        <w:ind w:left="117"/>
        <w:rPr>
          <w:rFonts w:ascii="Theinhardt Regular" w:eastAsia="Theinhardt Regular" w:hAnsi="Theinhardt Regular" w:cs="Theinhardt Regular"/>
          <w:sz w:val="18"/>
          <w:szCs w:val="18"/>
        </w:rPr>
      </w:pPr>
      <w:r>
        <w:pict w14:anchorId="4286F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left:0;text-align:left;margin-left:43.95pt;margin-top:38.4pt;width:52.45pt;height:38.45pt;z-index:1072;mso-position-horizontal-relative:page">
            <v:imagedata r:id="rId4" o:title=""/>
            <w10:wrap anchorx="page"/>
          </v:shape>
        </w:pict>
      </w:r>
      <w:r>
        <w:pict w14:anchorId="4ECD96B6">
          <v:group id="_x0000_s1050" style="position:absolute;left:0;text-align:left;margin-left:42.85pt;margin-top:12.05pt;width:122.6pt;height:.45pt;z-index:-5776;mso-position-horizontal-relative:page" coordorigin="857,241" coordsize="2452,9">
            <v:group id="_x0000_s1055" style="position:absolute;left:879;top:245;width:2418;height:2" coordorigin="879,245" coordsize="2418,2">
              <v:shape id="_x0000_s1056" style="position:absolute;left:879;top:245;width:2418;height:2" coordorigin="879,245" coordsize="2418,0" path="m879,245r2418,e" filled="f" strokecolor="#231f20" strokeweight=".14994mm">
                <v:stroke dashstyle="dash"/>
                <v:path arrowok="t"/>
              </v:shape>
            </v:group>
            <v:group id="_x0000_s1053" style="position:absolute;left:862;top:245;width:2;height:2" coordorigin="862,245" coordsize="2,2">
              <v:shape id="_x0000_s1054" style="position:absolute;left:862;top:245;width:2;height:2" coordorigin="862,245" coordsize="0,0" path="m862,245r,e" filled="f" strokecolor="#231f20" strokeweight=".14994mm">
                <v:path arrowok="t"/>
              </v:shape>
            </v:group>
            <v:group id="_x0000_s1051" style="position:absolute;left:3305;top:245;width:2;height:2" coordorigin="3305,245" coordsize="2,2">
              <v:shape id="_x0000_s1052" style="position:absolute;left:3305;top:245;width:2;height:2" coordorigin="3305,245" coordsize="0,0" path="m3305,245r,e" filled="f" strokecolor="#231f20" strokeweight=".14994mm">
                <v:path arrowok="t"/>
              </v:shape>
            </v:group>
            <w10:wrap anchorx="page"/>
          </v:group>
        </w:pict>
      </w:r>
      <w:r>
        <w:pict w14:anchorId="401BA6B9">
          <v:group id="_x0000_s1043" style="position:absolute;left:0;text-align:left;margin-left:42.85pt;margin-top:23.55pt;width:122.6pt;height:.45pt;z-index:-5752;mso-position-horizontal-relative:page" coordorigin="857,471" coordsize="2452,9">
            <v:group id="_x0000_s1048" style="position:absolute;left:879;top:475;width:2418;height:2" coordorigin="879,475" coordsize="2418,2">
              <v:shape id="_x0000_s1049" style="position:absolute;left:879;top:475;width:2418;height:2" coordorigin="879,475" coordsize="2418,0" path="m879,475r2418,e" filled="f" strokecolor="#231f20" strokeweight=".14994mm">
                <v:stroke dashstyle="dash"/>
                <v:path arrowok="t"/>
              </v:shape>
            </v:group>
            <v:group id="_x0000_s1046" style="position:absolute;left:862;top:475;width:2;height:2" coordorigin="862,475" coordsize="2,2">
              <v:shape id="_x0000_s1047" style="position:absolute;left:862;top:475;width:2;height:2" coordorigin="862,475" coordsize="0,0" path="m862,475r,e" filled="f" strokecolor="#231f20" strokeweight=".14994mm">
                <v:path arrowok="t"/>
              </v:shape>
            </v:group>
            <v:group id="_x0000_s1044" style="position:absolute;left:3305;top:475;width:2;height:2" coordorigin="3305,475" coordsize="2,2">
              <v:shape id="_x0000_s1045" style="position:absolute;left:3305;top:475;width:2;height:2" coordorigin="3305,475" coordsize="0,0" path="m3305,475r,e" filled="f" strokecolor="#231f20" strokeweight=".14994mm">
                <v:path arrowok="t"/>
              </v:shape>
            </v:group>
            <w10:wrap anchorx="page"/>
          </v:group>
        </w:pict>
      </w:r>
      <w:proofErr w:type="spellStart"/>
      <w:r>
        <w:rPr>
          <w:rFonts w:ascii="Theinhardt Black" w:hAnsi="Theinhardt Black"/>
          <w:b/>
          <w:color w:val="231F20"/>
          <w:spacing w:val="1"/>
          <w:sz w:val="18"/>
        </w:rPr>
        <w:t>Kategorie</w:t>
      </w:r>
      <w:proofErr w:type="spellEnd"/>
      <w:r>
        <w:rPr>
          <w:rFonts w:ascii="Theinhardt Black" w:hAnsi="Theinhardt Black"/>
          <w:b/>
          <w:color w:val="231F20"/>
          <w:sz w:val="18"/>
        </w:rPr>
        <w:t xml:space="preserve"> B</w:t>
      </w:r>
      <w:r>
        <w:rPr>
          <w:rFonts w:ascii="Theinhardt Black" w:hAnsi="Theinhardt Black"/>
          <w:b/>
          <w:color w:val="231F20"/>
          <w:spacing w:val="25"/>
          <w:sz w:val="18"/>
        </w:rPr>
        <w:t xml:space="preserve"> </w:t>
      </w:r>
      <w:proofErr w:type="spellStart"/>
      <w:r>
        <w:rPr>
          <w:rFonts w:ascii="Theinhardt Black" w:hAnsi="Theinhardt Black"/>
          <w:b/>
          <w:color w:val="231F20"/>
          <w:spacing w:val="1"/>
          <w:sz w:val="18"/>
        </w:rPr>
        <w:t>PlusEnergieBauten</w:t>
      </w:r>
      <w:proofErr w:type="spellEnd"/>
      <w:r>
        <w:rPr>
          <w:rFonts w:ascii="Theinhardt Black" w:hAnsi="Theinhardt Black"/>
          <w:b/>
          <w:color w:val="231F20"/>
          <w:spacing w:val="22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-1"/>
          <w:sz w:val="18"/>
        </w:rPr>
        <w:t>PlusEnergieBau</w:t>
      </w:r>
      <w:proofErr w:type="spellEnd"/>
      <w:r>
        <w:rPr>
          <w:rFonts w:ascii="Theinhardt Regular" w:hAnsi="Theinhardt Regular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231F20"/>
          <w:spacing w:val="-1"/>
          <w:sz w:val="18"/>
        </w:rPr>
        <w:t>-</w:t>
      </w:r>
      <w:proofErr w:type="spellStart"/>
      <w:r>
        <w:rPr>
          <w:rFonts w:ascii="Theinhardt Regular" w:hAnsi="Theinhardt Regular"/>
          <w:color w:val="231F20"/>
          <w:spacing w:val="-1"/>
          <w:sz w:val="18"/>
        </w:rPr>
        <w:t>Diplom</w:t>
      </w:r>
      <w:proofErr w:type="spellEnd"/>
      <w:r>
        <w:rPr>
          <w:rFonts w:ascii="Theinhardt Regular" w:hAnsi="Theinhardt Regular"/>
          <w:color w:val="231F20"/>
          <w:spacing w:val="3"/>
          <w:sz w:val="18"/>
        </w:rPr>
        <w:t xml:space="preserve"> </w:t>
      </w:r>
      <w:r>
        <w:rPr>
          <w:rFonts w:ascii="Theinhardt Regular" w:hAnsi="Theinhardt Regular"/>
          <w:color w:val="231F20"/>
          <w:sz w:val="18"/>
        </w:rPr>
        <w:t>2021</w:t>
      </w:r>
    </w:p>
    <w:p w14:paraId="6632113F" w14:textId="77777777" w:rsidR="009373A3" w:rsidRDefault="00D7156A">
      <w:pPr>
        <w:spacing w:before="49" w:line="230" w:lineRule="exact"/>
        <w:ind w:left="117" w:right="157"/>
        <w:jc w:val="both"/>
        <w:rPr>
          <w:rFonts w:ascii="Theinhardt Bold" w:eastAsia="Theinhardt Bold" w:hAnsi="Theinhardt Bold" w:cs="Theinhardt Bold"/>
          <w:sz w:val="18"/>
          <w:szCs w:val="18"/>
        </w:rPr>
      </w:pPr>
      <w:r>
        <w:br w:type="column"/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Bâtie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10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en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1968</w:t>
      </w:r>
      <w:r>
        <w:rPr>
          <w:rFonts w:ascii="Theinhardt Bold" w:eastAsia="Theinhardt Bold" w:hAnsi="Theinhardt Bold" w:cs="Theinhardt Bold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à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Villars-sur-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Glâne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(FR),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la</w:t>
      </w:r>
      <w:r>
        <w:rPr>
          <w:rFonts w:ascii="Theinhardt Bold" w:eastAsia="Theinhardt Bold" w:hAnsi="Theinhardt Bold" w:cs="Theinhardt Bold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villa</w:t>
      </w:r>
      <w:r>
        <w:rPr>
          <w:rFonts w:ascii="Theinhardt Bold" w:eastAsia="Theinhardt Bold" w:hAnsi="Theinhardt Bold" w:cs="Theinhardt Bold"/>
          <w:b/>
          <w:bCs/>
          <w:color w:val="231F20"/>
          <w:spacing w:val="10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Berset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a</w:t>
      </w:r>
      <w:r>
        <w:rPr>
          <w:rFonts w:ascii="Theinhardt Bold" w:eastAsia="Theinhardt Bold" w:hAnsi="Theinhardt Bold" w:cs="Theinhardt Bold"/>
          <w:b/>
          <w:bCs/>
          <w:color w:val="231F20"/>
          <w:spacing w:val="10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été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10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rénovée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10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en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2020</w:t>
      </w:r>
      <w:r>
        <w:rPr>
          <w:rFonts w:ascii="Theinhardt Bold" w:eastAsia="Theinhardt Bold" w:hAnsi="Theinhardt Bold" w:cs="Theinhardt Bold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et</w:t>
      </w:r>
      <w:r>
        <w:rPr>
          <w:rFonts w:ascii="Theinhardt Bold" w:eastAsia="Theinhardt Bold" w:hAnsi="Theinhardt Bold" w:cs="Theinhardt Bold"/>
          <w:b/>
          <w:bCs/>
          <w:color w:val="231F20"/>
          <w:spacing w:val="10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transformée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10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en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30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immeuble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</w:t>
      </w:r>
      <w:r>
        <w:rPr>
          <w:rFonts w:ascii="Theinhardt Bold" w:eastAsia="Theinhardt Bold" w:hAnsi="Theinhardt Bold" w:cs="Theinhardt Bold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trois</w:t>
      </w:r>
      <w:r>
        <w:rPr>
          <w:rFonts w:ascii="Theinhardt Bold" w:eastAsia="Theinhardt Bold" w:hAnsi="Theinhardt Bold" w:cs="Theinhardt Bold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appartements.</w:t>
      </w:r>
      <w:r>
        <w:rPr>
          <w:rFonts w:ascii="Theinhardt Bold" w:eastAsia="Theinhardt Bold" w:hAnsi="Theinhardt Bold" w:cs="Theinhardt Bold"/>
          <w:b/>
          <w:bCs/>
          <w:color w:val="231F20"/>
          <w:spacing w:val="-15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Grâce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à</w:t>
      </w:r>
      <w:r>
        <w:rPr>
          <w:rFonts w:ascii="Theinhardt Bold" w:eastAsia="Theinhardt Bold" w:hAnsi="Theinhardt Bold" w:cs="Theinhardt Bold"/>
          <w:b/>
          <w:bCs/>
          <w:color w:val="231F20"/>
          <w:spacing w:val="-7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une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bonne</w:t>
      </w:r>
      <w:r>
        <w:rPr>
          <w:rFonts w:ascii="Theinhardt Bold" w:eastAsia="Theinhardt Bold" w:hAnsi="Theinhardt Bold" w:cs="Theinhardt Bold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isolation</w:t>
      </w:r>
      <w:r>
        <w:rPr>
          <w:rFonts w:ascii="Theinhardt Bold" w:eastAsia="Theinhardt Bold" w:hAnsi="Theinhardt Bold" w:cs="Theinhardt Bold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et</w:t>
      </w:r>
      <w:r>
        <w:rPr>
          <w:rFonts w:ascii="Theinhardt Bold" w:eastAsia="Theinhardt Bold" w:hAnsi="Theinhardt Bold" w:cs="Theinhardt Bold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à</w:t>
      </w:r>
      <w:r>
        <w:rPr>
          <w:rFonts w:ascii="Theinhardt Bold" w:eastAsia="Theinhardt Bold" w:hAnsi="Theinhardt Bold" w:cs="Theinhardt Bold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</w:t>
      </w:r>
      <w:r>
        <w:rPr>
          <w:rFonts w:ascii="Theinhardt Bold" w:eastAsia="Theinhardt Bold" w:hAnsi="Theinhardt Bold" w:cs="Theinhardt Bold"/>
          <w:b/>
          <w:bCs/>
          <w:color w:val="231F20"/>
          <w:spacing w:val="-7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l’électroménager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efficient,</w:t>
      </w:r>
      <w:r>
        <w:rPr>
          <w:rFonts w:ascii="Theinhardt Bold" w:eastAsia="Theinhardt Bold" w:hAnsi="Theinhardt Bold" w:cs="Theinhardt Bold"/>
          <w:b/>
          <w:bCs/>
          <w:color w:val="231F20"/>
          <w:spacing w:val="4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les</w:t>
      </w:r>
      <w:r>
        <w:rPr>
          <w:rFonts w:ascii="Theinhardt Bold" w:eastAsia="Theinhardt Bold" w:hAnsi="Theinhardt Bold" w:cs="Theinhardt Bold"/>
          <w:b/>
          <w:bCs/>
          <w:color w:val="231F20"/>
          <w:spacing w:val="15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besoins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15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en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15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énergie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15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ont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15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chuté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1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</w:t>
      </w:r>
      <w:r>
        <w:rPr>
          <w:rFonts w:ascii="Theinhardt Bold" w:eastAsia="Theinhardt Bold" w:hAnsi="Theinhardt Bold" w:cs="Theinhardt Bold"/>
          <w:b/>
          <w:bCs/>
          <w:color w:val="231F20"/>
          <w:spacing w:val="1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82%,</w:t>
      </w:r>
      <w:r>
        <w:rPr>
          <w:rFonts w:ascii="Theinhardt Bold" w:eastAsia="Theinhardt Bold" w:hAnsi="Theinhardt Bold" w:cs="Theinhardt Bold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</w:t>
      </w:r>
      <w:r>
        <w:rPr>
          <w:rFonts w:ascii="Theinhardt Bold" w:eastAsia="Theinhardt Bold" w:hAnsi="Theinhardt Bold" w:cs="Theinhardt Bold"/>
          <w:b/>
          <w:bCs/>
          <w:color w:val="231F20"/>
          <w:spacing w:val="1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70’500</w:t>
      </w:r>
      <w:r>
        <w:rPr>
          <w:rFonts w:ascii="Theinhardt Bold" w:eastAsia="Theinhardt Bold" w:hAnsi="Theinhardt Bold" w:cs="Theinhardt Bold"/>
          <w:b/>
          <w:bCs/>
          <w:color w:val="231F20"/>
          <w:spacing w:val="1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à</w:t>
      </w:r>
      <w:r>
        <w:rPr>
          <w:rFonts w:ascii="Theinhardt Bold" w:eastAsia="Theinhardt Bold" w:hAnsi="Theinhardt Bold" w:cs="Theinhardt Bold"/>
          <w:b/>
          <w:bCs/>
          <w:color w:val="231F20"/>
          <w:spacing w:val="1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12’700</w:t>
      </w:r>
      <w:r>
        <w:rPr>
          <w:rFonts w:ascii="Theinhardt Bold" w:eastAsia="Theinhardt Bold" w:hAnsi="Theinhardt Bold" w:cs="Theinhardt Bold"/>
          <w:b/>
          <w:bCs/>
          <w:color w:val="231F20"/>
          <w:spacing w:val="1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kWh/a,</w:t>
      </w:r>
      <w:r>
        <w:rPr>
          <w:rFonts w:ascii="Theinhardt Bold" w:eastAsia="Theinhardt Bold" w:hAnsi="Theinhardt Bold" w:cs="Theinhardt Bold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bien</w:t>
      </w:r>
      <w:r>
        <w:rPr>
          <w:rFonts w:ascii="Theinhardt Bold" w:eastAsia="Theinhardt Bold" w:hAnsi="Theinhardt Bold" w:cs="Theinhardt Bold"/>
          <w:b/>
          <w:bCs/>
          <w:color w:val="231F20"/>
          <w:spacing w:val="1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que</w:t>
      </w:r>
      <w:r>
        <w:rPr>
          <w:rFonts w:ascii="Theinhardt Bold" w:eastAsia="Theinhardt Bold" w:hAnsi="Theinhardt Bold" w:cs="Theinhardt Bold"/>
          <w:b/>
          <w:bCs/>
          <w:color w:val="231F20"/>
          <w:spacing w:val="1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la</w:t>
      </w:r>
      <w:r>
        <w:rPr>
          <w:rFonts w:ascii="Theinhardt Bold" w:eastAsia="Theinhardt Bold" w:hAnsi="Theinhardt Bold" w:cs="Theinhardt Bold"/>
          <w:b/>
          <w:bCs/>
          <w:color w:val="231F20"/>
          <w:spacing w:val="1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surface</w:t>
      </w:r>
      <w:r>
        <w:rPr>
          <w:rFonts w:ascii="Theinhardt Bold" w:eastAsia="Theinhardt Bold" w:hAnsi="Theinhardt Bold" w:cs="Theinhardt Bold"/>
          <w:b/>
          <w:bCs/>
          <w:color w:val="231F20"/>
          <w:spacing w:val="1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</w:t>
      </w:r>
      <w:r>
        <w:rPr>
          <w:rFonts w:ascii="Theinhardt Bold" w:eastAsia="Theinhardt Bold" w:hAnsi="Theinhardt Bold" w:cs="Theinhardt Bold"/>
          <w:b/>
          <w:bCs/>
          <w:color w:val="231F20"/>
          <w:spacing w:val="40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référence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énergétique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ait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augmenté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</w:t>
      </w:r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35%.</w:t>
      </w:r>
      <w:r>
        <w:rPr>
          <w:rFonts w:ascii="Theinhardt Bold" w:eastAsia="Theinhardt Bold" w:hAnsi="Theinhardt Bold" w:cs="Theinhardt Bold"/>
          <w:b/>
          <w:bCs/>
          <w:color w:val="231F20"/>
          <w:spacing w:val="-13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Intégrée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sur</w:t>
      </w:r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toute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la</w:t>
      </w:r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toiture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,</w:t>
      </w:r>
      <w:r>
        <w:rPr>
          <w:rFonts w:ascii="Theinhardt Bold" w:eastAsia="Theinhardt Bold" w:hAnsi="Theinhardt Bold" w:cs="Theinhardt Bold"/>
          <w:b/>
          <w:bCs/>
          <w:color w:val="231F20"/>
          <w:spacing w:val="-13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l’installation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8"/>
          <w:szCs w:val="18"/>
        </w:rPr>
        <w:t>PV</w:t>
      </w:r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</w:t>
      </w:r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13</w:t>
      </w:r>
      <w:r>
        <w:rPr>
          <w:rFonts w:ascii="Theinhardt Bold" w:eastAsia="Theinhardt Bold" w:hAnsi="Theinhardt Bold" w:cs="Theinhardt Bold"/>
          <w:b/>
          <w:bCs/>
          <w:color w:val="231F20"/>
          <w:spacing w:val="5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kWc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génère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14’600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kWh/a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et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assure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au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bâtiment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Minergie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-P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une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autoproduction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115%,</w:t>
      </w:r>
      <w:r>
        <w:rPr>
          <w:rFonts w:ascii="Theinhardt Bold" w:eastAsia="Theinhardt Bold" w:hAnsi="Theinhardt Bold" w:cs="Theinhardt Bold"/>
          <w:b/>
          <w:bCs/>
          <w:color w:val="231F20"/>
          <w:spacing w:val="-1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tout</w:t>
      </w:r>
      <w:r>
        <w:rPr>
          <w:rFonts w:ascii="Theinhardt Bold" w:eastAsia="Theinhardt Bold" w:hAnsi="Theinhardt Bold" w:cs="Theinhardt Bold"/>
          <w:b/>
          <w:bCs/>
          <w:color w:val="231F20"/>
          <w:spacing w:val="66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en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5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supprimant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les</w:t>
      </w:r>
      <w:r>
        <w:rPr>
          <w:rFonts w:ascii="Theinhardt Bold" w:eastAsia="Theinhardt Bold" w:hAnsi="Theinhardt Bold" w:cs="Theinhardt Bold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25</w:t>
      </w:r>
      <w:r>
        <w:rPr>
          <w:rFonts w:ascii="Theinhardt Bold" w:eastAsia="Theinhardt Bold" w:hAnsi="Theinhardt Bold" w:cs="Theinhardt Bold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t</w:t>
      </w:r>
      <w:r>
        <w:rPr>
          <w:rFonts w:ascii="Theinhardt Bold" w:eastAsia="Theinhardt Bold" w:hAnsi="Theinhardt Bold" w:cs="Theinhardt Bold"/>
          <w:b/>
          <w:bCs/>
          <w:color w:val="231F20"/>
          <w:spacing w:val="5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d’émissions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</w:t>
      </w:r>
      <w:r>
        <w:rPr>
          <w:rFonts w:ascii="Theinhardt Bold" w:eastAsia="Theinhardt Bold" w:hAnsi="Theinhardt Bold" w:cs="Theinhardt Bold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CO</w:t>
      </w:r>
      <w:r>
        <w:rPr>
          <w:rFonts w:ascii="Theinhardt Bold" w:eastAsia="Theinhardt Bold" w:hAnsi="Theinhardt Bold" w:cs="Theinhardt Bold"/>
          <w:b/>
          <w:bCs/>
          <w:color w:val="231F20"/>
          <w:position w:val="-5"/>
          <w:sz w:val="10"/>
          <w:szCs w:val="10"/>
        </w:rPr>
        <w:t xml:space="preserve">2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rejetées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.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Utiliser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5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l’excédent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5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solaire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</w:t>
      </w:r>
      <w:r>
        <w:rPr>
          <w:rFonts w:ascii="Theinhardt Bold" w:eastAsia="Theinhardt Bold" w:hAnsi="Theinhardt Bold" w:cs="Theinhardt Bold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1’900</w:t>
      </w:r>
      <w:r>
        <w:rPr>
          <w:rFonts w:ascii="Theinhardt Bold" w:eastAsia="Theinhardt Bold" w:hAnsi="Theinhardt Bold" w:cs="Theinhardt Bold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kWh/a</w:t>
      </w:r>
      <w:r>
        <w:rPr>
          <w:rFonts w:ascii="Theinhardt Bold" w:eastAsia="Theinhardt Bold" w:hAnsi="Theinhardt Bold" w:cs="Theinhardt Bold"/>
          <w:b/>
          <w:bCs/>
          <w:color w:val="231F20"/>
          <w:spacing w:val="4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pour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l’électromobilité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éviterait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3,9 t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CO</w:t>
      </w:r>
      <w:r>
        <w:rPr>
          <w:rFonts w:ascii="Theinhardt Bold" w:eastAsia="Theinhardt Bold" w:hAnsi="Theinhardt Bold" w:cs="Theinhardt Bold"/>
          <w:b/>
          <w:bCs/>
          <w:color w:val="231F20"/>
          <w:position w:val="-5"/>
          <w:sz w:val="10"/>
          <w:szCs w:val="10"/>
        </w:rPr>
        <w:t>2</w:t>
      </w:r>
      <w:r>
        <w:rPr>
          <w:rFonts w:ascii="Theinhardt Bold" w:eastAsia="Theinhardt Bold" w:hAnsi="Theinhardt Bold" w:cs="Theinhardt Bold"/>
          <w:b/>
          <w:bCs/>
          <w:color w:val="231F20"/>
          <w:spacing w:val="20"/>
          <w:position w:val="-5"/>
          <w:sz w:val="10"/>
          <w:szCs w:val="10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supplémentaires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.</w:t>
      </w:r>
    </w:p>
    <w:p w14:paraId="29CC9A32" w14:textId="77777777" w:rsidR="009373A3" w:rsidRDefault="009373A3">
      <w:pPr>
        <w:spacing w:line="230" w:lineRule="exact"/>
        <w:jc w:val="both"/>
        <w:rPr>
          <w:rFonts w:ascii="Theinhardt Bold" w:eastAsia="Theinhardt Bold" w:hAnsi="Theinhardt Bold" w:cs="Theinhardt Bold"/>
          <w:sz w:val="18"/>
          <w:szCs w:val="18"/>
        </w:rPr>
        <w:sectPr w:rsidR="009373A3">
          <w:type w:val="continuous"/>
          <w:pgSz w:w="11910" w:h="16840"/>
          <w:pgMar w:top="1580" w:right="400" w:bottom="280" w:left="740" w:header="720" w:footer="720" w:gutter="0"/>
          <w:cols w:num="2" w:space="720" w:equalWidth="0">
            <w:col w:w="2507" w:space="164"/>
            <w:col w:w="8099"/>
          </w:cols>
        </w:sectPr>
      </w:pPr>
    </w:p>
    <w:p w14:paraId="294430C1" w14:textId="77777777" w:rsidR="009373A3" w:rsidRDefault="009373A3">
      <w:pPr>
        <w:spacing w:before="2"/>
        <w:rPr>
          <w:rFonts w:ascii="Theinhardt Bold" w:eastAsia="Theinhardt Bold" w:hAnsi="Theinhardt Bold" w:cs="Theinhardt Bold"/>
          <w:b/>
          <w:bCs/>
          <w:sz w:val="13"/>
          <w:szCs w:val="13"/>
        </w:rPr>
      </w:pPr>
    </w:p>
    <w:p w14:paraId="380F259E" w14:textId="77777777" w:rsidR="009373A3" w:rsidRDefault="00D7156A">
      <w:pPr>
        <w:spacing w:before="5" w:line="511" w:lineRule="exact"/>
        <w:ind w:left="110"/>
        <w:rPr>
          <w:rFonts w:ascii="Theinhardt Black" w:eastAsia="Theinhardt Black" w:hAnsi="Theinhardt Black" w:cs="Theinhardt Black"/>
          <w:sz w:val="40"/>
          <w:szCs w:val="40"/>
        </w:rPr>
      </w:pPr>
      <w:proofErr w:type="spellStart"/>
      <w:r>
        <w:rPr>
          <w:rFonts w:ascii="Theinhardt Black" w:hAnsi="Theinhardt Black"/>
          <w:b/>
          <w:color w:val="0067B1"/>
          <w:spacing w:val="1"/>
          <w:w w:val="90"/>
          <w:sz w:val="40"/>
        </w:rPr>
        <w:t>Rénovation</w:t>
      </w:r>
      <w:proofErr w:type="spellEnd"/>
      <w:r>
        <w:rPr>
          <w:rFonts w:ascii="Theinhardt Black" w:hAnsi="Theinhardt Black"/>
          <w:b/>
          <w:color w:val="0067B1"/>
          <w:spacing w:val="-49"/>
          <w:w w:val="90"/>
          <w:sz w:val="40"/>
        </w:rPr>
        <w:t xml:space="preserve"> </w:t>
      </w:r>
      <w:r>
        <w:rPr>
          <w:rFonts w:ascii="Theinhardt Black" w:hAnsi="Theinhardt Black"/>
          <w:b/>
          <w:color w:val="0067B1"/>
          <w:spacing w:val="-3"/>
          <w:w w:val="90"/>
          <w:sz w:val="40"/>
        </w:rPr>
        <w:t>BEP</w:t>
      </w:r>
      <w:r>
        <w:rPr>
          <w:rFonts w:ascii="Theinhardt Black" w:hAnsi="Theinhardt Black"/>
          <w:b/>
          <w:color w:val="0067B1"/>
          <w:spacing w:val="-48"/>
          <w:w w:val="90"/>
          <w:sz w:val="40"/>
        </w:rPr>
        <w:t xml:space="preserve"> </w:t>
      </w:r>
      <w:r>
        <w:rPr>
          <w:rFonts w:ascii="Theinhardt Black" w:hAnsi="Theinhardt Black"/>
          <w:b/>
          <w:color w:val="0067B1"/>
          <w:w w:val="90"/>
          <w:sz w:val="40"/>
        </w:rPr>
        <w:t>115%</w:t>
      </w:r>
      <w:r>
        <w:rPr>
          <w:rFonts w:ascii="Theinhardt Black" w:hAnsi="Theinhardt Black"/>
          <w:b/>
          <w:color w:val="0067B1"/>
          <w:spacing w:val="-49"/>
          <w:w w:val="90"/>
          <w:sz w:val="40"/>
        </w:rPr>
        <w:t xml:space="preserve"> </w:t>
      </w:r>
      <w:proofErr w:type="spellStart"/>
      <w:r>
        <w:rPr>
          <w:rFonts w:ascii="Theinhardt Black" w:hAnsi="Theinhardt Black"/>
          <w:b/>
          <w:color w:val="0067B1"/>
          <w:spacing w:val="7"/>
          <w:w w:val="90"/>
          <w:sz w:val="40"/>
        </w:rPr>
        <w:t>Berset</w:t>
      </w:r>
      <w:proofErr w:type="spellEnd"/>
      <w:r>
        <w:rPr>
          <w:rFonts w:ascii="Theinhardt Black" w:hAnsi="Theinhardt Black"/>
          <w:b/>
          <w:color w:val="0067B1"/>
          <w:spacing w:val="7"/>
          <w:w w:val="90"/>
          <w:sz w:val="40"/>
        </w:rPr>
        <w:t>,</w:t>
      </w:r>
      <w:r>
        <w:rPr>
          <w:rFonts w:ascii="Theinhardt Black" w:hAnsi="Theinhardt Black"/>
          <w:b/>
          <w:color w:val="0067B1"/>
          <w:spacing w:val="-57"/>
          <w:w w:val="90"/>
          <w:sz w:val="40"/>
        </w:rPr>
        <w:t xml:space="preserve"> </w:t>
      </w:r>
      <w:r>
        <w:rPr>
          <w:rFonts w:ascii="Theinhardt Black" w:hAnsi="Theinhardt Black"/>
          <w:b/>
          <w:color w:val="0067B1"/>
          <w:w w:val="90"/>
          <w:sz w:val="40"/>
        </w:rPr>
        <w:t>1752</w:t>
      </w:r>
      <w:r>
        <w:rPr>
          <w:rFonts w:ascii="Theinhardt Black" w:hAnsi="Theinhardt Black"/>
          <w:b/>
          <w:color w:val="0067B1"/>
          <w:spacing w:val="-57"/>
          <w:w w:val="90"/>
          <w:sz w:val="40"/>
        </w:rPr>
        <w:t xml:space="preserve"> </w:t>
      </w:r>
      <w:r>
        <w:rPr>
          <w:rFonts w:ascii="Theinhardt Black" w:hAnsi="Theinhardt Black"/>
          <w:b/>
          <w:color w:val="0067B1"/>
          <w:spacing w:val="4"/>
          <w:w w:val="90"/>
          <w:sz w:val="40"/>
        </w:rPr>
        <w:t>Villars-sur-</w:t>
      </w:r>
      <w:proofErr w:type="spellStart"/>
      <w:r>
        <w:rPr>
          <w:rFonts w:ascii="Theinhardt Black" w:hAnsi="Theinhardt Black"/>
          <w:b/>
          <w:color w:val="0067B1"/>
          <w:spacing w:val="4"/>
          <w:w w:val="90"/>
          <w:sz w:val="40"/>
        </w:rPr>
        <w:t>Glâne</w:t>
      </w:r>
      <w:proofErr w:type="spellEnd"/>
      <w:r>
        <w:rPr>
          <w:rFonts w:ascii="Theinhardt Black" w:hAnsi="Theinhardt Black"/>
          <w:b/>
          <w:color w:val="0067B1"/>
          <w:spacing w:val="4"/>
          <w:w w:val="90"/>
          <w:sz w:val="40"/>
        </w:rPr>
        <w:t>/FR</w:t>
      </w:r>
    </w:p>
    <w:p w14:paraId="3822FF82" w14:textId="77777777" w:rsidR="009373A3" w:rsidRDefault="00D7156A">
      <w:pPr>
        <w:spacing w:line="168" w:lineRule="exact"/>
        <w:ind w:right="2118"/>
        <w:jc w:val="right"/>
        <w:rPr>
          <w:rFonts w:ascii="Theinhardt Black" w:eastAsia="Theinhardt Black" w:hAnsi="Theinhardt Black" w:cs="Theinhardt Black"/>
          <w:sz w:val="14"/>
          <w:szCs w:val="14"/>
        </w:rPr>
      </w:pPr>
      <w:proofErr w:type="spellStart"/>
      <w:r>
        <w:rPr>
          <w:rFonts w:ascii="Theinhardt Black" w:hAnsi="Theinhardt Black"/>
          <w:b/>
          <w:color w:val="231F20"/>
          <w:spacing w:val="1"/>
          <w:sz w:val="14"/>
        </w:rPr>
        <w:t>Données</w:t>
      </w:r>
      <w:proofErr w:type="spellEnd"/>
      <w:r>
        <w:rPr>
          <w:rFonts w:ascii="Theinhardt Black" w:hAnsi="Theinhardt Black"/>
          <w:b/>
          <w:color w:val="231F20"/>
          <w:sz w:val="14"/>
        </w:rPr>
        <w:t xml:space="preserve"> techniques</w:t>
      </w:r>
    </w:p>
    <w:p w14:paraId="31B0E14A" w14:textId="77777777" w:rsidR="009373A3" w:rsidRDefault="009373A3">
      <w:pPr>
        <w:spacing w:line="168" w:lineRule="exact"/>
        <w:jc w:val="right"/>
        <w:rPr>
          <w:rFonts w:ascii="Theinhardt Black" w:eastAsia="Theinhardt Black" w:hAnsi="Theinhardt Black" w:cs="Theinhardt Black"/>
          <w:sz w:val="14"/>
          <w:szCs w:val="14"/>
        </w:rPr>
        <w:sectPr w:rsidR="009373A3">
          <w:type w:val="continuous"/>
          <w:pgSz w:w="11910" w:h="16840"/>
          <w:pgMar w:top="1580" w:right="400" w:bottom="280" w:left="740" w:header="720" w:footer="720" w:gutter="0"/>
          <w:cols w:space="720"/>
        </w:sectPr>
      </w:pPr>
    </w:p>
    <w:p w14:paraId="69BF9D29" w14:textId="77777777" w:rsidR="009373A3" w:rsidRDefault="00D7156A">
      <w:pPr>
        <w:pStyle w:val="Textkrper"/>
        <w:spacing w:line="232" w:lineRule="auto"/>
        <w:jc w:val="both"/>
      </w:pPr>
      <w:r>
        <w:rPr>
          <w:color w:val="231F20"/>
          <w:spacing w:val="1"/>
        </w:rPr>
        <w:t>Das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1968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Villars-sur-</w:t>
      </w:r>
      <w:proofErr w:type="spellStart"/>
      <w:r>
        <w:rPr>
          <w:color w:val="231F20"/>
        </w:rPr>
        <w:t>Glâne</w:t>
      </w:r>
      <w:proofErr w:type="spellEnd"/>
      <w:r>
        <w:rPr>
          <w:color w:val="231F20"/>
        </w:rPr>
        <w:t>/FR</w:t>
      </w:r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</w:rPr>
        <w:t>erstellte</w:t>
      </w:r>
      <w:proofErr w:type="spellEnd"/>
      <w:r>
        <w:rPr>
          <w:color w:val="231F20"/>
          <w:spacing w:val="22"/>
          <w:w w:val="99"/>
        </w:rPr>
        <w:t xml:space="preserve"> </w:t>
      </w:r>
      <w:r>
        <w:rPr>
          <w:color w:val="231F20"/>
          <w:spacing w:val="-2"/>
        </w:rPr>
        <w:t>EFH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Berset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2"/>
        </w:rPr>
        <w:t>wurde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2020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1"/>
        </w:rPr>
        <w:t>renoviert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zu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1"/>
        </w:rPr>
        <w:t>ei</w:t>
      </w:r>
      <w:proofErr w:type="spellEnd"/>
      <w:r>
        <w:rPr>
          <w:color w:val="231F20"/>
          <w:spacing w:val="-1"/>
        </w:rPr>
        <w:t>-</w:t>
      </w:r>
      <w:r>
        <w:rPr>
          <w:color w:val="231F20"/>
          <w:spacing w:val="33"/>
          <w:w w:val="99"/>
        </w:rPr>
        <w:t xml:space="preserve"> </w:t>
      </w:r>
      <w:proofErr w:type="spellStart"/>
      <w:r>
        <w:rPr>
          <w:color w:val="231F20"/>
        </w:rPr>
        <w:t>nem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MFH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mit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2"/>
        </w:rPr>
        <w:t>drei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spacing w:val="-2"/>
        </w:rPr>
        <w:t>Wohnungen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1"/>
        </w:rPr>
        <w:t>erweitert</w:t>
      </w:r>
      <w:proofErr w:type="spellEnd"/>
      <w:r>
        <w:rPr>
          <w:color w:val="231F20"/>
          <w:spacing w:val="1"/>
        </w:rPr>
        <w:t>.</w:t>
      </w:r>
      <w:r>
        <w:rPr>
          <w:color w:val="231F20"/>
          <w:spacing w:val="-31"/>
        </w:rPr>
        <w:t xml:space="preserve"> </w:t>
      </w:r>
      <w:proofErr w:type="spellStart"/>
      <w:r>
        <w:rPr>
          <w:color w:val="231F20"/>
          <w:spacing w:val="-5"/>
        </w:rPr>
        <w:t>Vor</w:t>
      </w:r>
      <w:proofErr w:type="spellEnd"/>
      <w:r>
        <w:rPr>
          <w:color w:val="231F20"/>
          <w:spacing w:val="31"/>
          <w:w w:val="99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Sanierung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konsumierte</w:t>
      </w:r>
      <w:proofErr w:type="spellEnd"/>
      <w:r>
        <w:rPr>
          <w:color w:val="231F20"/>
        </w:rPr>
        <w:t xml:space="preserve"> es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rund</w:t>
      </w:r>
      <w:proofErr w:type="spellEnd"/>
      <w:r>
        <w:rPr>
          <w:color w:val="231F20"/>
        </w:rPr>
        <w:t xml:space="preserve"> 70’500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-2"/>
        </w:rPr>
        <w:t>kWh/a.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  <w:spacing w:val="-1"/>
        </w:rPr>
        <w:t>Energiebedarf</w:t>
      </w:r>
      <w:proofErr w:type="spellEnd"/>
      <w:r>
        <w:rPr>
          <w:color w:val="231F20"/>
          <w:spacing w:val="39"/>
        </w:rPr>
        <w:t xml:space="preserve"> </w:t>
      </w:r>
      <w:proofErr w:type="spellStart"/>
      <w:r>
        <w:rPr>
          <w:color w:val="231F20"/>
          <w:spacing w:val="-1"/>
        </w:rPr>
        <w:t>reduzierte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sich</w:t>
      </w:r>
      <w:proofErr w:type="spellEnd"/>
      <w:r>
        <w:rPr>
          <w:color w:val="231F20"/>
          <w:spacing w:val="48"/>
          <w:w w:val="99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82%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auf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12’700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2"/>
        </w:rPr>
        <w:t>kWh/a,</w:t>
      </w:r>
      <w:r>
        <w:rPr>
          <w:color w:val="231F20"/>
          <w:spacing w:val="34"/>
        </w:rPr>
        <w:t xml:space="preserve"> </w:t>
      </w:r>
      <w:proofErr w:type="spellStart"/>
      <w:r>
        <w:rPr>
          <w:color w:val="231F20"/>
        </w:rPr>
        <w:t>obwohl</w:t>
      </w:r>
      <w:proofErr w:type="spellEnd"/>
      <w:r>
        <w:rPr>
          <w:color w:val="231F20"/>
          <w:spacing w:val="45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24"/>
          <w:w w:val="99"/>
        </w:rPr>
        <w:t xml:space="preserve"> </w:t>
      </w:r>
      <w:proofErr w:type="spellStart"/>
      <w:r>
        <w:rPr>
          <w:color w:val="231F20"/>
          <w:spacing w:val="-1"/>
        </w:rPr>
        <w:t>Energiebezugsfläche</w:t>
      </w:r>
      <w:proofErr w:type="spellEnd"/>
      <w:r>
        <w:rPr>
          <w:color w:val="231F20"/>
          <w:spacing w:val="39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35%</w:t>
      </w:r>
      <w:r>
        <w:rPr>
          <w:color w:val="231F20"/>
          <w:spacing w:val="39"/>
        </w:rPr>
        <w:t xml:space="preserve"> </w:t>
      </w:r>
      <w:proofErr w:type="spellStart"/>
      <w:r>
        <w:rPr>
          <w:color w:val="231F20"/>
          <w:spacing w:val="-1"/>
        </w:rPr>
        <w:t>vergrössert</w:t>
      </w:r>
      <w:proofErr w:type="spellEnd"/>
      <w:r>
        <w:rPr>
          <w:color w:val="231F20"/>
          <w:spacing w:val="29"/>
          <w:w w:val="99"/>
        </w:rPr>
        <w:t xml:space="preserve"> </w:t>
      </w:r>
      <w:proofErr w:type="spellStart"/>
      <w:r>
        <w:rPr>
          <w:color w:val="231F20"/>
          <w:spacing w:val="-1"/>
        </w:rPr>
        <w:t>wurde</w:t>
      </w:r>
      <w:proofErr w:type="spellEnd"/>
      <w:r>
        <w:rPr>
          <w:color w:val="231F20"/>
          <w:spacing w:val="-1"/>
        </w:rPr>
        <w:t>.</w:t>
      </w:r>
      <w:r>
        <w:rPr>
          <w:color w:val="231F20"/>
          <w:spacing w:val="13"/>
        </w:rPr>
        <w:t xml:space="preserve"> </w:t>
      </w:r>
      <w:proofErr w:type="spellStart"/>
      <w:r>
        <w:rPr>
          <w:color w:val="231F20"/>
        </w:rPr>
        <w:t>Dafür</w:t>
      </w:r>
      <w:proofErr w:type="spellEnd"/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  <w:spacing w:val="-2"/>
        </w:rPr>
        <w:t>sorgen</w:t>
      </w:r>
      <w:proofErr w:type="spellEnd"/>
      <w:r>
        <w:rPr>
          <w:color w:val="231F20"/>
          <w:spacing w:val="24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gute</w:t>
      </w:r>
      <w:proofErr w:type="spellEnd"/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  <w:spacing w:val="-1"/>
        </w:rPr>
        <w:t>Wärmedäm</w:t>
      </w:r>
      <w:proofErr w:type="spellEnd"/>
      <w:r>
        <w:rPr>
          <w:color w:val="231F20"/>
          <w:spacing w:val="-1"/>
        </w:rPr>
        <w:t>-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  <w:spacing w:val="-1"/>
        </w:rPr>
        <w:t>mung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34"/>
        </w:rPr>
        <w:t xml:space="preserve"> </w:t>
      </w:r>
      <w:proofErr w:type="spellStart"/>
      <w:r>
        <w:rPr>
          <w:color w:val="231F20"/>
          <w:spacing w:val="-2"/>
        </w:rPr>
        <w:t>energieeffiziente</w:t>
      </w:r>
      <w:proofErr w:type="spellEnd"/>
      <w:r>
        <w:rPr>
          <w:color w:val="231F20"/>
          <w:spacing w:val="-34"/>
        </w:rPr>
        <w:t xml:space="preserve"> </w:t>
      </w:r>
      <w:proofErr w:type="spellStart"/>
      <w:r>
        <w:rPr>
          <w:color w:val="231F20"/>
          <w:spacing w:val="-2"/>
        </w:rPr>
        <w:t>Haushaltsgeräte</w:t>
      </w:r>
      <w:proofErr w:type="spellEnd"/>
      <w:r>
        <w:rPr>
          <w:color w:val="231F20"/>
          <w:spacing w:val="-1"/>
        </w:rPr>
        <w:t>.</w:t>
      </w:r>
    </w:p>
    <w:p w14:paraId="76FD2075" w14:textId="77777777" w:rsidR="009373A3" w:rsidRDefault="00D7156A">
      <w:pPr>
        <w:pStyle w:val="Textkrper"/>
        <w:spacing w:before="2" w:line="228" w:lineRule="auto"/>
        <w:jc w:val="both"/>
      </w:pPr>
      <w:r>
        <w:br w:type="column"/>
      </w:r>
      <w:r>
        <w:rPr>
          <w:color w:val="231F20"/>
          <w:spacing w:val="-1"/>
        </w:rPr>
        <w:t>Die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ganzflächig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integrierte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13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kW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1"/>
        </w:rPr>
        <w:t>starke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PV-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-1"/>
        </w:rPr>
        <w:t>Anlage</w:t>
      </w:r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</w:rPr>
        <w:t>erzeugt</w:t>
      </w:r>
      <w:proofErr w:type="spellEnd"/>
      <w:r>
        <w:rPr>
          <w:color w:val="231F20"/>
          <w:spacing w:val="17"/>
        </w:rPr>
        <w:t xml:space="preserve"> </w:t>
      </w:r>
      <w:r>
        <w:rPr>
          <w:color w:val="231F20"/>
        </w:rPr>
        <w:t>14’600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kWh/a.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Das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Miner-</w:t>
      </w:r>
      <w:r>
        <w:rPr>
          <w:color w:val="231F20"/>
          <w:spacing w:val="26"/>
          <w:w w:val="99"/>
        </w:rPr>
        <w:t xml:space="preserve"> </w:t>
      </w:r>
      <w:proofErr w:type="spellStart"/>
      <w:r>
        <w:rPr>
          <w:color w:val="231F20"/>
        </w:rPr>
        <w:t>gie</w:t>
      </w:r>
      <w:proofErr w:type="spellEnd"/>
      <w:r>
        <w:rPr>
          <w:color w:val="231F20"/>
        </w:rPr>
        <w:t>-P-Haus</w:t>
      </w:r>
      <w:r>
        <w:rPr>
          <w:color w:val="231F20"/>
          <w:spacing w:val="14"/>
        </w:rPr>
        <w:t xml:space="preserve"> </w:t>
      </w:r>
      <w:proofErr w:type="spellStart"/>
      <w:r>
        <w:rPr>
          <w:color w:val="231F20"/>
        </w:rPr>
        <w:t>weist</w:t>
      </w:r>
      <w:proofErr w:type="spellEnd"/>
      <w:r>
        <w:rPr>
          <w:color w:val="231F20"/>
          <w:spacing w:val="14"/>
        </w:rPr>
        <w:t xml:space="preserve"> </w:t>
      </w:r>
      <w:proofErr w:type="spellStart"/>
      <w:r>
        <w:rPr>
          <w:color w:val="231F20"/>
          <w:spacing w:val="-1"/>
        </w:rPr>
        <w:t>somit</w:t>
      </w:r>
      <w:proofErr w:type="spellEnd"/>
      <w:r>
        <w:rPr>
          <w:color w:val="231F20"/>
          <w:spacing w:val="14"/>
        </w:rPr>
        <w:t xml:space="preserve"> </w:t>
      </w:r>
      <w:proofErr w:type="spellStart"/>
      <w:r>
        <w:rPr>
          <w:color w:val="231F20"/>
        </w:rPr>
        <w:t>eine</w:t>
      </w:r>
      <w:proofErr w:type="spellEnd"/>
      <w:r>
        <w:rPr>
          <w:color w:val="231F20"/>
          <w:spacing w:val="14"/>
        </w:rPr>
        <w:t xml:space="preserve"> </w:t>
      </w:r>
      <w:proofErr w:type="spellStart"/>
      <w:r>
        <w:rPr>
          <w:color w:val="231F20"/>
          <w:spacing w:val="-1"/>
        </w:rPr>
        <w:t>Eigenenergie</w:t>
      </w:r>
      <w:proofErr w:type="spellEnd"/>
      <w:r>
        <w:rPr>
          <w:color w:val="231F20"/>
          <w:spacing w:val="-1"/>
        </w:rPr>
        <w:t>-</w:t>
      </w:r>
      <w:r>
        <w:rPr>
          <w:color w:val="231F20"/>
          <w:spacing w:val="28"/>
          <w:w w:val="99"/>
        </w:rPr>
        <w:t xml:space="preserve"> </w:t>
      </w:r>
      <w:proofErr w:type="spellStart"/>
      <w:r>
        <w:rPr>
          <w:color w:val="231F20"/>
          <w:spacing w:val="-1"/>
        </w:rPr>
        <w:t>versorgung</w:t>
      </w:r>
      <w:proofErr w:type="spellEnd"/>
      <w:r>
        <w:rPr>
          <w:color w:val="231F20"/>
          <w:spacing w:val="47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115%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2"/>
        </w:rPr>
        <w:t>auf.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48"/>
        </w:rPr>
        <w:t xml:space="preserve"> </w:t>
      </w:r>
      <w:proofErr w:type="spellStart"/>
      <w:r>
        <w:rPr>
          <w:color w:val="231F20"/>
        </w:rPr>
        <w:t>bisher</w:t>
      </w:r>
      <w:proofErr w:type="spellEnd"/>
      <w:r>
        <w:rPr>
          <w:color w:val="231F20"/>
          <w:spacing w:val="26"/>
          <w:w w:val="99"/>
        </w:rPr>
        <w:t xml:space="preserve"> </w:t>
      </w:r>
      <w:proofErr w:type="spellStart"/>
      <w:r>
        <w:rPr>
          <w:color w:val="231F20"/>
          <w:spacing w:val="-1"/>
        </w:rPr>
        <w:t>verursachten</w:t>
      </w:r>
      <w:proofErr w:type="spellEnd"/>
      <w:r>
        <w:rPr>
          <w:color w:val="231F20"/>
          <w:spacing w:val="16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-5"/>
          <w:sz w:val="10"/>
          <w:szCs w:val="10"/>
        </w:rPr>
        <w:t>2</w:t>
      </w:r>
      <w:r>
        <w:rPr>
          <w:color w:val="231F20"/>
          <w:spacing w:val="-1"/>
        </w:rPr>
        <w:t>-</w:t>
      </w:r>
      <w:proofErr w:type="spellStart"/>
      <w:r>
        <w:rPr>
          <w:color w:val="231F20"/>
          <w:spacing w:val="-1"/>
        </w:rPr>
        <w:t>Emissionen</w:t>
      </w:r>
      <w:proofErr w:type="spellEnd"/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  <w:spacing w:val="-1"/>
        </w:rPr>
        <w:t>werden</w:t>
      </w:r>
      <w:proofErr w:type="spellEnd"/>
      <w:r>
        <w:rPr>
          <w:color w:val="231F20"/>
          <w:spacing w:val="49"/>
          <w:w w:val="99"/>
        </w:rPr>
        <w:t xml:space="preserve"> </w:t>
      </w:r>
      <w:proofErr w:type="spellStart"/>
      <w:r>
        <w:rPr>
          <w:color w:val="231F20"/>
          <w:spacing w:val="-2"/>
        </w:rPr>
        <w:t>durch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sanierten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PEB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auf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null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reduziert</w:t>
      </w:r>
      <w:proofErr w:type="spellEnd"/>
      <w:r>
        <w:rPr>
          <w:color w:val="231F20"/>
        </w:rPr>
        <w:t>.</w:t>
      </w:r>
      <w:r>
        <w:rPr>
          <w:color w:val="231F20"/>
          <w:spacing w:val="21"/>
          <w:w w:val="99"/>
        </w:rPr>
        <w:t xml:space="preserve"> </w:t>
      </w:r>
      <w:proofErr w:type="spellStart"/>
      <w:r>
        <w:rPr>
          <w:color w:val="231F20"/>
          <w:spacing w:val="-2"/>
        </w:rPr>
        <w:t>Wird</w:t>
      </w:r>
      <w:proofErr w:type="spellEnd"/>
      <w:r>
        <w:rPr>
          <w:color w:val="231F20"/>
          <w:spacing w:val="22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  <w:spacing w:val="-1"/>
        </w:rPr>
        <w:t>Solarstromüberschuss</w:t>
      </w:r>
      <w:proofErr w:type="spellEnd"/>
      <w:r>
        <w:rPr>
          <w:color w:val="231F20"/>
          <w:spacing w:val="22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1’900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  <w:spacing w:val="-2"/>
        </w:rPr>
        <w:t>kWh/a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für</w:t>
      </w:r>
      <w:proofErr w:type="spellEnd"/>
      <w:r>
        <w:rPr>
          <w:color w:val="231F20"/>
          <w:spacing w:val="-22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E-</w:t>
      </w:r>
      <w:proofErr w:type="spellStart"/>
      <w:r>
        <w:rPr>
          <w:color w:val="231F20"/>
        </w:rPr>
        <w:t>Mobilität</w:t>
      </w:r>
      <w:proofErr w:type="spellEnd"/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verwendet</w:t>
      </w:r>
      <w:proofErr w:type="spellEnd"/>
      <w:r>
        <w:rPr>
          <w:color w:val="231F20"/>
        </w:rPr>
        <w:t>,</w:t>
      </w:r>
      <w:r>
        <w:rPr>
          <w:color w:val="231F20"/>
          <w:spacing w:val="-31"/>
        </w:rPr>
        <w:t xml:space="preserve"> </w:t>
      </w:r>
      <w:proofErr w:type="spellStart"/>
      <w:r>
        <w:rPr>
          <w:color w:val="231F20"/>
          <w:spacing w:val="-1"/>
        </w:rPr>
        <w:t>werden</w:t>
      </w:r>
      <w:proofErr w:type="spellEnd"/>
    </w:p>
    <w:p w14:paraId="67D31E4A" w14:textId="77777777" w:rsidR="009373A3" w:rsidRDefault="00D7156A">
      <w:pPr>
        <w:pStyle w:val="Textkrper"/>
        <w:spacing w:line="265" w:lineRule="exact"/>
        <w:jc w:val="both"/>
      </w:pPr>
      <w:r>
        <w:pict w14:anchorId="7FD7E28B">
          <v:shape id="_x0000_s1042" type="#_x0000_t75" style="position:absolute;left:0;text-align:left;margin-left:221.1pt;margin-top:21.9pt;width:167.25pt;height:114.1pt;z-index:1120;mso-position-horizontal-relative:page">
            <v:imagedata r:id="rId5" o:title=""/>
            <w10:wrap anchorx="page"/>
          </v:shape>
        </w:pict>
      </w:r>
      <w:proofErr w:type="spellStart"/>
      <w:r>
        <w:rPr>
          <w:color w:val="231F20"/>
        </w:rPr>
        <w:t>zusätzlich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3.9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-5"/>
          <w:sz w:val="10"/>
        </w:rPr>
        <w:t>2</w:t>
      </w:r>
      <w:r>
        <w:rPr>
          <w:color w:val="231F20"/>
          <w:spacing w:val="-1"/>
        </w:rPr>
        <w:t>-</w:t>
      </w:r>
      <w:proofErr w:type="spellStart"/>
      <w:r>
        <w:rPr>
          <w:color w:val="231F20"/>
          <w:spacing w:val="-1"/>
        </w:rPr>
        <w:t>Emissionen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vermieden</w:t>
      </w:r>
      <w:proofErr w:type="spellEnd"/>
      <w:r>
        <w:rPr>
          <w:color w:val="231F20"/>
        </w:rPr>
        <w:t>.</w:t>
      </w:r>
    </w:p>
    <w:p w14:paraId="293DEB67" w14:textId="77777777" w:rsidR="009373A3" w:rsidRDefault="00D7156A">
      <w:pPr>
        <w:spacing w:before="10"/>
        <w:rPr>
          <w:rFonts w:ascii="Theinhardt Regular" w:eastAsia="Theinhardt Regular" w:hAnsi="Theinhardt Regular" w:cs="Theinhardt Regular"/>
          <w:sz w:val="2"/>
          <w:szCs w:val="2"/>
        </w:rPr>
      </w:pPr>
      <w:r>
        <w:br w:type="column"/>
      </w:r>
    </w:p>
    <w:p w14:paraId="477CA52F" w14:textId="77777777" w:rsidR="009373A3" w:rsidRDefault="00D7156A">
      <w:pPr>
        <w:spacing w:line="20" w:lineRule="atLeast"/>
        <w:ind w:left="110"/>
        <w:rPr>
          <w:rFonts w:ascii="Theinhardt Regular" w:eastAsia="Theinhardt Regular" w:hAnsi="Theinhardt Regular" w:cs="Theinhardt Regular"/>
          <w:sz w:val="2"/>
          <w:szCs w:val="2"/>
        </w:rPr>
      </w:pPr>
      <w:r>
        <w:rPr>
          <w:rFonts w:ascii="Theinhardt Regular" w:eastAsia="Theinhardt Regular" w:hAnsi="Theinhardt Regular" w:cs="Theinhardt Regular"/>
          <w:sz w:val="2"/>
          <w:szCs w:val="2"/>
        </w:rPr>
      </w:r>
      <w:r>
        <w:rPr>
          <w:rFonts w:ascii="Theinhardt Regular" w:eastAsia="Theinhardt Regular" w:hAnsi="Theinhardt Regular" w:cs="Theinhardt Regular"/>
          <w:sz w:val="2"/>
          <w:szCs w:val="2"/>
        </w:rPr>
        <w:pict w14:anchorId="58EE6142">
          <v:group id="_x0000_s1035" style="width:167.25pt;height:.45pt;mso-position-horizontal-relative:char;mso-position-vertical-relative:line" coordsize="3345,9">
            <v:group id="_x0000_s1040" style="position:absolute;left:21;top:4;width:3311;height:2" coordorigin="21,4" coordsize="3311,2">
              <v:shape id="_x0000_s1041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38" style="position:absolute;left:4;top:4;width:2;height:2" coordorigin="4,4" coordsize="2,2">
              <v:shape id="_x0000_s1039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36" style="position:absolute;left:3341;top:4;width:2;height:2" coordorigin="3341,4" coordsize="2,2">
              <v:shape id="_x0000_s1037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13D9E2F4" w14:textId="77777777" w:rsidR="009373A3" w:rsidRDefault="00D7156A">
      <w:pPr>
        <w:spacing w:before="20"/>
        <w:ind w:left="110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Isolation</w:t>
      </w:r>
      <w:r>
        <w:rPr>
          <w:rFonts w:ascii="Theinhardt Bold"/>
          <w:b/>
          <w:color w:val="231F20"/>
          <w:sz w:val="14"/>
        </w:rPr>
        <w:t xml:space="preserve"> </w:t>
      </w:r>
      <w:proofErr w:type="spellStart"/>
      <w:r>
        <w:rPr>
          <w:rFonts w:ascii="Theinhardt Bold"/>
          <w:b/>
          <w:color w:val="231F20"/>
          <w:spacing w:val="1"/>
          <w:sz w:val="14"/>
        </w:rPr>
        <w:t>thermique</w:t>
      </w:r>
      <w:proofErr w:type="spellEnd"/>
    </w:p>
    <w:p w14:paraId="28E46D2E" w14:textId="77777777" w:rsidR="009373A3" w:rsidRDefault="009373A3">
      <w:pPr>
        <w:spacing w:before="1"/>
        <w:rPr>
          <w:rFonts w:ascii="Theinhardt Bold" w:eastAsia="Theinhardt Bold" w:hAnsi="Theinhardt Bold" w:cs="Theinhardt Bold"/>
          <w:b/>
          <w:bCs/>
          <w:sz w:val="2"/>
          <w:szCs w:val="2"/>
        </w:rPr>
      </w:pPr>
    </w:p>
    <w:tbl>
      <w:tblPr>
        <w:tblStyle w:val="TableNormal"/>
        <w:tblW w:w="0" w:type="auto"/>
        <w:tblInd w:w="55" w:type="dxa"/>
        <w:tblLayout w:type="fixed"/>
        <w:tblLook w:val="01E0" w:firstRow="1" w:lastRow="1" w:firstColumn="1" w:lastColumn="1" w:noHBand="0" w:noVBand="0"/>
      </w:tblPr>
      <w:tblGrid>
        <w:gridCol w:w="761"/>
        <w:gridCol w:w="832"/>
        <w:gridCol w:w="836"/>
        <w:gridCol w:w="1021"/>
      </w:tblGrid>
      <w:tr w:rsidR="009373A3" w14:paraId="5C9686D8" w14:textId="77777777">
        <w:trPr>
          <w:trHeight w:hRule="exact" w:val="127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5E3D3C93" w14:textId="77777777" w:rsidR="009373A3" w:rsidRDefault="00D7156A">
            <w:pPr>
              <w:pStyle w:val="TableParagraph"/>
              <w:spacing w:line="127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Mur: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6E49BC73" w14:textId="77777777" w:rsidR="009373A3" w:rsidRDefault="00D7156A">
            <w:pPr>
              <w:pStyle w:val="TableParagraph"/>
              <w:spacing w:line="127" w:lineRule="exact"/>
              <w:ind w:left="383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28</w:t>
            </w:r>
            <w:r>
              <w:rPr>
                <w:rFonts w:ascii="Theinhardt Regular"/>
                <w:sz w:val="14"/>
              </w:rPr>
              <w:t xml:space="preserve"> cm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1DCF7AF2" w14:textId="77777777" w:rsidR="009373A3" w:rsidRDefault="00D7156A">
            <w:pPr>
              <w:pStyle w:val="TableParagraph"/>
              <w:spacing w:line="127" w:lineRule="exact"/>
              <w:ind w:left="63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Valeur U: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BAC506F" w14:textId="77777777" w:rsidR="009373A3" w:rsidRDefault="00D7156A">
            <w:pPr>
              <w:pStyle w:val="TableParagraph"/>
              <w:spacing w:line="127" w:lineRule="exact"/>
              <w:ind w:left="232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spacing w:val="-3"/>
                <w:sz w:val="14"/>
              </w:rPr>
              <w:t>0.14</w:t>
            </w:r>
            <w:r>
              <w:rPr>
                <w:rFonts w:ascii="Theinhardt Regular"/>
                <w:spacing w:val="-11"/>
                <w:sz w:val="14"/>
              </w:rPr>
              <w:t xml:space="preserve"> </w:t>
            </w:r>
            <w:r>
              <w:rPr>
                <w:rFonts w:ascii="Theinhardt Regular"/>
                <w:sz w:val="14"/>
              </w:rPr>
              <w:t>W/m</w:t>
            </w:r>
            <w:r>
              <w:rPr>
                <w:rFonts w:ascii="Theinhardt Regular"/>
                <w:position w:val="5"/>
                <w:sz w:val="8"/>
              </w:rPr>
              <w:t>2</w:t>
            </w:r>
            <w:r>
              <w:rPr>
                <w:rFonts w:ascii="Theinhardt Regular"/>
                <w:sz w:val="14"/>
              </w:rPr>
              <w:t>K</w:t>
            </w:r>
          </w:p>
        </w:tc>
      </w:tr>
      <w:tr w:rsidR="009373A3" w14:paraId="7DDCE166" w14:textId="77777777">
        <w:trPr>
          <w:trHeight w:hRule="exact" w:val="16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15BFE21D" w14:textId="77777777" w:rsidR="009373A3" w:rsidRDefault="00D7156A">
            <w:pPr>
              <w:pStyle w:val="TableParagraph"/>
              <w:spacing w:line="160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Toit: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7D523D9C" w14:textId="77777777" w:rsidR="009373A3" w:rsidRDefault="00D7156A">
            <w:pPr>
              <w:pStyle w:val="TableParagraph"/>
              <w:spacing w:line="160" w:lineRule="exact"/>
              <w:ind w:left="383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26</w:t>
            </w:r>
            <w:r>
              <w:rPr>
                <w:rFonts w:ascii="Theinhardt Regular"/>
                <w:sz w:val="14"/>
              </w:rPr>
              <w:t xml:space="preserve"> cm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57128A06" w14:textId="77777777" w:rsidR="009373A3" w:rsidRDefault="00D7156A">
            <w:pPr>
              <w:pStyle w:val="TableParagraph"/>
              <w:spacing w:line="160" w:lineRule="exact"/>
              <w:ind w:left="63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Valeur U: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D45E7DC" w14:textId="77777777" w:rsidR="009373A3" w:rsidRDefault="00D7156A">
            <w:pPr>
              <w:pStyle w:val="TableParagraph"/>
              <w:spacing w:line="160" w:lineRule="exact"/>
              <w:ind w:left="219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spacing w:val="-3"/>
                <w:sz w:val="14"/>
              </w:rPr>
              <w:t>0.17</w:t>
            </w:r>
            <w:r>
              <w:rPr>
                <w:rFonts w:ascii="Theinhardt Regular"/>
                <w:sz w:val="14"/>
              </w:rPr>
              <w:t xml:space="preserve"> W/m</w:t>
            </w:r>
            <w:r>
              <w:rPr>
                <w:rFonts w:ascii="Theinhardt Regular"/>
                <w:position w:val="5"/>
                <w:sz w:val="8"/>
              </w:rPr>
              <w:t>2</w:t>
            </w:r>
            <w:r>
              <w:rPr>
                <w:rFonts w:ascii="Theinhardt Regular"/>
                <w:sz w:val="14"/>
              </w:rPr>
              <w:t>K</w:t>
            </w:r>
          </w:p>
        </w:tc>
      </w:tr>
      <w:tr w:rsidR="009373A3" w14:paraId="1B8206FD" w14:textId="77777777">
        <w:trPr>
          <w:trHeight w:hRule="exact" w:val="16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1DBFF746" w14:textId="77777777" w:rsidR="009373A3" w:rsidRDefault="00D7156A">
            <w:pPr>
              <w:pStyle w:val="TableParagraph"/>
              <w:spacing w:line="160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Sol: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687DFD96" w14:textId="77777777" w:rsidR="009373A3" w:rsidRDefault="00D7156A">
            <w:pPr>
              <w:pStyle w:val="TableParagraph"/>
              <w:spacing w:line="160" w:lineRule="exact"/>
              <w:ind w:left="46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4 cm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4476566F" w14:textId="77777777" w:rsidR="009373A3" w:rsidRDefault="00D7156A">
            <w:pPr>
              <w:pStyle w:val="TableParagraph"/>
              <w:spacing w:line="160" w:lineRule="exact"/>
              <w:ind w:left="63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Valeur U: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ADEAC3B" w14:textId="77777777" w:rsidR="009373A3" w:rsidRDefault="00D7156A">
            <w:pPr>
              <w:pStyle w:val="TableParagraph"/>
              <w:spacing w:line="160" w:lineRule="exact"/>
              <w:ind w:left="292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 xml:space="preserve">0.6 </w:t>
            </w:r>
            <w:r>
              <w:rPr>
                <w:rFonts w:ascii="Theinhardt Regular"/>
                <w:spacing w:val="-1"/>
                <w:sz w:val="14"/>
              </w:rPr>
              <w:t>W/m</w:t>
            </w:r>
            <w:r>
              <w:rPr>
                <w:rFonts w:ascii="Theinhardt Regular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spacing w:val="-1"/>
                <w:sz w:val="14"/>
              </w:rPr>
              <w:t>K</w:t>
            </w:r>
          </w:p>
        </w:tc>
      </w:tr>
      <w:tr w:rsidR="009373A3" w14:paraId="7593B99D" w14:textId="77777777">
        <w:trPr>
          <w:trHeight w:hRule="exact" w:val="133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6652CA2F" w14:textId="77777777" w:rsidR="009373A3" w:rsidRDefault="00D7156A">
            <w:pPr>
              <w:pStyle w:val="TableParagraph"/>
              <w:spacing w:line="133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proofErr w:type="spellStart"/>
            <w:r>
              <w:rPr>
                <w:rFonts w:ascii="Theinhardt Regular" w:hAnsi="Theinhardt Regular"/>
                <w:spacing w:val="1"/>
                <w:sz w:val="14"/>
              </w:rPr>
              <w:t>Fenêtre</w:t>
            </w:r>
            <w:proofErr w:type="spellEnd"/>
            <w:r>
              <w:rPr>
                <w:rFonts w:ascii="Theinhardt Regular" w:hAnsi="Theinhardt Regular"/>
                <w:spacing w:val="1"/>
                <w:sz w:val="14"/>
              </w:rPr>
              <w:t>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112368B6" w14:textId="77777777" w:rsidR="009373A3" w:rsidRDefault="00D7156A">
            <w:pPr>
              <w:pStyle w:val="TableParagraph"/>
              <w:spacing w:line="133" w:lineRule="exact"/>
              <w:ind w:left="192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triple</w:t>
            </w:r>
            <w:r>
              <w:rPr>
                <w:rFonts w:ascii="Theinhardt Regular"/>
                <w:sz w:val="14"/>
              </w:rPr>
              <w:t xml:space="preserve"> </w:t>
            </w:r>
            <w:proofErr w:type="spellStart"/>
            <w:r>
              <w:rPr>
                <w:rFonts w:ascii="Theinhardt Regular"/>
                <w:sz w:val="14"/>
              </w:rPr>
              <w:t>vitr</w:t>
            </w:r>
            <w:proofErr w:type="spellEnd"/>
            <w:r>
              <w:rPr>
                <w:rFonts w:ascii="Theinhardt Regular"/>
                <w:sz w:val="14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1674B65B" w14:textId="77777777" w:rsidR="009373A3" w:rsidRDefault="00D7156A">
            <w:pPr>
              <w:pStyle w:val="TableParagraph"/>
              <w:spacing w:line="133" w:lineRule="exact"/>
              <w:ind w:left="63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Valeur U: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684894B" w14:textId="77777777" w:rsidR="009373A3" w:rsidRDefault="00D7156A">
            <w:pPr>
              <w:pStyle w:val="TableParagraph"/>
              <w:spacing w:line="133" w:lineRule="exact"/>
              <w:ind w:left="299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spacing w:val="-3"/>
                <w:sz w:val="14"/>
              </w:rPr>
              <w:t>0.7</w:t>
            </w:r>
            <w:r>
              <w:rPr>
                <w:rFonts w:ascii="Theinhardt Regular"/>
                <w:sz w:val="14"/>
              </w:rPr>
              <w:t xml:space="preserve"> W/m</w:t>
            </w:r>
            <w:r>
              <w:rPr>
                <w:rFonts w:ascii="Theinhardt Regular"/>
                <w:position w:val="5"/>
                <w:sz w:val="8"/>
              </w:rPr>
              <w:t>2</w:t>
            </w:r>
            <w:r>
              <w:rPr>
                <w:rFonts w:ascii="Theinhardt Regular"/>
                <w:sz w:val="14"/>
              </w:rPr>
              <w:t>K</w:t>
            </w:r>
          </w:p>
        </w:tc>
      </w:tr>
    </w:tbl>
    <w:p w14:paraId="3F44C528" w14:textId="77777777" w:rsidR="009373A3" w:rsidRDefault="00D7156A">
      <w:pPr>
        <w:spacing w:before="8" w:line="172" w:lineRule="exact"/>
        <w:ind w:left="110"/>
        <w:rPr>
          <w:rFonts w:ascii="Theinhardt Bold" w:eastAsia="Theinhardt Bold" w:hAnsi="Theinhardt Bold" w:cs="Theinhardt Bold"/>
          <w:sz w:val="14"/>
          <w:szCs w:val="14"/>
        </w:rPr>
      </w:pPr>
      <w:proofErr w:type="spellStart"/>
      <w:r>
        <w:rPr>
          <w:rFonts w:ascii="Theinhardt Bold" w:hAnsi="Theinhardt Bold"/>
          <w:b/>
          <w:color w:val="231F20"/>
          <w:spacing w:val="1"/>
          <w:sz w:val="14"/>
        </w:rPr>
        <w:t>Besoin</w:t>
      </w:r>
      <w:proofErr w:type="spellEnd"/>
      <w:r>
        <w:rPr>
          <w:rFonts w:ascii="Theinhardt Bold" w:hAnsi="Theinhardt Bold"/>
          <w:b/>
          <w:color w:val="231F20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1"/>
          <w:sz w:val="14"/>
        </w:rPr>
        <w:t>en</w:t>
      </w:r>
      <w:proofErr w:type="spellEnd"/>
      <w:r>
        <w:rPr>
          <w:rFonts w:ascii="Theinhardt Bold" w:hAnsi="Theinhardt Bold"/>
          <w:b/>
          <w:color w:val="231F20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1"/>
          <w:sz w:val="14"/>
        </w:rPr>
        <w:t>énergie</w:t>
      </w:r>
      <w:proofErr w:type="spellEnd"/>
      <w:r>
        <w:rPr>
          <w:rFonts w:ascii="Theinhardt Bold" w:hAnsi="Theinhardt Bold"/>
          <w:b/>
          <w:color w:val="231F20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1"/>
          <w:sz w:val="14"/>
        </w:rPr>
        <w:t>avant</w:t>
      </w:r>
      <w:proofErr w:type="spellEnd"/>
      <w:r>
        <w:rPr>
          <w:rFonts w:ascii="Theinhardt Bold" w:hAnsi="Theinhardt Bold"/>
          <w:b/>
          <w:color w:val="231F20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1"/>
          <w:sz w:val="14"/>
        </w:rPr>
        <w:t>rénovation</w:t>
      </w:r>
      <w:proofErr w:type="spellEnd"/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(100%)</w:t>
      </w:r>
    </w:p>
    <w:p w14:paraId="4C4C5297" w14:textId="77777777" w:rsidR="009373A3" w:rsidRDefault="00D7156A">
      <w:pPr>
        <w:tabs>
          <w:tab w:val="left" w:pos="1471"/>
          <w:tab w:val="left" w:pos="2402"/>
          <w:tab w:val="left" w:pos="3053"/>
        </w:tabs>
        <w:spacing w:line="160" w:lineRule="exact"/>
        <w:ind w:left="110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SRE: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379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position w:val="5"/>
          <w:sz w:val="8"/>
        </w:rPr>
        <w:tab/>
      </w:r>
      <w:r>
        <w:rPr>
          <w:rFonts w:ascii="Theinhardt Regular"/>
          <w:color w:val="231F20"/>
          <w:spacing w:val="-1"/>
          <w:sz w:val="14"/>
        </w:rPr>
        <w:t>kWh/m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sz w:val="14"/>
        </w:rPr>
        <w:t>a</w:t>
      </w:r>
      <w:r>
        <w:rPr>
          <w:rFonts w:ascii="Theinhardt Regular"/>
          <w:color w:val="231F20"/>
          <w:spacing w:val="-1"/>
          <w:sz w:val="14"/>
        </w:rPr>
        <w:tab/>
      </w:r>
      <w:r>
        <w:rPr>
          <w:rFonts w:ascii="Theinhardt Regular"/>
          <w:color w:val="231F20"/>
          <w:sz w:val="14"/>
        </w:rPr>
        <w:t>%</w:t>
      </w:r>
      <w:r>
        <w:rPr>
          <w:rFonts w:ascii="Theinhardt Regular"/>
          <w:color w:val="231F20"/>
          <w:sz w:val="14"/>
        </w:rPr>
        <w:tab/>
        <w:t>kWh/a</w:t>
      </w:r>
    </w:p>
    <w:p w14:paraId="27095A80" w14:textId="77777777" w:rsidR="009373A3" w:rsidRDefault="00D7156A">
      <w:pPr>
        <w:tabs>
          <w:tab w:val="left" w:pos="1783"/>
          <w:tab w:val="left" w:pos="2282"/>
          <w:tab w:val="left" w:pos="2984"/>
        </w:tabs>
        <w:spacing w:line="172" w:lineRule="exact"/>
        <w:ind w:left="110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Total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besoins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énerg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.: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w w:val="95"/>
          <w:sz w:val="14"/>
          <w:szCs w:val="14"/>
        </w:rPr>
        <w:t>186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w w:val="95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100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70’500</w:t>
      </w:r>
    </w:p>
    <w:p w14:paraId="2CE1ACB4" w14:textId="77777777" w:rsidR="009373A3" w:rsidRDefault="00D7156A">
      <w:pPr>
        <w:spacing w:before="32"/>
        <w:ind w:left="110"/>
        <w:rPr>
          <w:rFonts w:ascii="Theinhardt Bold" w:eastAsia="Theinhardt Bold" w:hAnsi="Theinhardt Bold" w:cs="Theinhardt Bold"/>
          <w:sz w:val="14"/>
          <w:szCs w:val="14"/>
        </w:rPr>
      </w:pPr>
      <w:r>
        <w:pict w14:anchorId="4C1604A1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96.95pt;margin-top:12.2pt;width:171.55pt;height:19pt;z-index:1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17"/>
                    <w:gridCol w:w="745"/>
                    <w:gridCol w:w="533"/>
                    <w:gridCol w:w="736"/>
                  </w:tblGrid>
                  <w:tr w:rsidR="009373A3" w14:paraId="535148C0" w14:textId="77777777">
                    <w:trPr>
                      <w:trHeight w:hRule="exact" w:val="129"/>
                    </w:trPr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1E5FBD" w14:textId="77777777" w:rsidR="009373A3" w:rsidRDefault="00D7156A">
                        <w:pPr>
                          <w:pStyle w:val="TableParagraph"/>
                          <w:spacing w:line="129" w:lineRule="exact"/>
                          <w:ind w:left="55"/>
                          <w:rPr>
                            <w:rFonts w:ascii="Theinhardt Regular" w:eastAsia="Theinhardt Regular" w:hAnsi="Theinhardt Regular" w:cs="Theinhardt Regular"/>
                            <w:sz w:val="8"/>
                            <w:szCs w:val="8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SRE: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heinhardt Regular"/>
                            <w:color w:val="231F20"/>
                            <w:spacing w:val="-6"/>
                            <w:sz w:val="14"/>
                          </w:rPr>
                          <w:t>514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 xml:space="preserve"> m</w:t>
                        </w:r>
                        <w:r>
                          <w:rPr>
                            <w:rFonts w:ascii="Theinhardt Regular"/>
                            <w:color w:val="231F20"/>
                            <w:position w:val="5"/>
                            <w:sz w:val="8"/>
                          </w:rPr>
                          <w:t>2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4BC11C" w14:textId="77777777" w:rsidR="009373A3" w:rsidRDefault="00D7156A">
                        <w:pPr>
                          <w:pStyle w:val="TableParagraph"/>
                          <w:spacing w:line="129" w:lineRule="exact"/>
                          <w:rPr>
                            <w:rFonts w:ascii="Theinhardt Regular" w:eastAsia="Theinhardt Regular" w:hAnsi="Theinhardt Regular" w:cs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4"/>
                          </w:rPr>
                          <w:t>kWh/m</w:t>
                        </w:r>
                        <w:r>
                          <w:rPr>
                            <w:rFonts w:ascii="Theinhardt Regular"/>
                            <w:color w:val="231F20"/>
                            <w:spacing w:val="-1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4"/>
                          </w:rPr>
                          <w:t>a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3C14C8" w14:textId="77777777" w:rsidR="009373A3" w:rsidRDefault="00D7156A">
                        <w:pPr>
                          <w:pStyle w:val="TableParagraph"/>
                          <w:spacing w:line="129" w:lineRule="exact"/>
                          <w:ind w:right="31"/>
                          <w:jc w:val="center"/>
                          <w:rPr>
                            <w:rFonts w:ascii="Theinhardt Regular" w:eastAsia="Theinhardt Regular" w:hAnsi="Theinhardt Regular" w:cs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%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F60CAE" w14:textId="77777777" w:rsidR="009373A3" w:rsidRDefault="00D7156A">
                        <w:pPr>
                          <w:pStyle w:val="TableParagraph"/>
                          <w:spacing w:line="129" w:lineRule="exact"/>
                          <w:ind w:left="283"/>
                          <w:rPr>
                            <w:rFonts w:ascii="Theinhardt Regular" w:eastAsia="Theinhardt Regular" w:hAnsi="Theinhardt Regular" w:cs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kWh/a</w:t>
                        </w:r>
                      </w:p>
                    </w:tc>
                  </w:tr>
                  <w:tr w:rsidR="009373A3" w14:paraId="71C5804D" w14:textId="77777777">
                    <w:trPr>
                      <w:trHeight w:hRule="exact" w:val="251"/>
                    </w:trPr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60C9E9" w14:textId="77777777" w:rsidR="009373A3" w:rsidRDefault="00D7156A">
                        <w:pPr>
                          <w:pStyle w:val="TableParagraph"/>
                          <w:spacing w:line="164" w:lineRule="exact"/>
                          <w:ind w:left="55" w:right="-8"/>
                          <w:rPr>
                            <w:rFonts w:ascii="Theinhardt Bold" w:eastAsia="Theinhardt Bold" w:hAnsi="Theinhardt Bold" w:cs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hAnsi="Theinhardt Bold"/>
                            <w:b/>
                            <w:color w:val="231F20"/>
                            <w:sz w:val="14"/>
                          </w:rPr>
                          <w:t xml:space="preserve">Total </w:t>
                        </w:r>
                        <w:proofErr w:type="spellStart"/>
                        <w:r>
                          <w:rPr>
                            <w:rFonts w:ascii="Theinhardt Bold" w:hAnsi="Theinhardt Bold"/>
                            <w:b/>
                            <w:color w:val="231F20"/>
                            <w:spacing w:val="1"/>
                            <w:sz w:val="14"/>
                          </w:rPr>
                          <w:t>besoins</w:t>
                        </w:r>
                        <w:proofErr w:type="spellEnd"/>
                        <w:r>
                          <w:rPr>
                            <w:rFonts w:ascii="Theinhardt Bold" w:hAnsi="Theinhardt Bold"/>
                            <w:b/>
                            <w:color w:val="231F20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heinhardt Bold" w:hAnsi="Theinhardt Bold"/>
                            <w:b/>
                            <w:color w:val="231F20"/>
                            <w:spacing w:val="1"/>
                            <w:sz w:val="14"/>
                          </w:rPr>
                          <w:t>énerg</w:t>
                        </w:r>
                        <w:proofErr w:type="spellEnd"/>
                        <w:r>
                          <w:rPr>
                            <w:rFonts w:ascii="Theinhardt Bold" w:hAnsi="Theinhardt Bold"/>
                            <w:b/>
                            <w:color w:val="231F20"/>
                            <w:spacing w:val="1"/>
                            <w:sz w:val="14"/>
                          </w:rPr>
                          <w:t>.: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2ED985" w14:textId="77777777" w:rsidR="009373A3" w:rsidRDefault="00D7156A">
                        <w:pPr>
                          <w:pStyle w:val="TableParagraph"/>
                          <w:spacing w:line="164" w:lineRule="exact"/>
                          <w:ind w:left="263"/>
                          <w:rPr>
                            <w:rFonts w:ascii="Theinhardt Bold" w:eastAsia="Theinhardt Bold" w:hAnsi="Theinhardt Bold" w:cs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pacing w:val="1"/>
                            <w:sz w:val="14"/>
                          </w:rPr>
                          <w:t>24.6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5B901E" w14:textId="77777777" w:rsidR="009373A3" w:rsidRDefault="00D7156A">
                        <w:pPr>
                          <w:pStyle w:val="TableParagraph"/>
                          <w:spacing w:line="164" w:lineRule="exact"/>
                          <w:ind w:left="61"/>
                          <w:rPr>
                            <w:rFonts w:ascii="Theinhardt Regular" w:eastAsia="Theinhardt Regular" w:hAnsi="Theinhardt Regular" w:cs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100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B4AFB5" w14:textId="77777777" w:rsidR="009373A3" w:rsidRDefault="00D7156A">
                        <w:pPr>
                          <w:pStyle w:val="TableParagraph"/>
                          <w:spacing w:line="164" w:lineRule="exact"/>
                          <w:ind w:left="219"/>
                          <w:rPr>
                            <w:rFonts w:ascii="Theinhardt Bold" w:eastAsia="Theinhardt Bold" w:hAnsi="Theinhardt Bold" w:cs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eastAsia="Theinhardt Bold" w:hAnsi="Theinhardt Bold" w:cs="Theinhardt Bold"/>
                            <w:b/>
                            <w:bCs/>
                            <w:color w:val="231F20"/>
                            <w:sz w:val="14"/>
                            <w:szCs w:val="14"/>
                          </w:rPr>
                          <w:t>12’660</w:t>
                        </w:r>
                      </w:p>
                    </w:tc>
                  </w:tr>
                </w:tbl>
                <w:p w14:paraId="40D80A1A" w14:textId="77777777" w:rsidR="009373A3" w:rsidRDefault="009373A3"/>
              </w:txbxContent>
            </v:textbox>
            <w10:wrap anchorx="page"/>
          </v:shape>
        </w:pict>
      </w:r>
      <w:proofErr w:type="spellStart"/>
      <w:r>
        <w:rPr>
          <w:rFonts w:ascii="Theinhardt Bold" w:hAnsi="Theinhardt Bold"/>
          <w:b/>
          <w:color w:val="231F20"/>
          <w:spacing w:val="1"/>
          <w:sz w:val="14"/>
        </w:rPr>
        <w:t>Besoin</w:t>
      </w:r>
      <w:proofErr w:type="spellEnd"/>
      <w:r>
        <w:rPr>
          <w:rFonts w:ascii="Theinhardt Bold" w:hAnsi="Theinhardt Bold"/>
          <w:b/>
          <w:color w:val="231F20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1"/>
          <w:sz w:val="14"/>
        </w:rPr>
        <w:t>en</w:t>
      </w:r>
      <w:proofErr w:type="spellEnd"/>
      <w:r>
        <w:rPr>
          <w:rFonts w:ascii="Theinhardt Bold" w:hAnsi="Theinhardt Bold"/>
          <w:b/>
          <w:color w:val="231F20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1"/>
          <w:sz w:val="14"/>
        </w:rPr>
        <w:t>énergie</w:t>
      </w:r>
      <w:proofErr w:type="spellEnd"/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après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1"/>
          <w:sz w:val="14"/>
        </w:rPr>
        <w:t>rénovation</w:t>
      </w:r>
      <w:proofErr w:type="spellEnd"/>
      <w:r>
        <w:rPr>
          <w:rFonts w:ascii="Theinhardt Bold" w:hAnsi="Theinhardt Bold"/>
          <w:b/>
          <w:color w:val="231F20"/>
          <w:spacing w:val="35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2"/>
          <w:sz w:val="14"/>
        </w:rPr>
        <w:t>(18%)</w:t>
      </w:r>
    </w:p>
    <w:p w14:paraId="68AB44D0" w14:textId="77777777" w:rsidR="009373A3" w:rsidRDefault="009373A3">
      <w:pPr>
        <w:rPr>
          <w:rFonts w:ascii="Theinhardt Bold" w:eastAsia="Theinhardt Bold" w:hAnsi="Theinhardt Bold" w:cs="Theinhardt Bold"/>
          <w:b/>
          <w:bCs/>
          <w:sz w:val="14"/>
          <w:szCs w:val="14"/>
        </w:rPr>
      </w:pPr>
    </w:p>
    <w:p w14:paraId="0D7BCE16" w14:textId="77777777" w:rsidR="009373A3" w:rsidRDefault="009373A3">
      <w:pPr>
        <w:spacing w:before="9"/>
        <w:rPr>
          <w:rFonts w:ascii="Theinhardt Bold" w:eastAsia="Theinhardt Bold" w:hAnsi="Theinhardt Bold" w:cs="Theinhardt Bold"/>
          <w:b/>
          <w:bCs/>
          <w:sz w:val="12"/>
          <w:szCs w:val="12"/>
        </w:rPr>
      </w:pPr>
    </w:p>
    <w:p w14:paraId="619DD265" w14:textId="77777777" w:rsidR="009373A3" w:rsidRDefault="00D7156A">
      <w:pPr>
        <w:spacing w:line="172" w:lineRule="exact"/>
        <w:ind w:left="110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Alimentation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2"/>
          <w:sz w:val="14"/>
        </w:rPr>
        <w:t>énergétique</w:t>
      </w:r>
      <w:proofErr w:type="spellEnd"/>
    </w:p>
    <w:p w14:paraId="7E9D5391" w14:textId="77777777" w:rsidR="009373A3" w:rsidRDefault="00D7156A">
      <w:pPr>
        <w:tabs>
          <w:tab w:val="left" w:pos="845"/>
          <w:tab w:val="left" w:pos="1787"/>
          <w:tab w:val="left" w:pos="2301"/>
          <w:tab w:val="left" w:pos="2402"/>
          <w:tab w:val="left" w:pos="3007"/>
        </w:tabs>
        <w:spacing w:before="6" w:line="207" w:lineRule="auto"/>
        <w:ind w:left="110" w:right="169" w:hanging="1"/>
        <w:rPr>
          <w:rFonts w:ascii="Theinhardt Regular" w:eastAsia="Theinhardt Regular" w:hAnsi="Theinhardt Regular" w:cs="Theinhardt Regular"/>
          <w:sz w:val="14"/>
          <w:szCs w:val="14"/>
        </w:rPr>
      </w:pPr>
      <w:proofErr w:type="spellStart"/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Autoprod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.: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6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m</w:t>
      </w:r>
      <w:proofErr w:type="gramStart"/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 xml:space="preserve">2 </w:t>
      </w:r>
      <w:r>
        <w:rPr>
          <w:rFonts w:ascii="Theinhardt Regular" w:eastAsia="Theinhardt Regular" w:hAnsi="Theinhardt Regular" w:cs="Theinhardt Regular"/>
          <w:color w:val="231F20"/>
          <w:spacing w:val="11"/>
          <w:position w:val="5"/>
          <w:sz w:val="8"/>
          <w:szCs w:val="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kWp</w:t>
      </w:r>
      <w:proofErr w:type="spellEnd"/>
      <w:proofErr w:type="gramEnd"/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</w:t>
      </w:r>
      <w:r>
        <w:rPr>
          <w:rFonts w:ascii="Theinhardt Regular" w:eastAsia="Theinhardt Regular" w:hAnsi="Theinhardt Regular" w:cs="Theinhardt Regular"/>
          <w:color w:val="231F20"/>
          <w:spacing w:val="29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kWh/m</w:t>
      </w:r>
      <w:r>
        <w:rPr>
          <w:rFonts w:ascii="Theinhardt Regular" w:eastAsia="Theinhardt Regular" w:hAnsi="Theinhardt Regular" w:cs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a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%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kWh/a</w:t>
      </w:r>
      <w:r>
        <w:rPr>
          <w:rFonts w:ascii="Theinhardt Regular" w:eastAsia="Theinhardt Regular" w:hAnsi="Theinhardt Regular" w:cs="Theinhardt Regular"/>
          <w:color w:val="231F20"/>
          <w:spacing w:val="22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PV: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73</w:t>
      </w:r>
      <w:r>
        <w:rPr>
          <w:rFonts w:ascii="Theinhardt Regular" w:eastAsia="Theinhardt Regular" w:hAnsi="Theinhardt Regular" w:cs="Theinhardt Regular"/>
          <w:color w:val="231F20"/>
          <w:spacing w:val="3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>12.9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ab/>
        <w:t>199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7"/>
          <w:sz w:val="14"/>
          <w:szCs w:val="14"/>
        </w:rPr>
        <w:t>115</w:t>
      </w:r>
      <w:r>
        <w:rPr>
          <w:rFonts w:ascii="Theinhardt Regular" w:eastAsia="Theinhardt Regular" w:hAnsi="Theinhardt Regular" w:cs="Theinhardt Regular"/>
          <w:color w:val="231F20"/>
          <w:spacing w:val="-7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>14’560</w:t>
      </w:r>
    </w:p>
    <w:p w14:paraId="749BCA93" w14:textId="77777777" w:rsidR="009373A3" w:rsidRDefault="00D7156A">
      <w:pPr>
        <w:tabs>
          <w:tab w:val="left" w:pos="3053"/>
        </w:tabs>
        <w:spacing w:before="38" w:line="172" w:lineRule="exact"/>
        <w:ind w:left="110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Bilan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1"/>
          <w:sz w:val="14"/>
        </w:rPr>
        <w:t>énergétique</w:t>
      </w:r>
      <w:proofErr w:type="spellEnd"/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(</w:t>
      </w:r>
      <w:proofErr w:type="spellStart"/>
      <w:r>
        <w:rPr>
          <w:rFonts w:ascii="Theinhardt Regular" w:hAnsi="Theinhardt Regular"/>
          <w:color w:val="231F20"/>
          <w:spacing w:val="1"/>
          <w:sz w:val="14"/>
        </w:rPr>
        <w:t>énergie</w:t>
      </w:r>
      <w:proofErr w:type="spellEnd"/>
      <w:r>
        <w:rPr>
          <w:rFonts w:ascii="Theinhardt Regular" w:hAnsi="Theinhardt Regular"/>
          <w:color w:val="231F20"/>
          <w:sz w:val="14"/>
        </w:rPr>
        <w:t xml:space="preserve"> </w:t>
      </w:r>
      <w:proofErr w:type="gramStart"/>
      <w:r>
        <w:rPr>
          <w:rFonts w:ascii="Theinhardt Regular" w:hAnsi="Theinhardt Regular"/>
          <w:color w:val="231F20"/>
          <w:sz w:val="14"/>
        </w:rPr>
        <w:t xml:space="preserve">finale)   </w:t>
      </w:r>
      <w:proofErr w:type="gramEnd"/>
      <w:r>
        <w:rPr>
          <w:rFonts w:ascii="Theinhardt Regular" w:hAnsi="Theinhardt Regular"/>
          <w:color w:val="231F20"/>
          <w:spacing w:val="24"/>
          <w:sz w:val="14"/>
        </w:rPr>
        <w:t xml:space="preserve"> </w:t>
      </w:r>
      <w:r>
        <w:rPr>
          <w:rFonts w:ascii="Theinhardt Regular" w:hAnsi="Theinhardt Regular"/>
          <w:color w:val="231F20"/>
          <w:sz w:val="14"/>
        </w:rPr>
        <w:t>%</w:t>
      </w:r>
      <w:r>
        <w:rPr>
          <w:rFonts w:ascii="Theinhardt Regular" w:hAnsi="Theinhardt Regular"/>
          <w:color w:val="231F20"/>
          <w:sz w:val="14"/>
        </w:rPr>
        <w:tab/>
        <w:t>kWh/a</w:t>
      </w:r>
    </w:p>
    <w:p w14:paraId="17B74EA2" w14:textId="77777777" w:rsidR="009373A3" w:rsidRDefault="00D7156A">
      <w:pPr>
        <w:tabs>
          <w:tab w:val="left" w:pos="2295"/>
          <w:tab w:val="left" w:pos="2994"/>
        </w:tabs>
        <w:spacing w:line="160" w:lineRule="exact"/>
        <w:ind w:left="110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Alimentation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énergétique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: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-5"/>
          <w:sz w:val="14"/>
          <w:szCs w:val="14"/>
        </w:rPr>
        <w:t>115</w:t>
      </w:r>
      <w:r>
        <w:rPr>
          <w:rFonts w:ascii="Theinhardt Bold" w:eastAsia="Theinhardt Bold" w:hAnsi="Theinhardt Bold" w:cs="Theinhardt Bold"/>
          <w:b/>
          <w:bCs/>
          <w:color w:val="231F20"/>
          <w:spacing w:val="-5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14’560</w:t>
      </w:r>
    </w:p>
    <w:p w14:paraId="6E505F9C" w14:textId="77777777" w:rsidR="009373A3" w:rsidRDefault="00D7156A">
      <w:pPr>
        <w:tabs>
          <w:tab w:val="left" w:pos="2282"/>
          <w:tab w:val="left" w:pos="3002"/>
        </w:tabs>
        <w:spacing w:line="160" w:lineRule="exact"/>
        <w:ind w:left="110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Total </w:t>
      </w:r>
      <w:proofErr w:type="spellStart"/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besoins</w:t>
      </w:r>
      <w:proofErr w:type="spellEnd"/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énerg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.: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100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12’660</w:t>
      </w:r>
    </w:p>
    <w:p w14:paraId="1C70DDCF" w14:textId="77777777" w:rsidR="009373A3" w:rsidRDefault="00D7156A">
      <w:pPr>
        <w:tabs>
          <w:tab w:val="left" w:pos="2369"/>
          <w:tab w:val="left" w:pos="3071"/>
        </w:tabs>
        <w:spacing w:line="172" w:lineRule="exact"/>
        <w:ind w:left="110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Surplus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d'électricité</w:t>
      </w:r>
      <w:proofErr w:type="spellEnd"/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solaire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: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4"/>
          <w:szCs w:val="14"/>
        </w:rPr>
        <w:t>15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1’900</w:t>
      </w:r>
    </w:p>
    <w:p w14:paraId="30FA04AC" w14:textId="77777777" w:rsidR="009373A3" w:rsidRDefault="00D7156A">
      <w:pPr>
        <w:spacing w:before="31"/>
        <w:ind w:left="110"/>
        <w:rPr>
          <w:rFonts w:ascii="Theinhardt Regular" w:eastAsia="Theinhardt Regular" w:hAnsi="Theinhardt Regular" w:cs="Theinhardt Regular"/>
          <w:sz w:val="14"/>
          <w:szCs w:val="14"/>
        </w:rPr>
      </w:pPr>
      <w:proofErr w:type="spellStart"/>
      <w:r>
        <w:rPr>
          <w:rFonts w:ascii="Theinhardt Bold" w:hAnsi="Theinhardt Bold"/>
          <w:b/>
          <w:color w:val="231F20"/>
          <w:spacing w:val="1"/>
          <w:sz w:val="14"/>
        </w:rPr>
        <w:t>Confirmé</w:t>
      </w:r>
      <w:proofErr w:type="spellEnd"/>
      <w:r>
        <w:rPr>
          <w:rFonts w:ascii="Theinhardt Bold" w:hAnsi="Theinhardt Bold"/>
          <w:b/>
          <w:color w:val="231F20"/>
          <w:spacing w:val="-16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par</w:t>
      </w:r>
      <w:r>
        <w:rPr>
          <w:rFonts w:ascii="Theinhardt Bold" w:hAnsi="Theinhardt Bold"/>
          <w:b/>
          <w:color w:val="231F20"/>
          <w:spacing w:val="-16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Groupe</w:t>
      </w:r>
      <w:r>
        <w:rPr>
          <w:rFonts w:ascii="Theinhardt Bold" w:hAnsi="Theinhardt Bold"/>
          <w:b/>
          <w:color w:val="231F20"/>
          <w:spacing w:val="-16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E</w:t>
      </w:r>
      <w:r>
        <w:rPr>
          <w:rFonts w:ascii="Theinhardt Bold" w:hAnsi="Theinhardt Bold"/>
          <w:b/>
          <w:color w:val="231F20"/>
          <w:spacing w:val="-16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le</w:t>
      </w:r>
      <w:r>
        <w:rPr>
          <w:rFonts w:ascii="Theinhardt Regular" w:hAnsi="Theinhardt Regular"/>
          <w:color w:val="231F20"/>
          <w:spacing w:val="-17"/>
          <w:sz w:val="14"/>
        </w:rPr>
        <w:t xml:space="preserve"> </w:t>
      </w:r>
      <w:r>
        <w:rPr>
          <w:rFonts w:ascii="Theinhardt Regular" w:hAnsi="Theinhardt Regular"/>
          <w:color w:val="231F20"/>
          <w:spacing w:val="-3"/>
          <w:sz w:val="14"/>
        </w:rPr>
        <w:t>02.07.21,</w:t>
      </w:r>
      <w:r>
        <w:rPr>
          <w:rFonts w:ascii="Theinhardt Regular" w:hAnsi="Theinhardt Regular"/>
          <w:color w:val="231F20"/>
          <w:spacing w:val="-17"/>
          <w:sz w:val="14"/>
        </w:rPr>
        <w:t xml:space="preserve"> </w:t>
      </w:r>
      <w:r>
        <w:rPr>
          <w:rFonts w:ascii="Theinhardt Regular" w:hAnsi="Theinhardt Regular"/>
          <w:color w:val="231F20"/>
          <w:spacing w:val="-3"/>
          <w:sz w:val="14"/>
        </w:rPr>
        <w:t>Tel.</w:t>
      </w:r>
      <w:r>
        <w:rPr>
          <w:rFonts w:ascii="Theinhardt Regular" w:hAnsi="Theinhardt Regular"/>
          <w:color w:val="231F20"/>
          <w:spacing w:val="-17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0844</w:t>
      </w:r>
      <w:r>
        <w:rPr>
          <w:rFonts w:ascii="Theinhardt Regular" w:hAnsi="Theinhardt Regular"/>
          <w:color w:val="231F20"/>
          <w:spacing w:val="-18"/>
          <w:sz w:val="14"/>
        </w:rPr>
        <w:t xml:space="preserve"> </w:t>
      </w:r>
      <w:r>
        <w:rPr>
          <w:rFonts w:ascii="Theinhardt Regular" w:hAnsi="Theinhardt Regular"/>
          <w:color w:val="231F20"/>
          <w:sz w:val="14"/>
        </w:rPr>
        <w:t>20</w:t>
      </w:r>
      <w:r>
        <w:rPr>
          <w:rFonts w:ascii="Theinhardt Regular" w:hAnsi="Theinhardt Regular"/>
          <w:color w:val="231F20"/>
          <w:spacing w:val="-17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40</w:t>
      </w:r>
      <w:r>
        <w:rPr>
          <w:rFonts w:ascii="Theinhardt Regular" w:hAnsi="Theinhardt Regular"/>
          <w:color w:val="231F20"/>
          <w:spacing w:val="-17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60</w:t>
      </w:r>
    </w:p>
    <w:p w14:paraId="0292165A" w14:textId="77777777" w:rsidR="009373A3" w:rsidRDefault="00D7156A">
      <w:pPr>
        <w:spacing w:before="32" w:line="182" w:lineRule="exact"/>
        <w:ind w:left="110"/>
        <w:rPr>
          <w:rFonts w:ascii="Theinhardt Black" w:eastAsia="Theinhardt Black" w:hAnsi="Theinhardt Black" w:cs="Theinhardt Black"/>
          <w:sz w:val="14"/>
          <w:szCs w:val="14"/>
        </w:rPr>
      </w:pPr>
      <w:proofErr w:type="spellStart"/>
      <w:r>
        <w:rPr>
          <w:rFonts w:ascii="Theinhardt Black" w:hAnsi="Theinhardt Black"/>
          <w:b/>
          <w:color w:val="231F20"/>
          <w:spacing w:val="2"/>
          <w:sz w:val="14"/>
        </w:rPr>
        <w:t>Personnes</w:t>
      </w:r>
      <w:proofErr w:type="spellEnd"/>
      <w:r>
        <w:rPr>
          <w:rFonts w:ascii="Theinhardt Black" w:hAnsi="Theinhardt Black"/>
          <w:b/>
          <w:color w:val="231F20"/>
          <w:sz w:val="14"/>
        </w:rPr>
        <w:t xml:space="preserve"> </w:t>
      </w:r>
      <w:proofErr w:type="spellStart"/>
      <w:r>
        <w:rPr>
          <w:rFonts w:ascii="Theinhardt Black" w:hAnsi="Theinhardt Black"/>
          <w:b/>
          <w:color w:val="231F20"/>
          <w:spacing w:val="1"/>
          <w:sz w:val="14"/>
        </w:rPr>
        <w:t>impliquées</w:t>
      </w:r>
      <w:proofErr w:type="spellEnd"/>
    </w:p>
    <w:p w14:paraId="39702255" w14:textId="77777777" w:rsidR="009373A3" w:rsidRDefault="00D7156A">
      <w:pPr>
        <w:spacing w:before="5" w:line="160" w:lineRule="exact"/>
        <w:ind w:left="110" w:right="197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Atelier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d’architecture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Lutz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Associés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Sàrl</w:t>
      </w:r>
      <w:proofErr w:type="spellEnd"/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,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5"/>
          <w:sz w:val="14"/>
          <w:szCs w:val="14"/>
        </w:rPr>
        <w:t>1762</w:t>
      </w:r>
      <w:r>
        <w:rPr>
          <w:rFonts w:ascii="Theinhardt Regular" w:eastAsia="Theinhardt Regular" w:hAnsi="Theinhardt Regular" w:cs="Theinhardt Regular"/>
          <w:color w:val="231F20"/>
          <w:spacing w:val="28"/>
          <w:sz w:val="14"/>
          <w:szCs w:val="14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Givisiez</w:t>
      </w:r>
      <w:proofErr w:type="spellEnd"/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,</w:t>
      </w:r>
      <w:r>
        <w:rPr>
          <w:rFonts w:ascii="Theinhardt Regular" w:eastAsia="Theinhardt Regular" w:hAnsi="Theinhardt Regular" w:cs="Theinhardt Regular"/>
          <w:color w:val="231F20"/>
          <w:spacing w:val="-23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5"/>
          <w:sz w:val="14"/>
          <w:szCs w:val="14"/>
        </w:rPr>
        <w:t>Tel.</w:t>
      </w:r>
      <w:r>
        <w:rPr>
          <w:rFonts w:ascii="Theinhardt Regular" w:eastAsia="Theinhardt Regular" w:hAnsi="Theinhardt Regular" w:cs="Theinhardt Regular"/>
          <w:color w:val="231F20"/>
          <w:spacing w:val="-25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7"/>
          <w:sz w:val="14"/>
          <w:szCs w:val="14"/>
        </w:rPr>
        <w:t>+41</w:t>
      </w:r>
      <w:r>
        <w:rPr>
          <w:rFonts w:ascii="Theinhardt Regular" w:eastAsia="Theinhardt Regular" w:hAnsi="Theinhardt Regular" w:cs="Theinhardt Regular"/>
          <w:color w:val="231F20"/>
          <w:spacing w:val="-24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4"/>
          <w:szCs w:val="14"/>
        </w:rPr>
        <w:t>26</w:t>
      </w:r>
      <w:r>
        <w:rPr>
          <w:rFonts w:ascii="Theinhardt Regular" w:eastAsia="Theinhardt Regular" w:hAnsi="Theinhardt Regular" w:cs="Theinhardt Regular"/>
          <w:color w:val="231F20"/>
          <w:spacing w:val="-24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4"/>
          <w:szCs w:val="14"/>
        </w:rPr>
        <w:t>469</w:t>
      </w:r>
      <w:r>
        <w:rPr>
          <w:rFonts w:ascii="Theinhardt Regular" w:eastAsia="Theinhardt Regular" w:hAnsi="Theinhardt Regular" w:cs="Theinhardt Regular"/>
          <w:color w:val="231F20"/>
          <w:spacing w:val="-25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7"/>
          <w:sz w:val="14"/>
          <w:szCs w:val="14"/>
        </w:rPr>
        <w:t>74</w:t>
      </w:r>
      <w:r>
        <w:rPr>
          <w:rFonts w:ascii="Theinhardt Regular" w:eastAsia="Theinhardt Regular" w:hAnsi="Theinhardt Regular" w:cs="Theinhardt Regular"/>
          <w:color w:val="231F20"/>
          <w:spacing w:val="-24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>00,</w:t>
      </w:r>
      <w:r>
        <w:rPr>
          <w:rFonts w:ascii="Theinhardt Regular" w:eastAsia="Theinhardt Regular" w:hAnsi="Theinhardt Regular" w:cs="Theinhardt Regular"/>
          <w:color w:val="231F20"/>
          <w:spacing w:val="-23"/>
          <w:sz w:val="14"/>
          <w:szCs w:val="14"/>
        </w:rPr>
        <w:t xml:space="preserve"> </w:t>
      </w:r>
      <w:hyperlink r:id="rId6">
        <w:r>
          <w:rPr>
            <w:rFonts w:ascii="Theinhardt Regular" w:eastAsia="Theinhardt Regular" w:hAnsi="Theinhardt Regular" w:cs="Theinhardt Regular"/>
            <w:color w:val="231F20"/>
            <w:sz w:val="14"/>
            <w:szCs w:val="14"/>
          </w:rPr>
          <w:t>office@lutz-architecte.ch</w:t>
        </w:r>
      </w:hyperlink>
    </w:p>
    <w:p w14:paraId="1DE1F418" w14:textId="77777777" w:rsidR="009373A3" w:rsidRDefault="00D7156A">
      <w:pPr>
        <w:spacing w:before="12" w:line="182" w:lineRule="exact"/>
        <w:ind w:left="110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Ackermann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AG,</w:t>
      </w:r>
      <w:r>
        <w:rPr>
          <w:rFonts w:ascii="Theinhardt Bold"/>
          <w:b/>
          <w:color w:val="231F20"/>
          <w:spacing w:val="2"/>
          <w:sz w:val="14"/>
        </w:rPr>
        <w:t xml:space="preserve"> </w:t>
      </w:r>
      <w:r>
        <w:rPr>
          <w:rFonts w:ascii="Theinhardt Regular"/>
          <w:color w:val="231F20"/>
          <w:spacing w:val="-3"/>
          <w:sz w:val="14"/>
        </w:rPr>
        <w:t>3186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Guin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26</w:t>
      </w:r>
      <w:r>
        <w:rPr>
          <w:rFonts w:ascii="Theinhardt Regular"/>
          <w:color w:val="231F20"/>
          <w:sz w:val="14"/>
        </w:rPr>
        <w:t xml:space="preserve"> 492 55 </w:t>
      </w:r>
      <w:r>
        <w:rPr>
          <w:rFonts w:ascii="Theinhardt Regular"/>
          <w:color w:val="231F20"/>
          <w:spacing w:val="1"/>
          <w:sz w:val="14"/>
        </w:rPr>
        <w:t>88</w:t>
      </w:r>
    </w:p>
    <w:p w14:paraId="005E05B4" w14:textId="77777777" w:rsidR="009373A3" w:rsidRDefault="00D7156A">
      <w:pPr>
        <w:spacing w:line="180" w:lineRule="exact"/>
        <w:ind w:left="110"/>
        <w:rPr>
          <w:rFonts w:ascii="Theinhardt Regular" w:eastAsia="Theinhardt Regular" w:hAnsi="Theinhardt Regular" w:cs="Theinhardt Regular"/>
          <w:sz w:val="14"/>
          <w:szCs w:val="14"/>
        </w:rPr>
      </w:pPr>
      <w:proofErr w:type="spellStart"/>
      <w:r>
        <w:rPr>
          <w:rFonts w:ascii="Theinhardt Bold" w:hAnsi="Theinhardt Bold"/>
          <w:b/>
          <w:color w:val="231F20"/>
          <w:spacing w:val="1"/>
          <w:sz w:val="14"/>
        </w:rPr>
        <w:t>Effiteam</w:t>
      </w:r>
      <w:proofErr w:type="spellEnd"/>
      <w:r>
        <w:rPr>
          <w:rFonts w:ascii="Theinhardt Bold" w:hAnsi="Theinhardt Bold"/>
          <w:b/>
          <w:color w:val="231F20"/>
          <w:spacing w:val="-1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1"/>
          <w:sz w:val="14"/>
        </w:rPr>
        <w:t>Sàrl</w:t>
      </w:r>
      <w:proofErr w:type="spellEnd"/>
      <w:r>
        <w:rPr>
          <w:rFonts w:ascii="Theinhardt Regular" w:hAnsi="Theinhardt Regular"/>
          <w:color w:val="231F20"/>
          <w:spacing w:val="1"/>
          <w:sz w:val="14"/>
        </w:rPr>
        <w:t>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1762</w:t>
      </w:r>
      <w:r>
        <w:rPr>
          <w:rFonts w:ascii="Theinhardt Regular" w:hAnsi="Theinhardt Regular"/>
          <w:color w:val="231F20"/>
          <w:spacing w:val="-1"/>
          <w:sz w:val="14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2"/>
          <w:sz w:val="14"/>
        </w:rPr>
        <w:t>Givisiez</w:t>
      </w:r>
      <w:proofErr w:type="spellEnd"/>
      <w:r>
        <w:rPr>
          <w:rFonts w:ascii="Theinhardt Regular" w:hAnsi="Theinhardt Regular"/>
          <w:color w:val="231F20"/>
          <w:spacing w:val="2"/>
          <w:sz w:val="14"/>
        </w:rPr>
        <w:t>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+41</w:t>
      </w:r>
      <w:r>
        <w:rPr>
          <w:rFonts w:ascii="Theinhardt Regular" w:hAnsi="Theinhardt Regular"/>
          <w:color w:val="231F20"/>
          <w:spacing w:val="-1"/>
          <w:sz w:val="14"/>
        </w:rPr>
        <w:t xml:space="preserve"> 26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3"/>
          <w:sz w:val="14"/>
        </w:rPr>
        <w:t>470</w:t>
      </w:r>
      <w:r>
        <w:rPr>
          <w:rFonts w:ascii="Theinhardt Regular" w:hAnsi="Theinhardt Regular"/>
          <w:color w:val="231F20"/>
          <w:spacing w:val="-1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14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00</w:t>
      </w:r>
    </w:p>
    <w:p w14:paraId="320D7AB8" w14:textId="77777777" w:rsidR="009373A3" w:rsidRDefault="00D7156A">
      <w:pPr>
        <w:spacing w:line="180" w:lineRule="exact"/>
        <w:ind w:left="110"/>
        <w:rPr>
          <w:rFonts w:ascii="Theinhardt Regular" w:eastAsia="Theinhardt Regular" w:hAnsi="Theinhardt Regular" w:cs="Theinhardt Regular"/>
          <w:sz w:val="14"/>
          <w:szCs w:val="14"/>
        </w:rPr>
      </w:pPr>
      <w:proofErr w:type="spellStart"/>
      <w:r>
        <w:rPr>
          <w:rFonts w:ascii="Theinhardt Bold"/>
          <w:b/>
          <w:color w:val="231F20"/>
          <w:spacing w:val="1"/>
          <w:sz w:val="14"/>
        </w:rPr>
        <w:t>GroupeE</w:t>
      </w:r>
      <w:proofErr w:type="spellEnd"/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2"/>
          <w:sz w:val="14"/>
        </w:rPr>
        <w:t>Connect</w:t>
      </w:r>
      <w:r>
        <w:rPr>
          <w:rFonts w:ascii="Theinhardt Regular"/>
          <w:color w:val="231F20"/>
          <w:spacing w:val="2"/>
          <w:sz w:val="14"/>
        </w:rPr>
        <w:t>,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3"/>
          <w:sz w:val="14"/>
        </w:rPr>
        <w:t>1753</w:t>
      </w:r>
      <w:r>
        <w:rPr>
          <w:rFonts w:ascii="Theinhardt Regular"/>
          <w:color w:val="231F20"/>
          <w:sz w:val="14"/>
        </w:rPr>
        <w:t xml:space="preserve"> </w:t>
      </w:r>
      <w:proofErr w:type="spellStart"/>
      <w:r>
        <w:rPr>
          <w:rFonts w:ascii="Theinhardt Regular"/>
          <w:color w:val="231F20"/>
          <w:spacing w:val="2"/>
          <w:sz w:val="14"/>
        </w:rPr>
        <w:t>Matran</w:t>
      </w:r>
      <w:proofErr w:type="spellEnd"/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7"/>
          <w:sz w:val="14"/>
        </w:rPr>
        <w:t>Tel.</w:t>
      </w:r>
      <w:r>
        <w:rPr>
          <w:rFonts w:ascii="Theinhardt Regular"/>
          <w:color w:val="231F20"/>
          <w:spacing w:val="-14"/>
          <w:sz w:val="14"/>
        </w:rPr>
        <w:t xml:space="preserve"> </w:t>
      </w:r>
      <w:r>
        <w:rPr>
          <w:rFonts w:ascii="Theinhardt Regular"/>
          <w:color w:val="231F20"/>
          <w:spacing w:val="-8"/>
          <w:sz w:val="14"/>
        </w:rPr>
        <w:t>+41</w:t>
      </w:r>
      <w:r>
        <w:rPr>
          <w:rFonts w:ascii="Theinhardt Regular"/>
          <w:color w:val="231F20"/>
          <w:spacing w:val="-14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26</w:t>
      </w:r>
      <w:r>
        <w:rPr>
          <w:rFonts w:ascii="Theinhardt Regular"/>
          <w:color w:val="231F20"/>
          <w:spacing w:val="-14"/>
          <w:sz w:val="14"/>
        </w:rPr>
        <w:t xml:space="preserve"> </w:t>
      </w:r>
      <w:r>
        <w:rPr>
          <w:rFonts w:ascii="Theinhardt Regular"/>
          <w:color w:val="231F20"/>
          <w:spacing w:val="-6"/>
          <w:sz w:val="14"/>
        </w:rPr>
        <w:t>429</w:t>
      </w:r>
      <w:r>
        <w:rPr>
          <w:rFonts w:ascii="Theinhardt Regular"/>
          <w:color w:val="231F20"/>
          <w:spacing w:val="-14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29</w:t>
      </w:r>
      <w:r>
        <w:rPr>
          <w:rFonts w:ascii="Theinhardt Regular"/>
          <w:color w:val="231F20"/>
          <w:spacing w:val="-14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29</w:t>
      </w:r>
    </w:p>
    <w:p w14:paraId="4A29C4C1" w14:textId="77777777" w:rsidR="009373A3" w:rsidRDefault="00D7156A">
      <w:pPr>
        <w:spacing w:line="182" w:lineRule="exact"/>
        <w:ind w:left="110"/>
        <w:rPr>
          <w:rFonts w:ascii="Theinhardt Regular" w:eastAsia="Theinhardt Regular" w:hAnsi="Theinhardt Regular" w:cs="Theinhardt Regular"/>
          <w:sz w:val="14"/>
          <w:szCs w:val="14"/>
        </w:rPr>
      </w:pPr>
      <w:proofErr w:type="spellStart"/>
      <w:r>
        <w:rPr>
          <w:rFonts w:ascii="Theinhardt Bold"/>
          <w:b/>
          <w:color w:val="231F20"/>
          <w:spacing w:val="-5"/>
          <w:sz w:val="14"/>
        </w:rPr>
        <w:t>V</w:t>
      </w:r>
      <w:r>
        <w:rPr>
          <w:rFonts w:ascii="Theinhardt Bold"/>
          <w:b/>
          <w:color w:val="231F20"/>
          <w:spacing w:val="-2"/>
          <w:sz w:val="14"/>
        </w:rPr>
        <w:t>onla</w:t>
      </w:r>
      <w:r>
        <w:rPr>
          <w:rFonts w:ascii="Theinhardt Bold"/>
          <w:b/>
          <w:color w:val="231F20"/>
          <w:spacing w:val="-1"/>
          <w:sz w:val="14"/>
        </w:rPr>
        <w:t>nt</w:t>
      </w:r>
      <w:r>
        <w:rPr>
          <w:rFonts w:ascii="Theinhardt Bold"/>
          <w:b/>
          <w:color w:val="231F20"/>
          <w:spacing w:val="-2"/>
          <w:sz w:val="14"/>
        </w:rPr>
        <w:t>he</w:t>
      </w:r>
      <w:r>
        <w:rPr>
          <w:rFonts w:ascii="Theinhardt Bold"/>
          <w:b/>
          <w:color w:val="231F20"/>
          <w:sz w:val="14"/>
        </w:rPr>
        <w:t>n</w:t>
      </w:r>
      <w:proofErr w:type="spellEnd"/>
      <w:r>
        <w:rPr>
          <w:rFonts w:ascii="Theinhardt Bold"/>
          <w:b/>
          <w:color w:val="231F20"/>
          <w:spacing w:val="-7"/>
          <w:sz w:val="14"/>
        </w:rPr>
        <w:t xml:space="preserve"> </w:t>
      </w:r>
      <w:r>
        <w:rPr>
          <w:rFonts w:ascii="Theinhardt Bold"/>
          <w:b/>
          <w:color w:val="231F20"/>
          <w:spacing w:val="-1"/>
          <w:sz w:val="14"/>
        </w:rPr>
        <w:t>H</w:t>
      </w:r>
      <w:r>
        <w:rPr>
          <w:rFonts w:ascii="Theinhardt Bold"/>
          <w:b/>
          <w:color w:val="231F20"/>
          <w:spacing w:val="-2"/>
          <w:sz w:val="14"/>
        </w:rPr>
        <w:t>ol</w:t>
      </w:r>
      <w:r>
        <w:rPr>
          <w:rFonts w:ascii="Theinhardt Bold"/>
          <w:b/>
          <w:color w:val="231F20"/>
          <w:spacing w:val="-1"/>
          <w:sz w:val="14"/>
        </w:rPr>
        <w:t>zb</w:t>
      </w:r>
      <w:r>
        <w:rPr>
          <w:rFonts w:ascii="Theinhardt Bold"/>
          <w:b/>
          <w:color w:val="231F20"/>
          <w:spacing w:val="-2"/>
          <w:sz w:val="14"/>
        </w:rPr>
        <w:t>a</w:t>
      </w:r>
      <w:r>
        <w:rPr>
          <w:rFonts w:ascii="Theinhardt Bold"/>
          <w:b/>
          <w:color w:val="231F20"/>
          <w:sz w:val="14"/>
        </w:rPr>
        <w:t>u</w:t>
      </w:r>
      <w:r>
        <w:rPr>
          <w:rFonts w:ascii="Theinhardt Bold"/>
          <w:b/>
          <w:color w:val="231F20"/>
          <w:spacing w:val="-7"/>
          <w:sz w:val="14"/>
        </w:rPr>
        <w:t xml:space="preserve"> </w:t>
      </w:r>
      <w:r>
        <w:rPr>
          <w:rFonts w:ascii="Theinhardt Bold"/>
          <w:b/>
          <w:color w:val="231F20"/>
          <w:spacing w:val="-3"/>
          <w:sz w:val="14"/>
        </w:rPr>
        <w:t>A</w:t>
      </w:r>
      <w:r>
        <w:rPr>
          <w:rFonts w:ascii="Theinhardt Bold"/>
          <w:b/>
          <w:color w:val="231F20"/>
          <w:spacing w:val="-2"/>
          <w:sz w:val="14"/>
        </w:rPr>
        <w:t>G</w:t>
      </w:r>
      <w:r>
        <w:rPr>
          <w:rFonts w:ascii="Theinhardt Regular"/>
          <w:color w:val="231F20"/>
          <w:sz w:val="14"/>
        </w:rPr>
        <w:t>,</w:t>
      </w:r>
      <w:r>
        <w:rPr>
          <w:rFonts w:ascii="Theinhardt Regular"/>
          <w:color w:val="231F20"/>
          <w:spacing w:val="-7"/>
          <w:sz w:val="14"/>
        </w:rPr>
        <w:t xml:space="preserve"> </w:t>
      </w:r>
      <w:r>
        <w:rPr>
          <w:rFonts w:ascii="Theinhardt Regular"/>
          <w:color w:val="231F20"/>
          <w:spacing w:val="-8"/>
          <w:sz w:val="14"/>
        </w:rPr>
        <w:t>S</w:t>
      </w:r>
      <w:r>
        <w:rPr>
          <w:rFonts w:ascii="Theinhardt Regular"/>
          <w:color w:val="231F20"/>
          <w:spacing w:val="-9"/>
          <w:sz w:val="14"/>
        </w:rPr>
        <w:t>chm</w:t>
      </w:r>
      <w:r>
        <w:rPr>
          <w:rFonts w:ascii="Theinhardt Regular"/>
          <w:color w:val="231F20"/>
          <w:spacing w:val="-7"/>
          <w:sz w:val="14"/>
        </w:rPr>
        <w:t>i</w:t>
      </w:r>
      <w:r>
        <w:rPr>
          <w:rFonts w:ascii="Theinhardt Regular"/>
          <w:color w:val="231F20"/>
          <w:spacing w:val="-3"/>
          <w:sz w:val="14"/>
        </w:rPr>
        <w:t>t</w:t>
      </w:r>
      <w:r>
        <w:rPr>
          <w:rFonts w:ascii="Theinhardt Regular"/>
          <w:color w:val="231F20"/>
          <w:spacing w:val="-9"/>
          <w:sz w:val="14"/>
        </w:rPr>
        <w:t>te</w:t>
      </w:r>
      <w:r>
        <w:rPr>
          <w:rFonts w:ascii="Theinhardt Regular"/>
          <w:color w:val="231F20"/>
          <w:spacing w:val="-10"/>
          <w:sz w:val="14"/>
        </w:rPr>
        <w:t>n</w:t>
      </w:r>
      <w:r>
        <w:rPr>
          <w:rFonts w:ascii="Theinhardt Regular"/>
          <w:color w:val="231F20"/>
          <w:sz w:val="14"/>
        </w:rPr>
        <w:t>,</w:t>
      </w:r>
      <w:r>
        <w:rPr>
          <w:rFonts w:ascii="Theinhardt Regular"/>
          <w:color w:val="231F20"/>
          <w:spacing w:val="-21"/>
          <w:sz w:val="14"/>
        </w:rPr>
        <w:t xml:space="preserve"> </w:t>
      </w:r>
      <w:r>
        <w:rPr>
          <w:rFonts w:ascii="Theinhardt Regular"/>
          <w:color w:val="231F20"/>
          <w:spacing w:val="-18"/>
          <w:sz w:val="14"/>
        </w:rPr>
        <w:t>T</w:t>
      </w:r>
      <w:r>
        <w:rPr>
          <w:rFonts w:ascii="Theinhardt Regular"/>
          <w:color w:val="231F20"/>
          <w:spacing w:val="-9"/>
          <w:sz w:val="14"/>
        </w:rPr>
        <w:t>e</w:t>
      </w:r>
      <w:r>
        <w:rPr>
          <w:rFonts w:ascii="Theinhardt Regular"/>
          <w:color w:val="231F20"/>
          <w:spacing w:val="-10"/>
          <w:sz w:val="14"/>
        </w:rPr>
        <w:t>l</w:t>
      </w:r>
      <w:r>
        <w:rPr>
          <w:rFonts w:ascii="Theinhardt Regular"/>
          <w:color w:val="231F20"/>
          <w:spacing w:val="16"/>
          <w:sz w:val="14"/>
        </w:rPr>
        <w:t>.</w:t>
      </w:r>
      <w:r>
        <w:rPr>
          <w:rFonts w:ascii="Theinhardt Regular"/>
          <w:color w:val="231F20"/>
          <w:spacing w:val="-12"/>
          <w:sz w:val="14"/>
        </w:rPr>
        <w:t>+</w:t>
      </w:r>
      <w:r>
        <w:rPr>
          <w:rFonts w:ascii="Theinhardt Regular"/>
          <w:color w:val="231F20"/>
          <w:spacing w:val="-20"/>
          <w:sz w:val="14"/>
        </w:rPr>
        <w:t>4</w:t>
      </w:r>
      <w:r>
        <w:rPr>
          <w:rFonts w:ascii="Theinhardt Regular"/>
          <w:color w:val="231F20"/>
          <w:spacing w:val="16"/>
          <w:sz w:val="14"/>
        </w:rPr>
        <w:t>1</w:t>
      </w:r>
      <w:r>
        <w:rPr>
          <w:rFonts w:ascii="Theinhardt Regular"/>
          <w:color w:val="231F20"/>
          <w:spacing w:val="-11"/>
          <w:sz w:val="14"/>
        </w:rPr>
        <w:t>2</w:t>
      </w:r>
      <w:r>
        <w:rPr>
          <w:rFonts w:ascii="Theinhardt Regular"/>
          <w:color w:val="231F20"/>
          <w:spacing w:val="16"/>
          <w:sz w:val="14"/>
        </w:rPr>
        <w:t>6</w:t>
      </w:r>
      <w:r>
        <w:rPr>
          <w:rFonts w:ascii="Theinhardt Regular"/>
          <w:color w:val="231F20"/>
          <w:spacing w:val="-9"/>
          <w:sz w:val="14"/>
        </w:rPr>
        <w:t>49</w:t>
      </w:r>
      <w:r>
        <w:rPr>
          <w:rFonts w:ascii="Theinhardt Regular"/>
          <w:color w:val="231F20"/>
          <w:sz w:val="14"/>
        </w:rPr>
        <w:t>6</w:t>
      </w:r>
      <w:r>
        <w:rPr>
          <w:rFonts w:ascii="Theinhardt Regular"/>
          <w:color w:val="231F20"/>
          <w:spacing w:val="-21"/>
          <w:sz w:val="14"/>
        </w:rPr>
        <w:t xml:space="preserve"> </w:t>
      </w:r>
      <w:r>
        <w:rPr>
          <w:rFonts w:ascii="Theinhardt Regular"/>
          <w:color w:val="231F20"/>
          <w:spacing w:val="-23"/>
          <w:sz w:val="14"/>
        </w:rPr>
        <w:t>1</w:t>
      </w:r>
      <w:r>
        <w:rPr>
          <w:rFonts w:ascii="Theinhardt Regular"/>
          <w:color w:val="231F20"/>
          <w:sz w:val="14"/>
        </w:rPr>
        <w:t>1</w:t>
      </w:r>
      <w:r>
        <w:rPr>
          <w:rFonts w:ascii="Theinhardt Regular"/>
          <w:color w:val="231F20"/>
          <w:spacing w:val="-21"/>
          <w:sz w:val="14"/>
        </w:rPr>
        <w:t xml:space="preserve"> </w:t>
      </w:r>
      <w:r>
        <w:rPr>
          <w:rFonts w:ascii="Theinhardt Regular"/>
          <w:color w:val="231F20"/>
          <w:spacing w:val="-10"/>
          <w:sz w:val="14"/>
        </w:rPr>
        <w:t>7</w:t>
      </w:r>
      <w:r>
        <w:rPr>
          <w:rFonts w:ascii="Theinhardt Regular"/>
          <w:color w:val="231F20"/>
          <w:sz w:val="14"/>
        </w:rPr>
        <w:t>7</w:t>
      </w:r>
    </w:p>
    <w:p w14:paraId="3F6DF528" w14:textId="77777777" w:rsidR="009373A3" w:rsidRDefault="009373A3">
      <w:pPr>
        <w:spacing w:line="182" w:lineRule="exact"/>
        <w:rPr>
          <w:rFonts w:ascii="Theinhardt Regular" w:eastAsia="Theinhardt Regular" w:hAnsi="Theinhardt Regular" w:cs="Theinhardt Regular"/>
          <w:sz w:val="14"/>
          <w:szCs w:val="14"/>
        </w:rPr>
        <w:sectPr w:rsidR="009373A3">
          <w:type w:val="continuous"/>
          <w:pgSz w:w="11910" w:h="16840"/>
          <w:pgMar w:top="1580" w:right="400" w:bottom="280" w:left="740" w:header="720" w:footer="720" w:gutter="0"/>
          <w:cols w:num="3" w:space="720" w:equalWidth="0">
            <w:col w:w="3466" w:space="105"/>
            <w:col w:w="3467" w:space="105"/>
            <w:col w:w="3627"/>
          </w:cols>
        </w:sectPr>
      </w:pPr>
    </w:p>
    <w:p w14:paraId="7862DF96" w14:textId="77777777" w:rsidR="009373A3" w:rsidRDefault="009373A3">
      <w:pPr>
        <w:spacing w:before="9"/>
        <w:rPr>
          <w:rFonts w:ascii="Theinhardt Regular" w:eastAsia="Theinhardt Regular" w:hAnsi="Theinhardt Regular" w:cs="Theinhardt Regular"/>
          <w:sz w:val="2"/>
          <w:szCs w:val="2"/>
        </w:rPr>
      </w:pPr>
    </w:p>
    <w:p w14:paraId="04287874" w14:textId="77777777" w:rsidR="009373A3" w:rsidRDefault="00D7156A">
      <w:pPr>
        <w:spacing w:line="20" w:lineRule="atLeast"/>
        <w:ind w:left="7253"/>
        <w:rPr>
          <w:rFonts w:ascii="Theinhardt Regular" w:eastAsia="Theinhardt Regular" w:hAnsi="Theinhardt Regular" w:cs="Theinhardt Regular"/>
          <w:sz w:val="2"/>
          <w:szCs w:val="2"/>
        </w:rPr>
      </w:pPr>
      <w:r>
        <w:rPr>
          <w:rFonts w:ascii="Theinhardt Regular" w:eastAsia="Theinhardt Regular" w:hAnsi="Theinhardt Regular" w:cs="Theinhardt Regular"/>
          <w:sz w:val="2"/>
          <w:szCs w:val="2"/>
        </w:rPr>
      </w:r>
      <w:r>
        <w:rPr>
          <w:rFonts w:ascii="Theinhardt Regular" w:eastAsia="Theinhardt Regular" w:hAnsi="Theinhardt Regular" w:cs="Theinhardt Regular"/>
          <w:sz w:val="2"/>
          <w:szCs w:val="2"/>
        </w:rPr>
        <w:pict w14:anchorId="7239F7A5">
          <v:group id="_x0000_s1027" style="width:167.25pt;height:.45pt;mso-position-horizontal-relative:char;mso-position-vertical-relative:line" coordsize="3345,9">
            <v:group id="_x0000_s1032" style="position:absolute;left:21;top:4;width:3311;height:2" coordorigin="21,4" coordsize="3311,2">
              <v:shape id="_x0000_s1033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30" style="position:absolute;left:4;top:4;width:2;height:2" coordorigin="4,4" coordsize="2,2">
              <v:shape id="_x0000_s1031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28" style="position:absolute;left:3341;top:4;width:2;height:2" coordorigin="3341,4" coordsize="2,2">
              <v:shape id="_x0000_s1029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1FA1B077" w14:textId="77777777" w:rsidR="009373A3" w:rsidRDefault="00D7156A">
      <w:pPr>
        <w:spacing w:line="160" w:lineRule="exact"/>
        <w:ind w:left="110" w:right="4203" w:hanging="1"/>
        <w:rPr>
          <w:rFonts w:ascii="Theinhardt Bold" w:eastAsia="Theinhardt Bold" w:hAnsi="Theinhardt Bold" w:cs="Theinhardt Bold"/>
          <w:sz w:val="14"/>
          <w:szCs w:val="14"/>
        </w:rPr>
      </w:pPr>
      <w:r>
        <w:pict w14:anchorId="34DE743F">
          <v:shape id="_x0000_s1026" type="#_x0000_t75" style="position:absolute;left:0;text-align:left;margin-left:42.5pt;margin-top:-119.85pt;width:167.25pt;height:111.15pt;z-index:1096;mso-position-horizontal-relative:page">
            <v:imagedata r:id="rId7" o:title=""/>
            <w10:wrap anchorx="page"/>
          </v:shape>
        </w:pic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4"/>
          <w:szCs w:val="14"/>
        </w:rPr>
        <w:t>L’élégant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immeuble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en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bois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est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doté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d’une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installation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solaire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de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13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kWc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sur tout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le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toit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.</w:t>
      </w:r>
      <w:r>
        <w:rPr>
          <w:rFonts w:ascii="Theinhardt Bold" w:eastAsia="Theinhardt Bold" w:hAnsi="Theinhardt Bold" w:cs="Theinhardt Bold"/>
          <w:b/>
          <w:bCs/>
          <w:color w:val="231F20"/>
          <w:spacing w:val="13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Avec 14’600</w:t>
      </w:r>
      <w:r>
        <w:rPr>
          <w:rFonts w:ascii="Theinhardt Bold" w:eastAsia="Theinhardt Bold" w:hAnsi="Theinhardt Bold" w:cs="Theinhardt Bold"/>
          <w:b/>
          <w:bCs/>
          <w:color w:val="231F20"/>
          <w:spacing w:val="71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kWh/a,</w:t>
      </w:r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les modules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PV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assurent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une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autoproduction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de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115%.</w:t>
      </w:r>
    </w:p>
    <w:p w14:paraId="18FB9329" w14:textId="77777777" w:rsidR="009373A3" w:rsidRDefault="009373A3">
      <w:pPr>
        <w:spacing w:before="5"/>
        <w:rPr>
          <w:rFonts w:ascii="Theinhardt Bold" w:eastAsia="Theinhardt Bold" w:hAnsi="Theinhardt Bold" w:cs="Theinhardt Bold"/>
          <w:b/>
          <w:bCs/>
          <w:sz w:val="24"/>
          <w:szCs w:val="24"/>
        </w:rPr>
      </w:pPr>
    </w:p>
    <w:p w14:paraId="06493BC7" w14:textId="77777777" w:rsidR="009373A3" w:rsidRDefault="00D7156A">
      <w:pPr>
        <w:spacing w:before="70"/>
        <w:ind w:left="6666"/>
        <w:rPr>
          <w:rFonts w:ascii="Theinhardt Heavy" w:eastAsia="Theinhardt Heavy" w:hAnsi="Theinhardt Heavy" w:cs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 xml:space="preserve"> </w:t>
      </w:r>
      <w:proofErr w:type="spellStart"/>
      <w:r>
        <w:rPr>
          <w:rFonts w:ascii="Theinhardt Regular"/>
          <w:color w:val="231F20"/>
          <w:spacing w:val="-1"/>
          <w:sz w:val="14"/>
        </w:rPr>
        <w:t>Solarpreis</w:t>
      </w:r>
      <w:proofErr w:type="spellEnd"/>
      <w:r>
        <w:rPr>
          <w:rFonts w:ascii="Theinhardt Regular"/>
          <w:color w:val="231F20"/>
          <w:sz w:val="14"/>
        </w:rPr>
        <w:t xml:space="preserve"> 2021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 xml:space="preserve"> 2021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Heavy"/>
          <w:b/>
          <w:color w:val="231F20"/>
          <w:sz w:val="14"/>
        </w:rPr>
        <w:t>51</w:t>
      </w:r>
    </w:p>
    <w:sectPr w:rsidR="009373A3">
      <w:type w:val="continuous"/>
      <w:pgSz w:w="11910" w:h="16840"/>
      <w:pgMar w:top="1580" w:right="4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inhardt Regular">
    <w:altName w:val="Theinhardt Regular"/>
    <w:panose1 w:val="020B05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Black">
    <w:altName w:val="Theinhardt Black"/>
    <w:panose1 w:val="020B0A04020202020204"/>
    <w:charset w:val="00"/>
    <w:family w:val="swiss"/>
    <w:notTrueType/>
    <w:pitch w:val="variable"/>
    <w:sig w:usb0="A00000AF" w:usb1="4000206A" w:usb2="00000000" w:usb3="00000000" w:csb0="00000093" w:csb1="00000000"/>
  </w:font>
  <w:font w:name="Theinhardt Bold">
    <w:altName w:val="Theinhardt Bold"/>
    <w:panose1 w:val="020B0804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Heavy">
    <w:altName w:val="Theinhardt Heavy"/>
    <w:panose1 w:val="020B09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3A3"/>
    <w:rsid w:val="009373A3"/>
    <w:rsid w:val="00D7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;"/>
  <w14:docId w14:val="10E4817A"/>
  <w15:docId w15:val="{0D5E07E2-6610-4455-9CAE-CCFBA5EA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0"/>
    </w:pPr>
    <w:rPr>
      <w:rFonts w:ascii="Theinhardt Regular" w:eastAsia="Theinhardt Regular" w:hAnsi="Theinhardt Regular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lutz-architecte.ch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sgsof4</cp:lastModifiedBy>
  <cp:revision>2</cp:revision>
  <dcterms:created xsi:type="dcterms:W3CDTF">2021-10-19T13:36:00Z</dcterms:created>
  <dcterms:modified xsi:type="dcterms:W3CDTF">2021-10-19T11:36:00Z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LastSaved">
    <vt:filetime>2021-10-19T00:00:00Z</vt:filetime>
  </property>
</Properties>
</file>